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1B" w:rsidRPr="00A14441" w:rsidRDefault="00DE2D1B" w:rsidP="009C1361">
      <w:pPr>
        <w:spacing w:after="240" w:line="276" w:lineRule="auto"/>
        <w:jc w:val="center"/>
        <w:rPr>
          <w:rFonts w:ascii="Times New Roman" w:hAnsi="Times New Roman" w:cs="Times New Roman"/>
          <w:b/>
          <w:sz w:val="28"/>
          <w:szCs w:val="28"/>
        </w:rPr>
      </w:pPr>
      <w:r>
        <w:rPr>
          <w:rFonts w:ascii="Times New Roman" w:hAnsi="Times New Roman"/>
          <w:b/>
          <w:sz w:val="28"/>
          <w:szCs w:val="28"/>
        </w:rPr>
        <w:t>Bank lending survey Glossary</w:t>
      </w:r>
    </w:p>
    <w:p w:rsidR="00DE2D1B" w:rsidRPr="00A14441" w:rsidRDefault="00DE2D1B" w:rsidP="009C1361">
      <w:pPr>
        <w:spacing w:after="240" w:line="276" w:lineRule="auto"/>
        <w:rPr>
          <w:rFonts w:ascii="Times New Roman" w:hAnsi="Times New Roman" w:cs="Times New Roman"/>
        </w:rPr>
      </w:pPr>
    </w:p>
    <w:p w:rsidR="001A6DF3" w:rsidRPr="00A14441" w:rsidRDefault="003C29D7" w:rsidP="009C1361">
      <w:pPr>
        <w:spacing w:after="240" w:line="276" w:lineRule="auto"/>
        <w:rPr>
          <w:rFonts w:ascii="Times New Roman" w:hAnsi="Times New Roman" w:cs="Times New Roman"/>
          <w:i/>
        </w:rPr>
      </w:pPr>
      <w:r>
        <w:rPr>
          <w:rFonts w:ascii="Times New Roman" w:hAnsi="Times New Roman"/>
          <w:i/>
        </w:rPr>
        <w:t xml:space="preserve">This </w:t>
      </w:r>
      <w:r w:rsidR="00F217AC">
        <w:rPr>
          <w:rFonts w:ascii="Times New Roman" w:hAnsi="Times New Roman"/>
          <w:i/>
        </w:rPr>
        <w:t xml:space="preserve">glossary </w:t>
      </w:r>
      <w:r>
        <w:rPr>
          <w:rFonts w:ascii="Times New Roman" w:hAnsi="Times New Roman"/>
          <w:i/>
        </w:rPr>
        <w:t xml:space="preserve">is intended to assist the experts of </w:t>
      </w:r>
      <w:r w:rsidR="00F217AC">
        <w:rPr>
          <w:rFonts w:ascii="Times New Roman" w:hAnsi="Times New Roman"/>
          <w:i/>
        </w:rPr>
        <w:t xml:space="preserve">respondent </w:t>
      </w:r>
      <w:r>
        <w:rPr>
          <w:rFonts w:ascii="Times New Roman" w:hAnsi="Times New Roman"/>
          <w:i/>
        </w:rPr>
        <w:t xml:space="preserve">banks </w:t>
      </w:r>
      <w:r w:rsidR="00F217AC">
        <w:rPr>
          <w:rFonts w:ascii="Times New Roman" w:hAnsi="Times New Roman"/>
          <w:i/>
        </w:rPr>
        <w:t xml:space="preserve">in filling out </w:t>
      </w:r>
      <w:r>
        <w:rPr>
          <w:rFonts w:ascii="Times New Roman" w:hAnsi="Times New Roman"/>
          <w:i/>
        </w:rPr>
        <w:t xml:space="preserve">the </w:t>
      </w:r>
      <w:r w:rsidR="00F217AC">
        <w:rPr>
          <w:rFonts w:ascii="Times New Roman" w:hAnsi="Times New Roman"/>
          <w:i/>
        </w:rPr>
        <w:t xml:space="preserve">bank lending survey </w:t>
      </w:r>
      <w:r>
        <w:rPr>
          <w:rFonts w:ascii="Times New Roman" w:hAnsi="Times New Roman"/>
          <w:i/>
        </w:rPr>
        <w:t xml:space="preserve">questionnaire. </w:t>
      </w:r>
      <w:r w:rsidR="00F217AC">
        <w:rPr>
          <w:rFonts w:ascii="Times New Roman" w:hAnsi="Times New Roman"/>
          <w:i/>
        </w:rPr>
        <w:t xml:space="preserve">It </w:t>
      </w:r>
      <w:r>
        <w:rPr>
          <w:rFonts w:ascii="Times New Roman" w:hAnsi="Times New Roman"/>
          <w:i/>
        </w:rPr>
        <w:t xml:space="preserve">defines the most important terminology used in the bank lending survey of the Bank of Albania, </w:t>
      </w:r>
      <w:r w:rsidR="00924CE4">
        <w:rPr>
          <w:rFonts w:ascii="Times New Roman" w:hAnsi="Times New Roman"/>
          <w:i/>
        </w:rPr>
        <w:t>revi</w:t>
      </w:r>
      <w:r w:rsidR="00F217AC">
        <w:rPr>
          <w:rFonts w:ascii="Times New Roman" w:hAnsi="Times New Roman"/>
          <w:i/>
        </w:rPr>
        <w:t>s</w:t>
      </w:r>
      <w:r w:rsidR="00924CE4">
        <w:rPr>
          <w:rFonts w:ascii="Times New Roman" w:hAnsi="Times New Roman"/>
          <w:i/>
        </w:rPr>
        <w:t>ed</w:t>
      </w:r>
      <w:r>
        <w:rPr>
          <w:rFonts w:ascii="Times New Roman" w:hAnsi="Times New Roman"/>
          <w:i/>
        </w:rPr>
        <w:t xml:space="preserve"> in May 2018.</w:t>
      </w:r>
      <w:r w:rsidR="00D8215D">
        <w:rPr>
          <w:rFonts w:ascii="Times New Roman" w:hAnsi="Times New Roman"/>
          <w:i/>
        </w:rPr>
        <w:t xml:space="preserve"> </w:t>
      </w:r>
    </w:p>
    <w:p w:rsidR="00A05501" w:rsidRPr="00A14441" w:rsidRDefault="00A05501" w:rsidP="00A05501">
      <w:pPr>
        <w:spacing w:after="240" w:line="276" w:lineRule="auto"/>
        <w:rPr>
          <w:rFonts w:ascii="Times New Roman" w:hAnsi="Times New Roman" w:cs="Times New Roman"/>
        </w:rPr>
      </w:pPr>
      <w:r>
        <w:rPr>
          <w:rFonts w:ascii="Times New Roman" w:hAnsi="Times New Roman"/>
          <w:b/>
        </w:rPr>
        <w:t>Capital</w:t>
      </w:r>
      <w:r w:rsidR="00212315">
        <w:rPr>
          <w:rFonts w:ascii="Times New Roman" w:hAnsi="Times New Roman"/>
          <w:b/>
        </w:rPr>
        <w:t>.</w:t>
      </w:r>
      <w:r>
        <w:rPr>
          <w:rFonts w:ascii="Times New Roman" w:hAnsi="Times New Roman"/>
          <w:b/>
        </w:rPr>
        <w:t xml:space="preserve"> </w:t>
      </w:r>
      <w:r>
        <w:rPr>
          <w:rFonts w:ascii="Times New Roman" w:hAnsi="Times New Roman"/>
        </w:rPr>
        <w:t>Based on the Law No. 9662, dated. 18.12.2006 “On banks in the Republic of Albania” and</w:t>
      </w:r>
      <w:r>
        <w:rPr>
          <w:rFonts w:ascii="Times New Roman" w:hAnsi="Times New Roman"/>
          <w:b/>
        </w:rPr>
        <w:t xml:space="preserve"> </w:t>
      </w:r>
      <w:r>
        <w:rPr>
          <w:rFonts w:ascii="Times New Roman" w:hAnsi="Times New Roman"/>
        </w:rPr>
        <w:t>decision No. 69 of Supervisory Council of the Bank of Albania, dated.18.12.2014 “On the bank’s regulatory capital”, this term refers to the regulatory capital</w:t>
      </w:r>
      <w:r w:rsidRPr="00A14441">
        <w:rPr>
          <w:rStyle w:val="FootnoteReference"/>
          <w:rFonts w:ascii="Times New Roman" w:hAnsi="Times New Roman" w:cs="Times New Roman"/>
        </w:rPr>
        <w:footnoteReference w:id="1"/>
      </w:r>
      <w:r>
        <w:rPr>
          <w:rFonts w:ascii="Times New Roman" w:hAnsi="Times New Roman"/>
        </w:rPr>
        <w:t xml:space="preserve"> required to cover credit risk, market risks and operational risk.</w:t>
      </w:r>
      <w:r w:rsidR="003A280B">
        <w:rPr>
          <w:rFonts w:ascii="Times New Roman" w:hAnsi="Times New Roman"/>
        </w:rPr>
        <w:t xml:space="preserve"> </w:t>
      </w:r>
    </w:p>
    <w:p w:rsidR="00A05501" w:rsidRDefault="00A05501" w:rsidP="009C1361">
      <w:pPr>
        <w:pStyle w:val="HTMLPreformatted"/>
        <w:spacing w:after="240" w:line="276" w:lineRule="auto"/>
        <w:rPr>
          <w:rFonts w:ascii="Times New Roman" w:hAnsi="Times New Roman"/>
        </w:rPr>
      </w:pPr>
      <w:r>
        <w:rPr>
          <w:rFonts w:ascii="Times New Roman" w:hAnsi="Times New Roman"/>
          <w:b/>
        </w:rPr>
        <w:t xml:space="preserve">Collateral. </w:t>
      </w:r>
      <w:r>
        <w:rPr>
          <w:rFonts w:ascii="Times New Roman" w:hAnsi="Times New Roman"/>
        </w:rPr>
        <w:t xml:space="preserve">According to Law no. 9662, dated. 18.12.2006 “On banks in the Republic of Albania” and regulation </w:t>
      </w:r>
      <w:r w:rsidR="00BE33DE">
        <w:rPr>
          <w:rFonts w:ascii="Times New Roman" w:hAnsi="Times New Roman"/>
        </w:rPr>
        <w:t xml:space="preserve">of the Bank of Albania, </w:t>
      </w:r>
      <w:r>
        <w:rPr>
          <w:rFonts w:ascii="Times New Roman" w:hAnsi="Times New Roman"/>
        </w:rPr>
        <w:t xml:space="preserve">No. 62 dated 14.09.2011 this concept stands for assets held by banks in order to ensure </w:t>
      </w:r>
      <w:r w:rsidRPr="00653103">
        <w:rPr>
          <w:rFonts w:ascii="Times New Roman" w:hAnsi="Times New Roman"/>
          <w:bCs/>
          <w:iCs/>
        </w:rPr>
        <w:t xml:space="preserve">the execution of the </w:t>
      </w:r>
      <w:r w:rsidRPr="00BE6BC1">
        <w:rPr>
          <w:rFonts w:ascii="Times New Roman" w:hAnsi="Times New Roman"/>
          <w:bCs/>
          <w:iCs/>
        </w:rPr>
        <w:t xml:space="preserve">collateral from </w:t>
      </w:r>
      <w:r w:rsidRPr="00A0234C">
        <w:rPr>
          <w:rFonts w:ascii="Times New Roman" w:hAnsi="Times New Roman"/>
          <w:bCs/>
          <w:iCs/>
        </w:rPr>
        <w:t>the borrower</w:t>
      </w:r>
      <w:r w:rsidRPr="00A0234C">
        <w:rPr>
          <w:rFonts w:ascii="Times New Roman" w:hAnsi="Times New Roman"/>
        </w:rPr>
        <w:t>.</w:t>
      </w:r>
      <w:r>
        <w:rPr>
          <w:rFonts w:ascii="Times New Roman" w:hAnsi="Times New Roman"/>
        </w:rPr>
        <w:t xml:space="preserve"> Securities, real estate or compensating balances serve as collateral. A compensating balance is the minimum amount of a loan that the borrower is required to keep in an account at the bank</w:t>
      </w:r>
      <w:r w:rsidR="00212315">
        <w:rPr>
          <w:rFonts w:ascii="Times New Roman" w:hAnsi="Times New Roman"/>
        </w:rPr>
        <w:t>.</w:t>
      </w:r>
    </w:p>
    <w:p w:rsidR="0049439D" w:rsidRPr="00A14441" w:rsidRDefault="0049439D" w:rsidP="009C1361">
      <w:pPr>
        <w:pStyle w:val="HTMLPreformatted"/>
        <w:spacing w:after="240" w:line="276" w:lineRule="auto"/>
        <w:rPr>
          <w:rFonts w:ascii="Times New Roman" w:eastAsiaTheme="minorHAnsi" w:hAnsi="Times New Roman" w:cs="Times New Roman"/>
          <w:sz w:val="22"/>
          <w:szCs w:val="22"/>
        </w:rPr>
      </w:pPr>
      <w:r>
        <w:rPr>
          <w:rFonts w:ascii="Times New Roman" w:hAnsi="Times New Roman"/>
          <w:b/>
          <w:sz w:val="22"/>
          <w:szCs w:val="22"/>
        </w:rPr>
        <w:t>Consumer confidence</w:t>
      </w:r>
      <w:r w:rsidR="00A05501">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 xml:space="preserve">This indicator is based on the perception of households on the current and expected situation of the main economic and financial indicators. Consumer </w:t>
      </w:r>
      <w:r w:rsidR="00924CE4">
        <w:rPr>
          <w:rFonts w:ascii="Times New Roman" w:hAnsi="Times New Roman"/>
          <w:sz w:val="22"/>
          <w:szCs w:val="22"/>
        </w:rPr>
        <w:t xml:space="preserve">confidence is a combination of </w:t>
      </w:r>
      <w:r>
        <w:rPr>
          <w:rFonts w:ascii="Times New Roman" w:hAnsi="Times New Roman"/>
          <w:sz w:val="22"/>
          <w:szCs w:val="22"/>
        </w:rPr>
        <w:t xml:space="preserve">assessments of the past, current and future financial situation of households, based on their judgement regarding the political and economic situation. These assessments </w:t>
      </w:r>
      <w:r w:rsidR="00212315">
        <w:rPr>
          <w:rFonts w:ascii="Times New Roman" w:hAnsi="Times New Roman"/>
          <w:sz w:val="22"/>
          <w:szCs w:val="22"/>
        </w:rPr>
        <w:t>help them in making</w:t>
      </w:r>
      <w:r>
        <w:rPr>
          <w:rFonts w:ascii="Times New Roman" w:hAnsi="Times New Roman"/>
          <w:sz w:val="22"/>
          <w:szCs w:val="22"/>
        </w:rPr>
        <w:t xml:space="preserve"> decisions regarding residential investments and purchases of durable consumer goods. Theoretically, an increase in consumer confidence would tend to lead to an increase in the demand for loans. </w:t>
      </w:r>
    </w:p>
    <w:p w:rsidR="00A05501" w:rsidRPr="00521F96" w:rsidRDefault="00A05501" w:rsidP="00A05501">
      <w:pPr>
        <w:pStyle w:val="HTMLPreformatted"/>
        <w:spacing w:after="240" w:line="276" w:lineRule="auto"/>
        <w:rPr>
          <w:rFonts w:ascii="Times New Roman" w:eastAsiaTheme="minorHAnsi" w:hAnsi="Times New Roman" w:cs="Times New Roman"/>
          <w:b/>
          <w:sz w:val="22"/>
          <w:szCs w:val="22"/>
        </w:rPr>
      </w:pPr>
      <w:r>
        <w:rPr>
          <w:rFonts w:ascii="Times New Roman" w:hAnsi="Times New Roman"/>
          <w:b/>
          <w:sz w:val="22"/>
          <w:szCs w:val="22"/>
        </w:rPr>
        <w:t xml:space="preserve">Consumer credit and other lending. </w:t>
      </w:r>
      <w:r>
        <w:rPr>
          <w:rFonts w:ascii="Times New Roman" w:hAnsi="Times New Roman"/>
          <w:sz w:val="22"/>
          <w:szCs w:val="22"/>
        </w:rPr>
        <w:t xml:space="preserve">Consumer credit includes every type of loan granted by the bank to households for personal consumption of goods and services, according to Decision No. 48, dated 01.07.2015 of the Bank of Albania, for the approval of the regulation “On consumer credit and mortgage loan“, and Law No.9902, dated 17.04.2008, “On consumer protection“, amended. Typical examples of loans in this category </w:t>
      </w:r>
      <w:r w:rsidR="00212315">
        <w:rPr>
          <w:rFonts w:ascii="Times New Roman" w:hAnsi="Times New Roman"/>
          <w:sz w:val="22"/>
          <w:szCs w:val="22"/>
        </w:rPr>
        <w:t xml:space="preserve">comprise </w:t>
      </w:r>
      <w:r>
        <w:rPr>
          <w:rFonts w:ascii="Times New Roman" w:hAnsi="Times New Roman"/>
          <w:sz w:val="22"/>
          <w:szCs w:val="22"/>
        </w:rPr>
        <w:t>loans granted for financing the purchase of motor vehicles, furniture, household appliances and other consumer durables, holiday travel, etc.</w:t>
      </w:r>
      <w:r w:rsidR="003A280B">
        <w:rPr>
          <w:rFonts w:ascii="Times New Roman" w:hAnsi="Times New Roman"/>
          <w:sz w:val="22"/>
          <w:szCs w:val="22"/>
        </w:rPr>
        <w:t xml:space="preserve"> </w:t>
      </w:r>
      <w:r>
        <w:rPr>
          <w:rFonts w:ascii="Times New Roman" w:hAnsi="Times New Roman"/>
          <w:sz w:val="22"/>
          <w:szCs w:val="22"/>
        </w:rPr>
        <w:t>Overdrafts and credit card loans also typically belong to this category. Loans included in this category may or may not be collateralised.</w:t>
      </w:r>
      <w:r w:rsidR="003A280B">
        <w:rPr>
          <w:rFonts w:ascii="Times New Roman" w:hAnsi="Times New Roman"/>
          <w:sz w:val="22"/>
          <w:szCs w:val="22"/>
        </w:rPr>
        <w:t xml:space="preserve"> </w:t>
      </w:r>
    </w:p>
    <w:p w:rsidR="00A05501" w:rsidRPr="00A14441" w:rsidRDefault="00A05501" w:rsidP="00A05501">
      <w:pPr>
        <w:pStyle w:val="HTMLPreformatted"/>
        <w:spacing w:after="240" w:line="276" w:lineRule="auto"/>
        <w:rPr>
          <w:rFonts w:ascii="Times New Roman" w:eastAsiaTheme="minorHAnsi" w:hAnsi="Times New Roman" w:cs="Times New Roman"/>
          <w:sz w:val="22"/>
          <w:szCs w:val="22"/>
        </w:rPr>
      </w:pPr>
      <w:r>
        <w:rPr>
          <w:rFonts w:ascii="Times New Roman" w:hAnsi="Times New Roman"/>
          <w:b/>
          <w:sz w:val="22"/>
          <w:szCs w:val="22"/>
        </w:rPr>
        <w:t xml:space="preserve">Cost of funds and balance sheet constraints. </w:t>
      </w:r>
      <w:r w:rsidR="00994A1C">
        <w:rPr>
          <w:rFonts w:ascii="Times New Roman" w:hAnsi="Times New Roman"/>
          <w:sz w:val="22"/>
          <w:szCs w:val="22"/>
        </w:rPr>
        <w:t>B</w:t>
      </w:r>
      <w:r>
        <w:rPr>
          <w:rFonts w:ascii="Times New Roman" w:hAnsi="Times New Roman"/>
          <w:sz w:val="22"/>
          <w:szCs w:val="22"/>
        </w:rPr>
        <w:t>ank’s capital and the cost related to the bank’s capital position can become a balance sheet constraint that may inhibit the expansion of its lending.</w:t>
      </w:r>
      <w:r w:rsidR="003A280B">
        <w:rPr>
          <w:rFonts w:ascii="Times New Roman" w:hAnsi="Times New Roman"/>
          <w:sz w:val="22"/>
          <w:szCs w:val="22"/>
        </w:rPr>
        <w:t xml:space="preserve"> </w:t>
      </w:r>
      <w:r>
        <w:rPr>
          <w:rFonts w:ascii="Times New Roman" w:hAnsi="Times New Roman"/>
          <w:sz w:val="22"/>
          <w:szCs w:val="22"/>
        </w:rPr>
        <w:t xml:space="preserve">For a given level of capital, the bank’s loan supply could be affected by its liquidity position and its ability to </w:t>
      </w:r>
      <w:r w:rsidR="00E92617">
        <w:rPr>
          <w:rFonts w:ascii="Times New Roman" w:hAnsi="Times New Roman"/>
          <w:sz w:val="22"/>
          <w:szCs w:val="22"/>
        </w:rPr>
        <w:t>increase capital</w:t>
      </w:r>
      <w:r>
        <w:rPr>
          <w:rFonts w:ascii="Times New Roman" w:hAnsi="Times New Roman"/>
          <w:sz w:val="22"/>
          <w:szCs w:val="22"/>
        </w:rPr>
        <w:t xml:space="preserve"> in the market. A bank could abstain from granting a loan, or be less willing to lend, if it knows that it will not be able expand the required capital for granting the said loan. Moreover, risks related to non-performing loans may be reflected not only in the bank's risk perceptions, but also in its increase of cost of funds and balance sheet constraints.</w:t>
      </w:r>
    </w:p>
    <w:p w:rsidR="00A05501" w:rsidRPr="00A14441" w:rsidRDefault="00A05501" w:rsidP="00A05501">
      <w:pPr>
        <w:pStyle w:val="HTMLPreformatted"/>
        <w:spacing w:after="240" w:line="276" w:lineRule="auto"/>
        <w:rPr>
          <w:rFonts w:ascii="Times New Roman" w:eastAsiaTheme="minorHAnsi" w:hAnsi="Times New Roman" w:cs="Times New Roman"/>
          <w:sz w:val="22"/>
          <w:szCs w:val="22"/>
        </w:rPr>
      </w:pPr>
      <w:r>
        <w:rPr>
          <w:rFonts w:ascii="Times New Roman" w:hAnsi="Times New Roman"/>
          <w:b/>
          <w:sz w:val="22"/>
          <w:szCs w:val="22"/>
        </w:rPr>
        <w:t>Covenant</w:t>
      </w:r>
      <w:r w:rsidR="00994A1C">
        <w:rPr>
          <w:rFonts w:ascii="Times New Roman" w:hAnsi="Times New Roman"/>
          <w:b/>
          <w:sz w:val="22"/>
          <w:szCs w:val="22"/>
        </w:rPr>
        <w:t xml:space="preserve">. </w:t>
      </w:r>
      <w:r w:rsidR="00994A1C">
        <w:rPr>
          <w:rFonts w:ascii="Times New Roman" w:hAnsi="Times New Roman"/>
          <w:sz w:val="22"/>
          <w:szCs w:val="22"/>
        </w:rPr>
        <w:t xml:space="preserve">A </w:t>
      </w:r>
      <w:r>
        <w:rPr>
          <w:rFonts w:ascii="Times New Roman" w:hAnsi="Times New Roman"/>
          <w:sz w:val="22"/>
          <w:szCs w:val="22"/>
        </w:rPr>
        <w:t xml:space="preserve">covenant is an agreement or stipulation expressed in loan contracts, particularly contracts with enterprises, by which the borrower pledges to take certain action (an affirmative </w:t>
      </w:r>
      <w:r>
        <w:rPr>
          <w:rFonts w:ascii="Times New Roman" w:hAnsi="Times New Roman"/>
          <w:sz w:val="22"/>
          <w:szCs w:val="22"/>
        </w:rPr>
        <w:lastRenderedPageBreak/>
        <w:t xml:space="preserve">covenant) or refrain from taking certain action (a negative covenant), and is consequently part of the terms and conditions of a loan. </w:t>
      </w:r>
    </w:p>
    <w:p w:rsidR="006A4800" w:rsidRPr="00A14441" w:rsidRDefault="006A4800" w:rsidP="006A4800">
      <w:pPr>
        <w:pStyle w:val="HTMLPreformatted"/>
        <w:spacing w:after="240" w:line="276" w:lineRule="auto"/>
        <w:rPr>
          <w:rFonts w:ascii="Times New Roman" w:eastAsiaTheme="minorHAnsi" w:hAnsi="Times New Roman" w:cs="Times New Roman"/>
          <w:sz w:val="22"/>
          <w:szCs w:val="22"/>
        </w:rPr>
      </w:pPr>
      <w:r>
        <w:rPr>
          <w:rFonts w:ascii="Times New Roman" w:hAnsi="Times New Roman"/>
          <w:b/>
          <w:sz w:val="22"/>
          <w:szCs w:val="22"/>
        </w:rPr>
        <w:t>Credit standards</w:t>
      </w:r>
      <w:r w:rsidR="00E92617">
        <w:rPr>
          <w:rFonts w:ascii="Times New Roman" w:hAnsi="Times New Roman"/>
          <w:b/>
          <w:sz w:val="22"/>
          <w:szCs w:val="22"/>
        </w:rPr>
        <w:t>.</w:t>
      </w:r>
      <w:r>
        <w:rPr>
          <w:rFonts w:ascii="Times New Roman" w:hAnsi="Times New Roman"/>
          <w:sz w:val="22"/>
          <w:szCs w:val="22"/>
        </w:rPr>
        <w:t xml:space="preserve"> Credit standards</w:t>
      </w:r>
      <w:r w:rsidR="00994A1C">
        <w:rPr>
          <w:rFonts w:ascii="Times New Roman" w:hAnsi="Times New Roman"/>
          <w:sz w:val="22"/>
          <w:szCs w:val="22"/>
        </w:rPr>
        <w:t xml:space="preserve"> </w:t>
      </w:r>
      <w:r>
        <w:rPr>
          <w:rFonts w:ascii="Times New Roman" w:hAnsi="Times New Roman"/>
          <w:sz w:val="22"/>
          <w:szCs w:val="22"/>
        </w:rPr>
        <w:t xml:space="preserve">are the internal guidelines or loan approval criteria of a bank. They are established prior to the actual loan negotiation on the terms and conditions and the actual loan approval/rejection decision. They define the types of loan a bank considers desirable and undesirable, the designated sectorial or geographic priorities, the collateral deemed acceptable and unacceptable, etc. Credit standards specify the required borrower characteristics (e.g. balance sheet conditions, income situation, age, employment status) under which a loan can be obtained. Credit standards may change owing to changes in the bank’s cost of funds and balance sheet situation, changes in competition, changes in the bank’s risk perception, changes in the bank’s risk tolerance or regulatory changes, for instance. </w:t>
      </w:r>
    </w:p>
    <w:p w:rsidR="006A4800" w:rsidRPr="00A14441" w:rsidRDefault="006A4800" w:rsidP="006A4800">
      <w:pPr>
        <w:pStyle w:val="HTMLPreformatted"/>
        <w:spacing w:after="240" w:line="276" w:lineRule="auto"/>
        <w:rPr>
          <w:rFonts w:ascii="Times New Roman" w:eastAsiaTheme="minorHAnsi" w:hAnsi="Times New Roman" w:cs="Times New Roman"/>
          <w:sz w:val="22"/>
          <w:szCs w:val="22"/>
        </w:rPr>
      </w:pPr>
      <w:r>
        <w:rPr>
          <w:rFonts w:ascii="Times New Roman" w:hAnsi="Times New Roman"/>
          <w:b/>
          <w:bCs/>
          <w:sz w:val="22"/>
          <w:szCs w:val="22"/>
        </w:rPr>
        <w:t>Credit terms and conditions</w:t>
      </w:r>
      <w:r w:rsidR="00994A1C">
        <w:rPr>
          <w:rFonts w:ascii="Times New Roman" w:hAnsi="Times New Roman"/>
          <w:b/>
          <w:bCs/>
          <w:sz w:val="22"/>
          <w:szCs w:val="22"/>
        </w:rPr>
        <w:t xml:space="preserve">. </w:t>
      </w:r>
      <w:r>
        <w:rPr>
          <w:rFonts w:ascii="Times New Roman" w:hAnsi="Times New Roman"/>
          <w:sz w:val="22"/>
          <w:szCs w:val="22"/>
        </w:rPr>
        <w:t>Credit terms and conditions refer to the conditions and term of a loan approved, as laid down in the loan contract, agreed between the bank (the lender) and the borrower. They generally consist of the agreed spread over the relevant reference rate, the size of loan, the access conditions and other terms in the form of non-interest rate charges, commissions, non-interest costs, collateral or guarantees, credit conditions and agreed loan maturity. Credit terms and conditions are conditional on the borrower’s characteristics and may change in parallel with credit standards or independently of them. For instance, an increase in the bank’s funding cost</w:t>
      </w:r>
      <w:r w:rsidR="00E92617">
        <w:rPr>
          <w:rFonts w:ascii="Times New Roman" w:hAnsi="Times New Roman"/>
          <w:sz w:val="22"/>
          <w:szCs w:val="22"/>
        </w:rPr>
        <w:t>,</w:t>
      </w:r>
      <w:r>
        <w:rPr>
          <w:rFonts w:ascii="Times New Roman" w:hAnsi="Times New Roman"/>
          <w:sz w:val="22"/>
          <w:szCs w:val="22"/>
        </w:rPr>
        <w:t xml:space="preserve"> or a deterioration in the general economic outlook can lead to both a tightening in the approval criteria (credit standards) and a tightening of the terms and conditions on those loans that the bank is willing to approve and its customers are willing to accept.</w:t>
      </w:r>
      <w:r w:rsidR="003A280B">
        <w:rPr>
          <w:rFonts w:ascii="Times New Roman" w:hAnsi="Times New Roman"/>
          <w:sz w:val="22"/>
          <w:szCs w:val="22"/>
        </w:rPr>
        <w:t xml:space="preserve"> </w:t>
      </w:r>
      <w:r>
        <w:rPr>
          <w:rFonts w:ascii="Times New Roman" w:hAnsi="Times New Roman"/>
          <w:sz w:val="22"/>
          <w:szCs w:val="22"/>
        </w:rPr>
        <w:t xml:space="preserve">Alternatively, the bank may only change its credit terms and conditions (e.g. increasing the required spread to compensate for the additional cost/risk) and leave credit standards unchanged. </w:t>
      </w:r>
    </w:p>
    <w:p w:rsidR="006A4800" w:rsidRPr="00A14441" w:rsidRDefault="006A4800" w:rsidP="006A4800">
      <w:pPr>
        <w:pStyle w:val="HTMLPreformatted"/>
        <w:spacing w:after="240" w:line="276" w:lineRule="auto"/>
        <w:rPr>
          <w:rFonts w:ascii="Times New Roman" w:hAnsi="Times New Roman" w:cs="Times New Roman"/>
        </w:rPr>
      </w:pPr>
      <w:r w:rsidRPr="00D02A0B">
        <w:rPr>
          <w:rFonts w:ascii="Times New Roman" w:hAnsi="Times New Roman"/>
          <w:b/>
          <w:sz w:val="22"/>
          <w:szCs w:val="22"/>
        </w:rPr>
        <w:t>Current and expected developments in the housing market.</w:t>
      </w:r>
      <w:r>
        <w:rPr>
          <w:rFonts w:ascii="Times New Roman" w:hAnsi="Times New Roman"/>
          <w:sz w:val="22"/>
          <w:szCs w:val="22"/>
        </w:rPr>
        <w:t xml:space="preserve"> This term is one of the factors influencing both the demand and the loan supply. It includes the perception of banks or households about the expected developments in housing prices. In question 8, 3.b this factor refers to the risk associated with the required collateral. In question 12, 3.c it refers to expected developments in the housing market, including a rise (decline) in the house loan demand</w:t>
      </w:r>
      <w:r w:rsidR="003241CB">
        <w:rPr>
          <w:rFonts w:ascii="Times New Roman" w:hAnsi="Times New Roman"/>
          <w:sz w:val="22"/>
          <w:szCs w:val="22"/>
        </w:rPr>
        <w:t>,</w:t>
      </w:r>
      <w:r>
        <w:rPr>
          <w:rFonts w:ascii="Times New Roman" w:hAnsi="Times New Roman"/>
          <w:sz w:val="22"/>
          <w:szCs w:val="22"/>
        </w:rPr>
        <w:t xml:space="preserve"> due to </w:t>
      </w:r>
      <w:r w:rsidR="003241CB">
        <w:rPr>
          <w:rFonts w:ascii="Times New Roman" w:hAnsi="Times New Roman"/>
          <w:sz w:val="22"/>
          <w:szCs w:val="22"/>
        </w:rPr>
        <w:t>increase</w:t>
      </w:r>
      <w:r w:rsidR="003241CB" w:rsidDel="003241CB">
        <w:rPr>
          <w:rFonts w:ascii="Times New Roman" w:hAnsi="Times New Roman"/>
          <w:sz w:val="22"/>
          <w:szCs w:val="22"/>
        </w:rPr>
        <w:t xml:space="preserve"> </w:t>
      </w:r>
      <w:r w:rsidR="003241CB">
        <w:rPr>
          <w:rFonts w:ascii="Times New Roman" w:hAnsi="Times New Roman"/>
          <w:sz w:val="22"/>
          <w:szCs w:val="22"/>
        </w:rPr>
        <w:t xml:space="preserve">(decrease) in the </w:t>
      </w:r>
      <w:r>
        <w:rPr>
          <w:rFonts w:ascii="Times New Roman" w:hAnsi="Times New Roman"/>
          <w:sz w:val="22"/>
          <w:szCs w:val="22"/>
        </w:rPr>
        <w:t xml:space="preserve">expected cost of house purchase and/or perceived return </w:t>
      </w:r>
      <w:r w:rsidR="00E92617">
        <w:rPr>
          <w:rFonts w:ascii="Times New Roman" w:hAnsi="Times New Roman"/>
          <w:sz w:val="22"/>
          <w:szCs w:val="22"/>
        </w:rPr>
        <w:t xml:space="preserve">from investing </w:t>
      </w:r>
      <w:r>
        <w:rPr>
          <w:rFonts w:ascii="Times New Roman" w:hAnsi="Times New Roman"/>
          <w:sz w:val="22"/>
          <w:szCs w:val="22"/>
        </w:rPr>
        <w:t>in real estate.</w:t>
      </w:r>
    </w:p>
    <w:p w:rsidR="006A4800" w:rsidRPr="00A14441" w:rsidRDefault="006A4800" w:rsidP="006A4800">
      <w:pPr>
        <w:pStyle w:val="HTMLPreformatted"/>
        <w:spacing w:after="240" w:line="276" w:lineRule="auto"/>
        <w:rPr>
          <w:rFonts w:ascii="Times New Roman" w:eastAsiaTheme="minorHAnsi" w:hAnsi="Times New Roman" w:cs="Times New Roman"/>
          <w:sz w:val="22"/>
          <w:szCs w:val="22"/>
        </w:rPr>
      </w:pPr>
      <w:r>
        <w:rPr>
          <w:rFonts w:ascii="Times New Roman" w:hAnsi="Times New Roman"/>
          <w:b/>
          <w:sz w:val="22"/>
          <w:szCs w:val="22"/>
        </w:rPr>
        <w:t xml:space="preserve">Debt refinancing/restructuring and renegotiation. </w:t>
      </w:r>
      <w:r>
        <w:rPr>
          <w:rFonts w:ascii="Times New Roman" w:hAnsi="Times New Roman"/>
          <w:sz w:val="22"/>
          <w:szCs w:val="22"/>
        </w:rPr>
        <w:t xml:space="preserve">This concept is included in the questionnaire as a factor that affects the demand for credit. It refers to loan refinancing, loan restructuring and/or loan renegotiations, formulated in the Regulation of the Bank of Albania, No 62, dated 14.09.2011 "On Credit Risk Management by Banks and Foreign Banks", which implies the facilitations that the bank makes to borrowers </w:t>
      </w:r>
      <w:r w:rsidR="003241CB">
        <w:rPr>
          <w:rFonts w:ascii="Times New Roman" w:hAnsi="Times New Roman"/>
          <w:sz w:val="22"/>
          <w:szCs w:val="22"/>
        </w:rPr>
        <w:t xml:space="preserve">facing </w:t>
      </w:r>
      <w:r>
        <w:rPr>
          <w:rFonts w:ascii="Times New Roman" w:hAnsi="Times New Roman"/>
          <w:sz w:val="22"/>
          <w:szCs w:val="22"/>
        </w:rPr>
        <w:t xml:space="preserve">financial difficulties. These include the facilitations made under the terms of the credit agreement that are mainly related to the </w:t>
      </w:r>
      <w:r w:rsidR="003241CB">
        <w:rPr>
          <w:rFonts w:ascii="Times New Roman" w:hAnsi="Times New Roman"/>
          <w:sz w:val="22"/>
          <w:szCs w:val="22"/>
        </w:rPr>
        <w:t>loan maturity</w:t>
      </w:r>
      <w:r>
        <w:rPr>
          <w:rFonts w:ascii="Times New Roman" w:hAnsi="Times New Roman"/>
          <w:sz w:val="22"/>
          <w:szCs w:val="22"/>
        </w:rPr>
        <w:t xml:space="preserve">, principal and interest rate; the use of collateral for partial repayment of the loan; or replacement of the initial borrower with an additional borrower. This factor will be considered to have affected the </w:t>
      </w:r>
      <w:r w:rsidR="003241CB">
        <w:rPr>
          <w:rFonts w:ascii="Times New Roman" w:hAnsi="Times New Roman"/>
          <w:sz w:val="22"/>
          <w:szCs w:val="22"/>
        </w:rPr>
        <w:t>loan demand growth,</w:t>
      </w:r>
      <w:r>
        <w:rPr>
          <w:rFonts w:ascii="Times New Roman" w:hAnsi="Times New Roman"/>
          <w:sz w:val="22"/>
          <w:szCs w:val="22"/>
        </w:rPr>
        <w:t xml:space="preserve"> only in case of changes in contracts that are associated with the extension of the initial maturity or increase in loan amount.</w:t>
      </w:r>
    </w:p>
    <w:p w:rsidR="006A4800" w:rsidRPr="00A14441" w:rsidRDefault="006A4800" w:rsidP="006A4800">
      <w:pPr>
        <w:pStyle w:val="HTMLPreformatted"/>
        <w:spacing w:after="240" w:line="276" w:lineRule="auto"/>
        <w:rPr>
          <w:rFonts w:ascii="Times New Roman" w:eastAsiaTheme="minorHAnsi" w:hAnsi="Times New Roman" w:cs="Times New Roman"/>
          <w:sz w:val="22"/>
          <w:szCs w:val="22"/>
        </w:rPr>
      </w:pPr>
      <w:r>
        <w:rPr>
          <w:rFonts w:ascii="Times New Roman" w:hAnsi="Times New Roman"/>
          <w:sz w:val="22"/>
          <w:szCs w:val="22"/>
        </w:rPr>
        <w:t>Debt restructuring does not include those cases where the borrower's financing changes from bank loans to debt securities instruments in the capital market. Meanwhile, debt restructuring in the form of inter-company loans is already covered by the factor “Loans from non-banks”.</w:t>
      </w:r>
      <w:r>
        <w:rPr>
          <w:rFonts w:ascii="Times New Roman" w:hAnsi="Times New Roman"/>
        </w:rPr>
        <w:t xml:space="preserve"> </w:t>
      </w:r>
    </w:p>
    <w:p w:rsidR="006A4800" w:rsidRPr="00A14441" w:rsidRDefault="006A4800" w:rsidP="006A4800">
      <w:pPr>
        <w:pStyle w:val="HTMLPreformatted"/>
        <w:spacing w:after="240" w:line="276" w:lineRule="auto"/>
        <w:rPr>
          <w:rFonts w:ascii="Times New Roman" w:eastAsiaTheme="minorHAnsi" w:hAnsi="Times New Roman" w:cs="Times New Roman"/>
          <w:sz w:val="22"/>
          <w:szCs w:val="22"/>
        </w:rPr>
      </w:pPr>
      <w:r>
        <w:rPr>
          <w:rFonts w:ascii="Times New Roman" w:hAnsi="Times New Roman"/>
          <w:b/>
          <w:sz w:val="22"/>
          <w:szCs w:val="22"/>
        </w:rPr>
        <w:lastRenderedPageBreak/>
        <w:t>Demand for loans</w:t>
      </w:r>
      <w:r w:rsidRPr="00A14441">
        <w:rPr>
          <w:rStyle w:val="FootnoteReference"/>
          <w:rFonts w:ascii="Times New Roman" w:eastAsiaTheme="minorHAnsi" w:hAnsi="Times New Roman" w:cs="Times New Roman"/>
          <w:b/>
          <w:sz w:val="22"/>
          <w:szCs w:val="22"/>
        </w:rPr>
        <w:footnoteReference w:id="2"/>
      </w:r>
      <w:r>
        <w:rPr>
          <w:rFonts w:ascii="Times New Roman" w:hAnsi="Times New Roman"/>
          <w:b/>
          <w:sz w:val="22"/>
          <w:szCs w:val="22"/>
        </w:rPr>
        <w:t>.</w:t>
      </w:r>
      <w:r>
        <w:rPr>
          <w:rFonts w:ascii="Times New Roman" w:hAnsi="Times New Roman"/>
          <w:sz w:val="22"/>
          <w:szCs w:val="22"/>
        </w:rPr>
        <w:t xml:space="preserve"> Loan demand refers to gross demand for loans from enterprises or households, including requirements for the extension of the existing loan maturity. </w:t>
      </w:r>
      <w:r w:rsidR="003241CB">
        <w:rPr>
          <w:rFonts w:ascii="Times New Roman" w:hAnsi="Times New Roman"/>
          <w:sz w:val="22"/>
          <w:szCs w:val="22"/>
        </w:rPr>
        <w:t xml:space="preserve">As defined by ECB, it </w:t>
      </w:r>
      <w:r>
        <w:rPr>
          <w:rFonts w:ascii="Times New Roman" w:hAnsi="Times New Roman"/>
          <w:sz w:val="22"/>
          <w:szCs w:val="22"/>
        </w:rPr>
        <w:t xml:space="preserve">refers to the bank loan financing need of enterprises and households, independent of whether this need will result in a loan or not. </w:t>
      </w:r>
      <w:r w:rsidR="003241CB">
        <w:rPr>
          <w:rFonts w:ascii="Times New Roman" w:hAnsi="Times New Roman"/>
          <w:sz w:val="22"/>
          <w:szCs w:val="22"/>
        </w:rPr>
        <w:t>In the survey, b</w:t>
      </w:r>
      <w:r>
        <w:rPr>
          <w:rFonts w:ascii="Times New Roman" w:hAnsi="Times New Roman"/>
          <w:sz w:val="22"/>
          <w:szCs w:val="22"/>
        </w:rPr>
        <w:t xml:space="preserve">anks should assess the developments in demand for loans (both for households and enterprises) compared to a quarter earlier and </w:t>
      </w:r>
      <w:r w:rsidRPr="00A0234C">
        <w:rPr>
          <w:rFonts w:ascii="Times New Roman" w:hAnsi="Times New Roman"/>
          <w:bCs/>
          <w:iCs/>
          <w:sz w:val="22"/>
          <w:szCs w:val="22"/>
        </w:rPr>
        <w:t>independently</w:t>
      </w:r>
      <w:r>
        <w:rPr>
          <w:rFonts w:ascii="Times New Roman" w:hAnsi="Times New Roman"/>
          <w:sz w:val="22"/>
          <w:szCs w:val="22"/>
        </w:rPr>
        <w:t xml:space="preserve"> from price </w:t>
      </w:r>
      <w:r w:rsidR="003241CB">
        <w:rPr>
          <w:rFonts w:ascii="Times New Roman" w:hAnsi="Times New Roman"/>
          <w:sz w:val="22"/>
          <w:szCs w:val="22"/>
        </w:rPr>
        <w:t>level movements</w:t>
      </w:r>
      <w:r>
        <w:rPr>
          <w:rFonts w:ascii="Times New Roman" w:hAnsi="Times New Roman"/>
          <w:sz w:val="22"/>
          <w:szCs w:val="22"/>
        </w:rPr>
        <w:t>.</w:t>
      </w:r>
    </w:p>
    <w:p w:rsidR="007D6077" w:rsidRPr="00A14441" w:rsidRDefault="004048DA" w:rsidP="009C1361">
      <w:pPr>
        <w:pStyle w:val="HTMLPreformatted"/>
        <w:spacing w:after="240" w:line="276" w:lineRule="auto"/>
        <w:rPr>
          <w:rFonts w:ascii="Times New Roman" w:eastAsiaTheme="minorHAnsi" w:hAnsi="Times New Roman" w:cs="Times New Roman"/>
          <w:sz w:val="22"/>
          <w:szCs w:val="22"/>
        </w:rPr>
      </w:pPr>
      <w:r>
        <w:rPr>
          <w:rFonts w:ascii="Times New Roman" w:hAnsi="Times New Roman"/>
          <w:b/>
          <w:sz w:val="22"/>
          <w:szCs w:val="22"/>
        </w:rPr>
        <w:t>Enterprises</w:t>
      </w:r>
      <w:r w:rsidR="00A05501">
        <w:rPr>
          <w:rFonts w:ascii="Times New Roman" w:hAnsi="Times New Roman"/>
          <w:b/>
          <w:sz w:val="22"/>
          <w:szCs w:val="22"/>
        </w:rPr>
        <w:t>.</w:t>
      </w:r>
      <w:r>
        <w:rPr>
          <w:rFonts w:ascii="Times New Roman" w:hAnsi="Times New Roman"/>
          <w:sz w:val="22"/>
          <w:szCs w:val="22"/>
        </w:rPr>
        <w:t xml:space="preserve"> According to Law no. 8957, dated. 17.10.2002, as amended, "For small and medium enterprises", a </w:t>
      </w:r>
      <w:r w:rsidR="00A0234C">
        <w:rPr>
          <w:rFonts w:ascii="Times New Roman" w:hAnsi="Times New Roman"/>
          <w:sz w:val="22"/>
          <w:szCs w:val="22"/>
        </w:rPr>
        <w:t xml:space="preserve">firm </w:t>
      </w:r>
      <w:r>
        <w:rPr>
          <w:rFonts w:ascii="Times New Roman" w:hAnsi="Times New Roman"/>
          <w:sz w:val="22"/>
          <w:szCs w:val="22"/>
        </w:rPr>
        <w:t xml:space="preserve">or enterprise will be </w:t>
      </w:r>
      <w:r w:rsidR="00A0234C">
        <w:rPr>
          <w:rFonts w:ascii="Times New Roman" w:hAnsi="Times New Roman"/>
          <w:sz w:val="22"/>
          <w:szCs w:val="22"/>
        </w:rPr>
        <w:t>the</w:t>
      </w:r>
      <w:r w:rsidR="00F217AC">
        <w:rPr>
          <w:rFonts w:ascii="Times New Roman" w:hAnsi="Times New Roman"/>
          <w:sz w:val="22"/>
          <w:szCs w:val="22"/>
        </w:rPr>
        <w:t xml:space="preserve"> </w:t>
      </w:r>
      <w:r>
        <w:rPr>
          <w:rFonts w:ascii="Times New Roman" w:hAnsi="Times New Roman"/>
          <w:sz w:val="22"/>
          <w:szCs w:val="22"/>
        </w:rPr>
        <w:t>entity that exercise</w:t>
      </w:r>
      <w:r w:rsidR="00F217AC">
        <w:rPr>
          <w:rFonts w:ascii="Times New Roman" w:hAnsi="Times New Roman"/>
          <w:sz w:val="22"/>
          <w:szCs w:val="22"/>
        </w:rPr>
        <w:t>s</w:t>
      </w:r>
      <w:r>
        <w:rPr>
          <w:rFonts w:ascii="Times New Roman" w:hAnsi="Times New Roman"/>
          <w:sz w:val="22"/>
          <w:szCs w:val="22"/>
        </w:rPr>
        <w:t xml:space="preserve"> an economic activity (production, sale of goods and services) regardless of the legal form. In this context, </w:t>
      </w:r>
      <w:r w:rsidR="00A0234C">
        <w:rPr>
          <w:rFonts w:ascii="Times New Roman" w:hAnsi="Times New Roman"/>
          <w:sz w:val="22"/>
          <w:szCs w:val="22"/>
        </w:rPr>
        <w:t xml:space="preserve">firms </w:t>
      </w:r>
      <w:r>
        <w:rPr>
          <w:rFonts w:ascii="Times New Roman" w:hAnsi="Times New Roman"/>
          <w:sz w:val="22"/>
          <w:szCs w:val="22"/>
        </w:rPr>
        <w:t>represent corporations and small and medium</w:t>
      </w:r>
      <w:r w:rsidR="00A0234C">
        <w:rPr>
          <w:rFonts w:ascii="Times New Roman" w:hAnsi="Times New Roman"/>
          <w:sz w:val="22"/>
          <w:szCs w:val="22"/>
        </w:rPr>
        <w:t>-sized</w:t>
      </w:r>
      <w:r>
        <w:rPr>
          <w:rFonts w:ascii="Times New Roman" w:hAnsi="Times New Roman"/>
          <w:sz w:val="22"/>
          <w:szCs w:val="22"/>
        </w:rPr>
        <w:t xml:space="preserve"> enterprises. This category includes self-employed persons, family businesses, who work with handicrafts or other activities, as well as societies and associations that regularly conduct economic activities. State-owned enterprises, as well as non-resident </w:t>
      </w:r>
      <w:r w:rsidR="00A0234C">
        <w:rPr>
          <w:rFonts w:ascii="Times New Roman" w:hAnsi="Times New Roman"/>
          <w:sz w:val="22"/>
          <w:szCs w:val="22"/>
        </w:rPr>
        <w:t xml:space="preserve">enterprises </w:t>
      </w:r>
      <w:r>
        <w:rPr>
          <w:rFonts w:ascii="Times New Roman" w:hAnsi="Times New Roman"/>
          <w:sz w:val="22"/>
          <w:szCs w:val="22"/>
        </w:rPr>
        <w:t xml:space="preserve">should not be considered when </w:t>
      </w:r>
      <w:r w:rsidR="007670F8">
        <w:rPr>
          <w:rFonts w:ascii="Times New Roman" w:hAnsi="Times New Roman"/>
          <w:sz w:val="22"/>
          <w:szCs w:val="22"/>
        </w:rPr>
        <w:t xml:space="preserve">filling out </w:t>
      </w:r>
      <w:r>
        <w:rPr>
          <w:rFonts w:ascii="Times New Roman" w:hAnsi="Times New Roman"/>
          <w:sz w:val="22"/>
          <w:szCs w:val="22"/>
        </w:rPr>
        <w:t xml:space="preserve">this questionnaire. </w:t>
      </w:r>
    </w:p>
    <w:p w:rsidR="006A4800" w:rsidRDefault="006A4800" w:rsidP="006A4800">
      <w:pPr>
        <w:pStyle w:val="HTMLPreformatted"/>
        <w:spacing w:after="240" w:line="276" w:lineRule="auto"/>
        <w:rPr>
          <w:rFonts w:ascii="Times New Roman" w:hAnsi="Times New Roman"/>
          <w:sz w:val="22"/>
          <w:szCs w:val="22"/>
        </w:rPr>
      </w:pPr>
      <w:r>
        <w:rPr>
          <w:rFonts w:ascii="Times New Roman" w:hAnsi="Times New Roman"/>
          <w:b/>
          <w:sz w:val="22"/>
          <w:szCs w:val="22"/>
        </w:rPr>
        <w:t>Enterprise size</w:t>
      </w:r>
      <w:r w:rsidR="003241CB">
        <w:rPr>
          <w:rFonts w:ascii="Times New Roman" w:hAnsi="Times New Roman"/>
          <w:b/>
          <w:sz w:val="22"/>
          <w:szCs w:val="22"/>
        </w:rPr>
        <w:t>.</w:t>
      </w:r>
      <w:r w:rsidR="003A280B">
        <w:rPr>
          <w:rFonts w:ascii="Times New Roman" w:hAnsi="Times New Roman"/>
          <w:b/>
          <w:sz w:val="22"/>
          <w:szCs w:val="22"/>
        </w:rPr>
        <w:t xml:space="preserve"> </w:t>
      </w:r>
      <w:r>
        <w:rPr>
          <w:rFonts w:ascii="Times New Roman" w:hAnsi="Times New Roman"/>
          <w:sz w:val="22"/>
          <w:szCs w:val="22"/>
        </w:rPr>
        <w:t>The definition of enterprise size is based on Law No. 8957 “</w:t>
      </w:r>
      <w:r w:rsidR="00BE6BC1">
        <w:rPr>
          <w:rFonts w:ascii="Times New Roman" w:hAnsi="Times New Roman"/>
          <w:sz w:val="22"/>
          <w:szCs w:val="22"/>
        </w:rPr>
        <w:t>On small and medium enterprises”</w:t>
      </w:r>
      <w:r>
        <w:rPr>
          <w:rFonts w:ascii="Times New Roman" w:hAnsi="Times New Roman"/>
          <w:sz w:val="22"/>
          <w:szCs w:val="22"/>
        </w:rPr>
        <w:t xml:space="preserve"> </w:t>
      </w:r>
      <w:r w:rsidR="00E80A8E">
        <w:rPr>
          <w:rFonts w:ascii="Times New Roman" w:hAnsi="Times New Roman"/>
          <w:sz w:val="22"/>
          <w:szCs w:val="22"/>
        </w:rPr>
        <w:t xml:space="preserve">dated </w:t>
      </w:r>
      <w:r>
        <w:rPr>
          <w:rFonts w:ascii="Times New Roman" w:hAnsi="Times New Roman"/>
          <w:sz w:val="22"/>
          <w:szCs w:val="22"/>
        </w:rPr>
        <w:t>17.10.2002, amended</w:t>
      </w:r>
      <w:r w:rsidR="007670F8">
        <w:rPr>
          <w:rFonts w:ascii="Times New Roman" w:hAnsi="Times New Roman"/>
          <w:sz w:val="22"/>
          <w:szCs w:val="22"/>
        </w:rPr>
        <w:t>.</w:t>
      </w:r>
      <w:r>
        <w:rPr>
          <w:rFonts w:ascii="Times New Roman" w:hAnsi="Times New Roman"/>
          <w:sz w:val="22"/>
          <w:szCs w:val="22"/>
        </w:rPr>
        <w:t xml:space="preserve"> The distinction between large and small and medium-sized enterprises is based on number of employees and annual turnover.</w:t>
      </w:r>
      <w:r w:rsidR="003A280B">
        <w:rPr>
          <w:rFonts w:ascii="Times New Roman" w:hAnsi="Times New Roman"/>
          <w:sz w:val="22"/>
          <w:szCs w:val="22"/>
        </w:rPr>
        <w:t xml:space="preserve"> </w:t>
      </w:r>
      <w:r>
        <w:rPr>
          <w:rFonts w:ascii="Times New Roman" w:hAnsi="Times New Roman"/>
          <w:sz w:val="22"/>
          <w:szCs w:val="22"/>
        </w:rPr>
        <w:t xml:space="preserve">A firm is considered large if its annual net turnover is </w:t>
      </w:r>
      <w:r w:rsidR="007670F8">
        <w:rPr>
          <w:rFonts w:ascii="Times New Roman" w:hAnsi="Times New Roman"/>
          <w:sz w:val="22"/>
          <w:szCs w:val="22"/>
        </w:rPr>
        <w:t xml:space="preserve">higher </w:t>
      </w:r>
      <w:r>
        <w:rPr>
          <w:rFonts w:ascii="Times New Roman" w:hAnsi="Times New Roman"/>
          <w:sz w:val="22"/>
          <w:szCs w:val="22"/>
        </w:rPr>
        <w:t xml:space="preserve">than ALL 250 million and has more than 250 employees. Other firms are considered to be small and medium enterprises. </w:t>
      </w:r>
    </w:p>
    <w:p w:rsidR="006A4800" w:rsidRPr="00A14441" w:rsidRDefault="006A4800" w:rsidP="006A4800">
      <w:pPr>
        <w:pStyle w:val="HTMLPreformatted"/>
        <w:spacing w:after="240" w:line="276" w:lineRule="auto"/>
        <w:rPr>
          <w:rFonts w:ascii="Times New Roman" w:eastAsiaTheme="minorHAnsi" w:hAnsi="Times New Roman" w:cs="Times New Roman"/>
          <w:sz w:val="22"/>
          <w:szCs w:val="22"/>
        </w:rPr>
      </w:pPr>
      <w:r>
        <w:rPr>
          <w:rFonts w:ascii="Times New Roman" w:hAnsi="Times New Roman"/>
          <w:b/>
          <w:sz w:val="22"/>
          <w:szCs w:val="22"/>
        </w:rPr>
        <w:t xml:space="preserve">Households/consumers. </w:t>
      </w:r>
      <w:r>
        <w:rPr>
          <w:rFonts w:ascii="Times New Roman" w:hAnsi="Times New Roman"/>
          <w:sz w:val="22"/>
          <w:szCs w:val="22"/>
        </w:rPr>
        <w:t xml:space="preserve">Based on the Law No. 9902, dated 17.04.2008, as amended, "On Consumer Protection", a consumer is any person who </w:t>
      </w:r>
      <w:r w:rsidR="007670F8">
        <w:rPr>
          <w:rFonts w:ascii="Times New Roman" w:hAnsi="Times New Roman"/>
          <w:sz w:val="22"/>
          <w:szCs w:val="22"/>
        </w:rPr>
        <w:t xml:space="preserve">purchases </w:t>
      </w:r>
      <w:r>
        <w:rPr>
          <w:rFonts w:ascii="Times New Roman" w:hAnsi="Times New Roman"/>
          <w:sz w:val="22"/>
          <w:szCs w:val="22"/>
        </w:rPr>
        <w:t>or uses goods and services to meet his / her own needs</w:t>
      </w:r>
      <w:r w:rsidR="007670F8">
        <w:rPr>
          <w:rFonts w:ascii="Times New Roman" w:hAnsi="Times New Roman"/>
          <w:sz w:val="22"/>
          <w:szCs w:val="22"/>
        </w:rPr>
        <w:t>,</w:t>
      </w:r>
      <w:r>
        <w:rPr>
          <w:rFonts w:ascii="Times New Roman" w:hAnsi="Times New Roman"/>
          <w:sz w:val="22"/>
          <w:szCs w:val="22"/>
        </w:rPr>
        <w:t xml:space="preserve"> for purposes not related to commercial activity or </w:t>
      </w:r>
      <w:r w:rsidR="007670F8">
        <w:rPr>
          <w:rFonts w:ascii="Times New Roman" w:hAnsi="Times New Roman"/>
          <w:sz w:val="22"/>
          <w:szCs w:val="22"/>
        </w:rPr>
        <w:t xml:space="preserve">to </w:t>
      </w:r>
      <w:r w:rsidRPr="00A0234C">
        <w:rPr>
          <w:rFonts w:ascii="Times New Roman" w:hAnsi="Times New Roman"/>
          <w:bCs/>
          <w:iCs/>
          <w:sz w:val="22"/>
          <w:szCs w:val="22"/>
        </w:rPr>
        <w:t>exercising their profession</w:t>
      </w:r>
      <w:r>
        <w:rPr>
          <w:rFonts w:ascii="Times New Roman" w:hAnsi="Times New Roman"/>
          <w:sz w:val="22"/>
          <w:szCs w:val="22"/>
        </w:rPr>
        <w:t xml:space="preserve">. This law considers non-profit organizations consumers as well. </w:t>
      </w:r>
    </w:p>
    <w:p w:rsidR="006A4800" w:rsidRPr="00A14441" w:rsidRDefault="006A4800" w:rsidP="006A4800">
      <w:pPr>
        <w:pStyle w:val="HTMLPreformatted"/>
        <w:spacing w:after="240" w:line="276" w:lineRule="auto"/>
        <w:rPr>
          <w:rFonts w:ascii="Times New Roman" w:eastAsiaTheme="minorHAnsi" w:hAnsi="Times New Roman" w:cs="Times New Roman"/>
          <w:sz w:val="22"/>
          <w:szCs w:val="22"/>
        </w:rPr>
      </w:pPr>
      <w:r>
        <w:rPr>
          <w:rFonts w:ascii="Times New Roman" w:hAnsi="Times New Roman"/>
          <w:b/>
          <w:sz w:val="22"/>
          <w:szCs w:val="22"/>
        </w:rPr>
        <w:t xml:space="preserve">House Purchase Loan </w:t>
      </w:r>
      <w:r>
        <w:rPr>
          <w:rFonts w:ascii="Times New Roman" w:hAnsi="Times New Roman"/>
          <w:sz w:val="22"/>
          <w:szCs w:val="22"/>
        </w:rPr>
        <w:t xml:space="preserve">This term refers to a loan granted to households by the bank for purchasing, constructing or reconstructing a residential real estate based on the Bank of Albania </w:t>
      </w:r>
      <w:r w:rsidR="00BE6BC1">
        <w:rPr>
          <w:rFonts w:ascii="Times New Roman" w:hAnsi="Times New Roman"/>
          <w:sz w:val="22"/>
          <w:szCs w:val="22"/>
        </w:rPr>
        <w:t xml:space="preserve">Supervisory Council </w:t>
      </w:r>
      <w:r>
        <w:rPr>
          <w:rFonts w:ascii="Times New Roman" w:hAnsi="Times New Roman"/>
          <w:sz w:val="22"/>
          <w:szCs w:val="22"/>
        </w:rPr>
        <w:t>Decision No. 48, dated 01.07.2015, "On Consumer Credit and Mortgage Loan". The real estate includes houses, buildings, apartments, or land on which the residential building will be built</w:t>
      </w:r>
    </w:p>
    <w:p w:rsidR="006A4800" w:rsidRPr="00A14441" w:rsidRDefault="006A4800" w:rsidP="006A4800">
      <w:pPr>
        <w:pStyle w:val="HTMLPreformatted"/>
        <w:spacing w:after="240" w:line="276" w:lineRule="auto"/>
        <w:rPr>
          <w:rFonts w:ascii="Times New Roman" w:eastAsiaTheme="minorHAnsi" w:hAnsi="Times New Roman" w:cs="Times New Roman"/>
          <w:sz w:val="22"/>
          <w:szCs w:val="22"/>
        </w:rPr>
      </w:pPr>
      <w:r>
        <w:rPr>
          <w:rFonts w:ascii="Times New Roman" w:hAnsi="Times New Roman"/>
          <w:b/>
          <w:sz w:val="22"/>
          <w:szCs w:val="22"/>
        </w:rPr>
        <w:t xml:space="preserve">Loans. </w:t>
      </w:r>
      <w:r>
        <w:rPr>
          <w:rFonts w:ascii="Times New Roman" w:hAnsi="Times New Roman"/>
          <w:sz w:val="22"/>
          <w:szCs w:val="22"/>
        </w:rPr>
        <w:t>This term refers to the provisions of Law no. 9662, dated 18.12.2006 "On banks in the Republic of Albania". In view of this survey, the loan includes all loans or credit lines to enterprises, loans to households for house purchasing, consumer loans and other loans granted to households. It should be noted that this term refers to the loan granted to residents in Albania and does not include interbank loans and loans to non-residents.</w:t>
      </w:r>
    </w:p>
    <w:p w:rsidR="006A4800" w:rsidRDefault="006A4800" w:rsidP="006A4800">
      <w:pPr>
        <w:pStyle w:val="HTMLPreformatted"/>
        <w:spacing w:after="240" w:line="276" w:lineRule="auto"/>
        <w:rPr>
          <w:rFonts w:ascii="Times New Roman" w:hAnsi="Times New Roman"/>
          <w:color w:val="000000" w:themeColor="text1"/>
          <w:sz w:val="22"/>
          <w:szCs w:val="22"/>
        </w:rPr>
      </w:pPr>
      <w:r>
        <w:rPr>
          <w:rFonts w:ascii="Times New Roman" w:hAnsi="Times New Roman"/>
          <w:b/>
          <w:color w:val="000000" w:themeColor="text1"/>
          <w:sz w:val="22"/>
          <w:szCs w:val="22"/>
        </w:rPr>
        <w:t>Loan application</w:t>
      </w:r>
      <w:r w:rsidR="00994A1C">
        <w:rPr>
          <w:rFonts w:ascii="Times New Roman" w:hAnsi="Times New Roman"/>
          <w:b/>
          <w:color w:val="000000" w:themeColor="text1"/>
          <w:sz w:val="22"/>
          <w:szCs w:val="22"/>
        </w:rPr>
        <w:t>.</w:t>
      </w:r>
      <w:r>
        <w:rPr>
          <w:rFonts w:ascii="Times New Roman" w:hAnsi="Times New Roman"/>
          <w:b/>
          <w:color w:val="000000" w:themeColor="text1"/>
          <w:sz w:val="22"/>
          <w:szCs w:val="22"/>
        </w:rPr>
        <w:t xml:space="preserve"> </w:t>
      </w:r>
      <w:r>
        <w:rPr>
          <w:rFonts w:ascii="Times New Roman" w:hAnsi="Times New Roman"/>
          <w:color w:val="000000" w:themeColor="text1"/>
          <w:sz w:val="22"/>
          <w:szCs w:val="22"/>
        </w:rPr>
        <w:t xml:space="preserve">Ideally, loan applications should cover formal loan applications as well as any informal loan requests which have not yet reached the stage of a formal loan application. If information on informal loan requests cannot be obtained, the bank's response should be referred to the volume of formal loan applications. Loan applications can be from both new and existing bank clients. However, applications from existing clients should be included only if the volume of an ongoing loan increases or a new loan is granted. </w:t>
      </w:r>
    </w:p>
    <w:p w:rsidR="006A4800" w:rsidRPr="00A14441" w:rsidRDefault="006A4800" w:rsidP="006A4800">
      <w:pPr>
        <w:pStyle w:val="HTMLPreformatted"/>
        <w:spacing w:after="240" w:line="276" w:lineRule="auto"/>
        <w:rPr>
          <w:rFonts w:ascii="Times New Roman" w:eastAsiaTheme="minorHAnsi" w:hAnsi="Times New Roman" w:cs="Times New Roman"/>
          <w:sz w:val="22"/>
          <w:szCs w:val="22"/>
        </w:rPr>
      </w:pPr>
      <w:r w:rsidRPr="00653103">
        <w:rPr>
          <w:rFonts w:ascii="Times New Roman" w:hAnsi="Times New Roman"/>
          <w:b/>
          <w:bCs/>
          <w:iCs/>
          <w:sz w:val="22"/>
          <w:szCs w:val="22"/>
        </w:rPr>
        <w:t>Loan margin/spread</w:t>
      </w:r>
      <w:r w:rsidRPr="00EE4A39">
        <w:rPr>
          <w:rFonts w:ascii="Times New Roman" w:hAnsi="Times New Roman"/>
          <w:b/>
          <w:bCs/>
          <w:sz w:val="22"/>
          <w:szCs w:val="22"/>
        </w:rPr>
        <w:t xml:space="preserve"> </w:t>
      </w:r>
      <w:r w:rsidRPr="00653103">
        <w:rPr>
          <w:rFonts w:ascii="Times New Roman" w:hAnsi="Times New Roman"/>
          <w:b/>
          <w:sz w:val="22"/>
          <w:szCs w:val="22"/>
        </w:rPr>
        <w:t>over a relevant market reference rate</w:t>
      </w:r>
      <w:r w:rsidR="000B66D5">
        <w:rPr>
          <w:rFonts w:ascii="Times New Roman" w:hAnsi="Times New Roman"/>
          <w:b/>
          <w:sz w:val="22"/>
          <w:szCs w:val="22"/>
        </w:rPr>
        <w:t>.</w:t>
      </w:r>
      <w:r w:rsidRPr="00653103">
        <w:rPr>
          <w:rFonts w:ascii="Times New Roman" w:hAnsi="Times New Roman"/>
          <w:b/>
        </w:rPr>
        <w:t xml:space="preserve"> </w:t>
      </w:r>
      <w:r>
        <w:rPr>
          <w:rFonts w:ascii="Times New Roman" w:hAnsi="Times New Roman"/>
          <w:sz w:val="22"/>
          <w:szCs w:val="22"/>
        </w:rPr>
        <w:t xml:space="preserve">The loan margin of a bank </w:t>
      </w:r>
      <w:r w:rsidR="00931FCC">
        <w:rPr>
          <w:rFonts w:ascii="Times New Roman" w:hAnsi="Times New Roman"/>
          <w:sz w:val="22"/>
          <w:szCs w:val="22"/>
        </w:rPr>
        <w:t xml:space="preserve">is </w:t>
      </w:r>
      <w:r>
        <w:rPr>
          <w:rFonts w:ascii="Times New Roman" w:hAnsi="Times New Roman"/>
          <w:sz w:val="22"/>
          <w:szCs w:val="22"/>
        </w:rPr>
        <w:t>the spre</w:t>
      </w:r>
      <w:bookmarkStart w:id="0" w:name="_GoBack"/>
      <w:bookmarkEnd w:id="0"/>
      <w:r>
        <w:rPr>
          <w:rFonts w:ascii="Times New Roman" w:hAnsi="Times New Roman"/>
          <w:sz w:val="22"/>
          <w:szCs w:val="22"/>
        </w:rPr>
        <w:t xml:space="preserve">ad over a relevant market reference rate (e.g. EURIBOR, LIBOR or the interest rate swap of a </w:t>
      </w:r>
      <w:r>
        <w:rPr>
          <w:rFonts w:ascii="Times New Roman" w:hAnsi="Times New Roman"/>
          <w:sz w:val="22"/>
          <w:szCs w:val="22"/>
        </w:rPr>
        <w:lastRenderedPageBreak/>
        <w:t>corresponding maturity for fixed rate loans)</w:t>
      </w:r>
      <w:r w:rsidR="00EA532E">
        <w:rPr>
          <w:rFonts w:ascii="Times New Roman" w:hAnsi="Times New Roman"/>
          <w:sz w:val="22"/>
          <w:szCs w:val="22"/>
        </w:rPr>
        <w:t xml:space="preserve">. The type of loan plays a crucial role in determining the margins. </w:t>
      </w:r>
      <w:r w:rsidR="00994A1C">
        <w:rPr>
          <w:rFonts w:ascii="Times New Roman" w:hAnsi="Times New Roman"/>
          <w:sz w:val="22"/>
          <w:szCs w:val="22"/>
        </w:rPr>
        <w:t>S</w:t>
      </w:r>
      <w:r w:rsidR="00EA532E">
        <w:rPr>
          <w:rFonts w:ascii="Times New Roman" w:hAnsi="Times New Roman"/>
          <w:sz w:val="22"/>
          <w:szCs w:val="22"/>
        </w:rPr>
        <w:t xml:space="preserve">uch </w:t>
      </w:r>
      <w:r>
        <w:rPr>
          <w:rFonts w:ascii="Times New Roman" w:hAnsi="Times New Roman"/>
          <w:sz w:val="22"/>
          <w:szCs w:val="22"/>
        </w:rPr>
        <w:t>a spread would capture changes in the bank’s lending rates related to changes in the bank’s funding cost as well as in borrower risk, as well as the perception of the bank about the country's political and economic prospects. In detail, the spread reflects changes in bank interest rates independent of changes in market rates (such as Repo, Treasury Bills, EURIBOR or LIBOR).</w:t>
      </w:r>
    </w:p>
    <w:p w:rsidR="006A4800" w:rsidRDefault="006A4800" w:rsidP="006A4800">
      <w:pPr>
        <w:pStyle w:val="HTMLPreformatted"/>
        <w:spacing w:after="240" w:line="276" w:lineRule="auto"/>
        <w:rPr>
          <w:rFonts w:ascii="Times New Roman" w:hAnsi="Times New Roman"/>
          <w:color w:val="000000" w:themeColor="text1"/>
          <w:sz w:val="22"/>
          <w:szCs w:val="22"/>
        </w:rPr>
      </w:pPr>
      <w:r>
        <w:rPr>
          <w:rFonts w:ascii="Times New Roman" w:hAnsi="Times New Roman"/>
          <w:b/>
          <w:bCs/>
          <w:color w:val="000000" w:themeColor="text1"/>
          <w:sz w:val="22"/>
          <w:szCs w:val="22"/>
        </w:rPr>
        <w:t xml:space="preserve">Loan rejection </w:t>
      </w:r>
      <w:r>
        <w:rPr>
          <w:rFonts w:ascii="Times New Roman" w:hAnsi="Times New Roman"/>
          <w:color w:val="000000" w:themeColor="text1"/>
          <w:sz w:val="22"/>
          <w:szCs w:val="22"/>
        </w:rPr>
        <w:t xml:space="preserve">refers to the rejection of </w:t>
      </w:r>
      <w:r w:rsidR="00FD680A">
        <w:rPr>
          <w:rFonts w:ascii="Times New Roman" w:hAnsi="Times New Roman"/>
          <w:color w:val="000000" w:themeColor="text1"/>
          <w:sz w:val="22"/>
          <w:szCs w:val="22"/>
        </w:rPr>
        <w:t xml:space="preserve">the formal </w:t>
      </w:r>
      <w:r>
        <w:rPr>
          <w:rFonts w:ascii="Times New Roman" w:hAnsi="Times New Roman"/>
          <w:color w:val="000000" w:themeColor="text1"/>
          <w:sz w:val="22"/>
          <w:szCs w:val="22"/>
        </w:rPr>
        <w:t xml:space="preserve">loan application. </w:t>
      </w:r>
      <w:r w:rsidR="00994A1C">
        <w:rPr>
          <w:rFonts w:ascii="Times New Roman" w:hAnsi="Times New Roman"/>
          <w:color w:val="000000" w:themeColor="text1"/>
          <w:sz w:val="22"/>
          <w:szCs w:val="22"/>
        </w:rPr>
        <w:t>I</w:t>
      </w:r>
      <w:r w:rsidR="00FD680A">
        <w:rPr>
          <w:rFonts w:ascii="Times New Roman" w:hAnsi="Times New Roman"/>
          <w:color w:val="000000" w:themeColor="text1"/>
          <w:sz w:val="22"/>
          <w:szCs w:val="22"/>
        </w:rPr>
        <w:t xml:space="preserve">n determining the loan rejection ratio, one should refer </w:t>
      </w:r>
      <w:r>
        <w:rPr>
          <w:rFonts w:ascii="Times New Roman" w:hAnsi="Times New Roman"/>
          <w:color w:val="000000" w:themeColor="text1"/>
          <w:sz w:val="22"/>
          <w:szCs w:val="22"/>
        </w:rPr>
        <w:t>to the volume of loan rejections relative to the volume of loan applications/requests for that quarter.</w:t>
      </w:r>
      <w:r>
        <w:rPr>
          <w:rFonts w:ascii="Times New Roman" w:hAnsi="Times New Roman"/>
          <w:color w:val="000000" w:themeColor="text1"/>
        </w:rPr>
        <w:t xml:space="preserve"> </w:t>
      </w:r>
      <w:r>
        <w:rPr>
          <w:rFonts w:ascii="Times New Roman" w:hAnsi="Times New Roman"/>
          <w:color w:val="000000" w:themeColor="text1"/>
          <w:sz w:val="22"/>
          <w:szCs w:val="22"/>
        </w:rPr>
        <w:t xml:space="preserve">Loan rejections do not include cases in which the borrower withdraws a loan application/request because the bank's conditions are considered unfavourable. </w:t>
      </w:r>
    </w:p>
    <w:p w:rsidR="006A4800" w:rsidRDefault="006A4800" w:rsidP="006A4800">
      <w:pPr>
        <w:pStyle w:val="HTMLPreformatted"/>
        <w:spacing w:after="240" w:line="276" w:lineRule="auto"/>
        <w:rPr>
          <w:rFonts w:ascii="Times New Roman" w:hAnsi="Times New Roman"/>
          <w:b/>
          <w:bCs/>
          <w:iCs/>
          <w:sz w:val="22"/>
          <w:szCs w:val="22"/>
        </w:rPr>
      </w:pPr>
      <w:r>
        <w:rPr>
          <w:rFonts w:ascii="Times New Roman" w:hAnsi="Times New Roman"/>
          <w:b/>
        </w:rPr>
        <w:t>Loan-to-value ratio</w:t>
      </w:r>
      <w:r w:rsidR="00FD680A">
        <w:rPr>
          <w:rFonts w:ascii="Times New Roman" w:hAnsi="Times New Roman"/>
          <w:b/>
        </w:rPr>
        <w:t>.</w:t>
      </w:r>
      <w:r>
        <w:rPr>
          <w:rFonts w:ascii="Times New Roman" w:hAnsi="Times New Roman"/>
          <w:b/>
        </w:rPr>
        <w:t xml:space="preserve"> </w:t>
      </w:r>
      <w:r>
        <w:rPr>
          <w:rFonts w:ascii="Times New Roman" w:hAnsi="Times New Roman"/>
        </w:rPr>
        <w:t xml:space="preserve">The ratio of the amount borrowed to the appraisal or market value of the underlying collateral, usually taken into </w:t>
      </w:r>
      <w:r w:rsidR="00E854A7">
        <w:rPr>
          <w:rFonts w:ascii="Times New Roman" w:hAnsi="Times New Roman"/>
        </w:rPr>
        <w:t>account regarding the</w:t>
      </w:r>
      <w:r>
        <w:rPr>
          <w:rFonts w:ascii="Times New Roman" w:hAnsi="Times New Roman"/>
        </w:rPr>
        <w:t xml:space="preserve"> loans used for real estate financing</w:t>
      </w:r>
      <w:r w:rsidR="00E854A7">
        <w:rPr>
          <w:rFonts w:ascii="Times New Roman" w:hAnsi="Times New Roman"/>
        </w:rPr>
        <w:t>.</w:t>
      </w:r>
    </w:p>
    <w:p w:rsidR="004A745C" w:rsidRPr="00924CE4" w:rsidRDefault="004A745C" w:rsidP="009C1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imes New Roman" w:hAnsi="Times New Roman"/>
        </w:rPr>
      </w:pPr>
      <w:r w:rsidRPr="00924CE4">
        <w:rPr>
          <w:rFonts w:ascii="Times New Roman" w:hAnsi="Times New Roman"/>
          <w:b/>
        </w:rPr>
        <w:t>Marketing campaigns</w:t>
      </w:r>
      <w:r w:rsidR="00A05501">
        <w:rPr>
          <w:rFonts w:ascii="Times New Roman" w:hAnsi="Times New Roman"/>
          <w:b/>
        </w:rPr>
        <w:t>.</w:t>
      </w:r>
      <w:r>
        <w:rPr>
          <w:rFonts w:ascii="Times New Roman" w:hAnsi="Times New Roman"/>
        </w:rPr>
        <w:t xml:space="preserve"> This indicator is one of the factors that </w:t>
      </w:r>
      <w:r w:rsidR="00E854A7">
        <w:rPr>
          <w:rFonts w:ascii="Times New Roman" w:hAnsi="Times New Roman"/>
        </w:rPr>
        <w:t xml:space="preserve">has </w:t>
      </w:r>
      <w:r w:rsidR="00003F59">
        <w:rPr>
          <w:rFonts w:ascii="Times New Roman" w:hAnsi="Times New Roman"/>
        </w:rPr>
        <w:t xml:space="preserve">an </w:t>
      </w:r>
      <w:r w:rsidR="00E854A7">
        <w:rPr>
          <w:rFonts w:ascii="Times New Roman" w:hAnsi="Times New Roman"/>
        </w:rPr>
        <w:t xml:space="preserve">impact over </w:t>
      </w:r>
      <w:r>
        <w:rPr>
          <w:rFonts w:ascii="Times New Roman" w:hAnsi="Times New Roman"/>
        </w:rPr>
        <w:t>both demand and supply of loan</w:t>
      </w:r>
      <w:r w:rsidR="00A0234C">
        <w:rPr>
          <w:rFonts w:ascii="Times New Roman" w:hAnsi="Times New Roman"/>
        </w:rPr>
        <w:t>s</w:t>
      </w:r>
      <w:r>
        <w:rPr>
          <w:rFonts w:ascii="Times New Roman" w:hAnsi="Times New Roman"/>
        </w:rPr>
        <w:t xml:space="preserve">. Marketing campaigns should be interpreted as factors that affect the loan supply only when the standards or credit conditions change. In other cases (when </w:t>
      </w:r>
      <w:r w:rsidR="00A0234C">
        <w:rPr>
          <w:rFonts w:ascii="Times New Roman" w:hAnsi="Times New Roman"/>
        </w:rPr>
        <w:t xml:space="preserve">credit </w:t>
      </w:r>
      <w:r>
        <w:rPr>
          <w:rFonts w:ascii="Times New Roman" w:hAnsi="Times New Roman"/>
        </w:rPr>
        <w:t xml:space="preserve">standards or terms </w:t>
      </w:r>
      <w:r w:rsidR="00A0234C">
        <w:rPr>
          <w:rFonts w:ascii="Times New Roman" w:hAnsi="Times New Roman"/>
        </w:rPr>
        <w:t xml:space="preserve">and conditions </w:t>
      </w:r>
      <w:r>
        <w:rPr>
          <w:rFonts w:ascii="Times New Roman" w:hAnsi="Times New Roman"/>
        </w:rPr>
        <w:t>do not change through marketing campaigns)</w:t>
      </w:r>
      <w:r w:rsidR="00A0234C">
        <w:rPr>
          <w:rFonts w:ascii="Times New Roman" w:hAnsi="Times New Roman"/>
        </w:rPr>
        <w:t>,</w:t>
      </w:r>
      <w:r>
        <w:rPr>
          <w:rFonts w:ascii="Times New Roman" w:hAnsi="Times New Roman"/>
        </w:rPr>
        <w:t xml:space="preserve"> this indicator is grouped among the factors </w:t>
      </w:r>
      <w:r w:rsidR="00E854A7">
        <w:rPr>
          <w:rFonts w:ascii="Times New Roman" w:hAnsi="Times New Roman"/>
        </w:rPr>
        <w:t xml:space="preserve">stimulating </w:t>
      </w:r>
      <w:r>
        <w:rPr>
          <w:rFonts w:ascii="Times New Roman" w:hAnsi="Times New Roman"/>
        </w:rPr>
        <w:t xml:space="preserve">the credit demand. </w:t>
      </w:r>
      <w:r w:rsidR="00E854A7">
        <w:rPr>
          <w:rFonts w:ascii="Times New Roman" w:hAnsi="Times New Roman"/>
        </w:rPr>
        <w:t>If this is the case</w:t>
      </w:r>
      <w:r>
        <w:rPr>
          <w:rFonts w:ascii="Times New Roman" w:hAnsi="Times New Roman"/>
        </w:rPr>
        <w:t xml:space="preserve">, respondents should indicate the role of marketing campaigns under “Other factors” in questions 6, </w:t>
      </w:r>
      <w:r w:rsidR="00E854A7">
        <w:rPr>
          <w:rFonts w:ascii="Times New Roman" w:hAnsi="Times New Roman"/>
        </w:rPr>
        <w:t xml:space="preserve">and </w:t>
      </w:r>
      <w:r>
        <w:rPr>
          <w:rFonts w:ascii="Times New Roman" w:hAnsi="Times New Roman"/>
        </w:rPr>
        <w:t>12</w:t>
      </w:r>
      <w:r w:rsidR="00E854A7">
        <w:rPr>
          <w:rFonts w:ascii="Times New Roman" w:hAnsi="Times New Roman"/>
        </w:rPr>
        <w:t>,</w:t>
      </w:r>
      <w:r>
        <w:rPr>
          <w:rFonts w:ascii="Times New Roman" w:hAnsi="Times New Roman"/>
        </w:rPr>
        <w:t xml:space="preserve"> on the factors affecting loan demand for enterprises and households.</w:t>
      </w:r>
    </w:p>
    <w:p w:rsidR="006A4800" w:rsidRPr="00A14441" w:rsidRDefault="006A4800" w:rsidP="006A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imes New Roman" w:hAnsi="Times New Roman" w:cs="Times New Roman"/>
        </w:rPr>
      </w:pPr>
      <w:r>
        <w:rPr>
          <w:rFonts w:ascii="Times New Roman" w:hAnsi="Times New Roman"/>
          <w:b/>
        </w:rPr>
        <w:t>Maturity</w:t>
      </w:r>
      <w:r w:rsidR="00E854A7">
        <w:rPr>
          <w:rFonts w:ascii="Times New Roman" w:hAnsi="Times New Roman"/>
          <w:b/>
        </w:rPr>
        <w:t>.</w:t>
      </w:r>
      <w:r>
        <w:rPr>
          <w:rFonts w:ascii="Times New Roman" w:hAnsi="Times New Roman"/>
        </w:rPr>
        <w:t xml:space="preserve"> The concept of maturity refers to the original maturity, the duration of the loan </w:t>
      </w:r>
      <w:r w:rsidR="00E854A7">
        <w:rPr>
          <w:rFonts w:ascii="Times New Roman" w:hAnsi="Times New Roman"/>
        </w:rPr>
        <w:t>as agreed</w:t>
      </w:r>
      <w:r>
        <w:rPr>
          <w:rFonts w:ascii="Times New Roman" w:hAnsi="Times New Roman"/>
        </w:rPr>
        <w:t xml:space="preserve"> </w:t>
      </w:r>
      <w:r w:rsidR="00E854A7">
        <w:rPr>
          <w:rFonts w:ascii="Times New Roman" w:hAnsi="Times New Roman"/>
        </w:rPr>
        <w:t xml:space="preserve">and signed </w:t>
      </w:r>
      <w:r>
        <w:rPr>
          <w:rFonts w:ascii="Times New Roman" w:hAnsi="Times New Roman"/>
        </w:rPr>
        <w:t xml:space="preserve">between the borrower and the bank. </w:t>
      </w:r>
    </w:p>
    <w:p w:rsidR="004A745C" w:rsidRPr="00A14441" w:rsidRDefault="00924CE4" w:rsidP="009C1361">
      <w:pPr>
        <w:pStyle w:val="HTMLPreformatted"/>
        <w:spacing w:after="240" w:line="276" w:lineRule="auto"/>
        <w:rPr>
          <w:rFonts w:ascii="Times New Roman" w:eastAsiaTheme="minorHAnsi" w:hAnsi="Times New Roman" w:cs="Times New Roman"/>
          <w:sz w:val="22"/>
          <w:szCs w:val="22"/>
        </w:rPr>
      </w:pPr>
      <w:r>
        <w:rPr>
          <w:rFonts w:ascii="Times New Roman" w:hAnsi="Times New Roman"/>
          <w:b/>
          <w:bCs/>
          <w:sz w:val="22"/>
          <w:szCs w:val="22"/>
        </w:rPr>
        <w:t>Non-banks</w:t>
      </w:r>
      <w:r w:rsidR="00E854A7">
        <w:rPr>
          <w:rFonts w:ascii="Times New Roman" w:hAnsi="Times New Roman"/>
          <w:b/>
          <w:bCs/>
          <w:sz w:val="22"/>
          <w:szCs w:val="22"/>
        </w:rPr>
        <w:t>.</w:t>
      </w:r>
      <w:r w:rsidR="004A745C">
        <w:rPr>
          <w:rFonts w:ascii="Times New Roman" w:hAnsi="Times New Roman"/>
          <w:sz w:val="22"/>
          <w:szCs w:val="22"/>
        </w:rPr>
        <w:t xml:space="preserve"> In general, these are non-monetary financial corporations. They include insurance corporations and pension funds, financial auxiliaries and other financial intermediaries.</w:t>
      </w:r>
    </w:p>
    <w:p w:rsidR="009124C4" w:rsidRPr="00A14441" w:rsidRDefault="000F3729" w:rsidP="009C1361">
      <w:pPr>
        <w:spacing w:after="240" w:line="276" w:lineRule="auto"/>
        <w:rPr>
          <w:rFonts w:ascii="Times New Roman" w:hAnsi="Times New Roman" w:cs="Times New Roman"/>
        </w:rPr>
      </w:pPr>
      <w:r>
        <w:rPr>
          <w:rFonts w:ascii="Times New Roman" w:hAnsi="Times New Roman"/>
          <w:b/>
        </w:rPr>
        <w:t>Non-interest rate charges</w:t>
      </w:r>
      <w:r w:rsidR="00994A1C">
        <w:rPr>
          <w:rFonts w:ascii="Times New Roman" w:hAnsi="Times New Roman"/>
          <w:b/>
        </w:rPr>
        <w:t xml:space="preserve">. </w:t>
      </w:r>
      <w:r w:rsidR="00994A1C" w:rsidRPr="00994A1C">
        <w:rPr>
          <w:rFonts w:ascii="Times New Roman" w:hAnsi="Times New Roman"/>
        </w:rPr>
        <w:t>These</w:t>
      </w:r>
      <w:r w:rsidR="00994A1C">
        <w:rPr>
          <w:rFonts w:ascii="Times New Roman" w:hAnsi="Times New Roman"/>
          <w:b/>
        </w:rPr>
        <w:t xml:space="preserve"> </w:t>
      </w:r>
      <w:r>
        <w:rPr>
          <w:rFonts w:ascii="Times New Roman" w:hAnsi="Times New Roman"/>
        </w:rPr>
        <w:t>are various kinds of fees which can be part of the pricing of a loan, such as commitment fees on revolving loans, administration fees (e.g. document preparation costs) and charges for enquiries, guarantees and credit insurance.</w:t>
      </w:r>
    </w:p>
    <w:p w:rsidR="004A745C" w:rsidRPr="00A14441" w:rsidRDefault="004A745C" w:rsidP="009C1361">
      <w:pPr>
        <w:pStyle w:val="HTMLPreformatted"/>
        <w:spacing w:after="240" w:line="276" w:lineRule="auto"/>
        <w:rPr>
          <w:rFonts w:ascii="Times New Roman" w:eastAsiaTheme="minorHAnsi" w:hAnsi="Times New Roman" w:cs="Times New Roman"/>
          <w:sz w:val="22"/>
          <w:szCs w:val="22"/>
        </w:rPr>
      </w:pPr>
      <w:r>
        <w:rPr>
          <w:rFonts w:ascii="Times New Roman" w:hAnsi="Times New Roman"/>
          <w:b/>
          <w:sz w:val="22"/>
          <w:szCs w:val="22"/>
        </w:rPr>
        <w:t>Perception of risk and risk tolerance</w:t>
      </w:r>
      <w:r w:rsidR="00994A1C">
        <w:rPr>
          <w:rFonts w:ascii="Times New Roman" w:hAnsi="Times New Roman"/>
          <w:b/>
          <w:sz w:val="22"/>
          <w:szCs w:val="22"/>
        </w:rPr>
        <w:t xml:space="preserve">. </w:t>
      </w:r>
      <w:r w:rsidR="00994A1C" w:rsidRPr="00994A1C">
        <w:rPr>
          <w:rFonts w:ascii="Times New Roman" w:hAnsi="Times New Roman"/>
          <w:sz w:val="22"/>
          <w:szCs w:val="22"/>
        </w:rPr>
        <w:t>The p</w:t>
      </w:r>
      <w:r>
        <w:rPr>
          <w:rFonts w:ascii="Times New Roman" w:hAnsi="Times New Roman"/>
          <w:sz w:val="22"/>
          <w:szCs w:val="22"/>
        </w:rPr>
        <w:t>erception of risk refers to the bank's perception of actual risk and its reaction to developments related to the general economic situation and outlook, the industry or firm-specific situation and outlook, the borrower's creditworthiness, as well as the collateral demanded (demand-side factors). By contrast, risk tolerance refers to the risk tolerance of the bank in its lending policy, which may alter due to changes in the bank's underlying business strategy (supply-side factors). Banks' perception of actual risk and their risk tolerance may either change in line with each other or move in different directions.</w:t>
      </w:r>
    </w:p>
    <w:p w:rsidR="000829B4" w:rsidRPr="00A14441" w:rsidRDefault="000829B4" w:rsidP="007844CF">
      <w:pPr>
        <w:pStyle w:val="HTMLPreformatted"/>
        <w:spacing w:after="240" w:line="276" w:lineRule="auto"/>
        <w:rPr>
          <w:rFonts w:ascii="Times New Roman" w:hAnsi="Times New Roman" w:cs="Times New Roman"/>
        </w:rPr>
      </w:pPr>
    </w:p>
    <w:sectPr w:rsidR="000829B4" w:rsidRPr="00A14441" w:rsidSect="009C1361">
      <w:headerReference w:type="default" r:id="rId7"/>
      <w:footerReference w:type="default" r:id="rId8"/>
      <w:headerReference w:type="first" r:id="rId9"/>
      <w:pgSz w:w="11906" w:h="16838"/>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954" w:rsidRDefault="00DC2954" w:rsidP="00D444C4">
      <w:r>
        <w:separator/>
      </w:r>
    </w:p>
  </w:endnote>
  <w:endnote w:type="continuationSeparator" w:id="0">
    <w:p w:rsidR="00DC2954" w:rsidRDefault="00DC2954" w:rsidP="00D4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059216391"/>
      <w:docPartObj>
        <w:docPartGallery w:val="Page Numbers (Bottom of Page)"/>
        <w:docPartUnique/>
      </w:docPartObj>
    </w:sdtPr>
    <w:sdtEndPr>
      <w:rPr>
        <w:noProof/>
      </w:rPr>
    </w:sdtEndPr>
    <w:sdtContent>
      <w:p w:rsidR="00EF7255" w:rsidRPr="00A14441" w:rsidRDefault="00EF7255">
        <w:pPr>
          <w:pStyle w:val="Footer"/>
          <w:jc w:val="right"/>
          <w:rPr>
            <w:rFonts w:ascii="Times New Roman" w:hAnsi="Times New Roman" w:cs="Times New Roman"/>
            <w:sz w:val="20"/>
          </w:rPr>
        </w:pPr>
        <w:r w:rsidRPr="00A14441">
          <w:rPr>
            <w:rFonts w:ascii="Times New Roman" w:hAnsi="Times New Roman" w:cs="Times New Roman"/>
            <w:sz w:val="20"/>
          </w:rPr>
          <w:fldChar w:fldCharType="begin"/>
        </w:r>
        <w:r w:rsidRPr="00A14441">
          <w:rPr>
            <w:rFonts w:ascii="Times New Roman" w:hAnsi="Times New Roman" w:cs="Times New Roman"/>
            <w:sz w:val="20"/>
          </w:rPr>
          <w:instrText>PAGE   \* MERGEFORMAT</w:instrText>
        </w:r>
        <w:r w:rsidRPr="00A14441">
          <w:rPr>
            <w:rFonts w:ascii="Times New Roman" w:hAnsi="Times New Roman" w:cs="Times New Roman"/>
            <w:sz w:val="20"/>
          </w:rPr>
          <w:fldChar w:fldCharType="separate"/>
        </w:r>
        <w:r w:rsidR="003A280B">
          <w:rPr>
            <w:rFonts w:ascii="Times New Roman" w:hAnsi="Times New Roman" w:cs="Times New Roman"/>
            <w:noProof/>
            <w:sz w:val="20"/>
          </w:rPr>
          <w:t>3</w:t>
        </w:r>
        <w:r w:rsidRPr="00A14441">
          <w:rPr>
            <w:rFonts w:ascii="Times New Roman" w:hAnsi="Times New Roman" w:cs="Times New Roman"/>
            <w:sz w:val="20"/>
          </w:rPr>
          <w:fldChar w:fldCharType="end"/>
        </w:r>
      </w:p>
    </w:sdtContent>
  </w:sdt>
  <w:p w:rsidR="00EF7255" w:rsidRDefault="00EF7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954" w:rsidRDefault="00DC2954" w:rsidP="00D444C4">
      <w:r>
        <w:separator/>
      </w:r>
    </w:p>
  </w:footnote>
  <w:footnote w:type="continuationSeparator" w:id="0">
    <w:p w:rsidR="00DC2954" w:rsidRDefault="00DC2954" w:rsidP="00D444C4">
      <w:r>
        <w:continuationSeparator/>
      </w:r>
    </w:p>
  </w:footnote>
  <w:footnote w:id="1">
    <w:p w:rsidR="00A05501" w:rsidRPr="00653103" w:rsidRDefault="00A05501" w:rsidP="00A05501">
      <w:pPr>
        <w:pStyle w:val="FootnoteText"/>
        <w:rPr>
          <w:rFonts w:ascii="Times New Roman" w:hAnsi="Times New Roman" w:cs="Times New Roman"/>
          <w:sz w:val="18"/>
        </w:rPr>
      </w:pPr>
      <w:r w:rsidRPr="00653103">
        <w:rPr>
          <w:rStyle w:val="FootnoteReference"/>
          <w:rFonts w:ascii="Times New Roman" w:hAnsi="Times New Roman" w:cs="Times New Roman"/>
          <w:sz w:val="18"/>
        </w:rPr>
        <w:footnoteRef/>
      </w:r>
      <w:r w:rsidRPr="00653103">
        <w:rPr>
          <w:rFonts w:ascii="Times New Roman" w:hAnsi="Times New Roman" w:cs="Times New Roman"/>
          <w:sz w:val="18"/>
        </w:rPr>
        <w:t>Capital accounted for banking supervision purposes, including different capital and reserves categories, as well as other elements that are defined by the Bank of Albania by sub-legal acts</w:t>
      </w:r>
      <w:r>
        <w:rPr>
          <w:rFonts w:ascii="Times New Roman" w:hAnsi="Times New Roman" w:cs="Times New Roman"/>
          <w:sz w:val="18"/>
        </w:rPr>
        <w:t>.</w:t>
      </w:r>
    </w:p>
  </w:footnote>
  <w:footnote w:id="2">
    <w:p w:rsidR="006A4800" w:rsidRPr="00653103" w:rsidRDefault="006A4800" w:rsidP="006A4800">
      <w:pPr>
        <w:pStyle w:val="FootnoteText"/>
        <w:rPr>
          <w:rFonts w:ascii="Times New Roman" w:hAnsi="Times New Roman" w:cs="Times New Roman"/>
          <w:sz w:val="18"/>
        </w:rPr>
      </w:pPr>
      <w:r w:rsidRPr="00653103">
        <w:rPr>
          <w:rStyle w:val="FootnoteReference"/>
          <w:rFonts w:ascii="Times New Roman" w:hAnsi="Times New Roman" w:cs="Times New Roman"/>
          <w:sz w:val="18"/>
        </w:rPr>
        <w:footnoteRef/>
      </w:r>
      <w:r w:rsidRPr="00653103">
        <w:rPr>
          <w:rFonts w:ascii="Times New Roman" w:hAnsi="Times New Roman" w:cs="Times New Roman"/>
          <w:sz w:val="18"/>
        </w:rPr>
        <w:t xml:space="preserve"> For the purpose of this questionnaire the term loan is equivalent to the term </w:t>
      </w:r>
      <w:r w:rsidRPr="00653103">
        <w:rPr>
          <w:rFonts w:ascii="Times New Roman" w:hAnsi="Times New Roman" w:cs="Times New Roman"/>
          <w:bCs/>
          <w:iCs/>
          <w:sz w:val="18"/>
        </w:rPr>
        <w:t>credit</w:t>
      </w:r>
      <w:r w:rsidRPr="00653103">
        <w:rPr>
          <w:rFonts w:ascii="Times New Roman" w:hAnsi="Times New Roman" w:cs="Times New Roman"/>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7F7F7F" w:themeColor="text1" w:themeTint="80"/>
        <w:sz w:val="24"/>
      </w:rPr>
      <w:alias w:val="Title"/>
      <w:tag w:val=""/>
      <w:id w:val="1116400235"/>
      <w:placeholder>
        <w:docPart w:val="5913A70805404877832555A3E189D0AF"/>
      </w:placeholder>
      <w:dataBinding w:prefixMappings="xmlns:ns0='http://purl.org/dc/elements/1.1/' xmlns:ns1='http://schemas.openxmlformats.org/package/2006/metadata/core-properties' " w:xpath="/ns1:coreProperties[1]/ns0:title[1]" w:storeItemID="{6C3C8BC8-F283-45AE-878A-BAB7291924A1}"/>
      <w:text/>
    </w:sdtPr>
    <w:sdtEndPr/>
    <w:sdtContent>
      <w:p w:rsidR="00A14441" w:rsidRPr="009C1361" w:rsidRDefault="00D8215D" w:rsidP="009C1361">
        <w:pPr>
          <w:pStyle w:val="Header"/>
          <w:jc w:val="right"/>
          <w:rPr>
            <w:rFonts w:ascii="Times New Roman" w:hAnsi="Times New Roman" w:cs="Times New Roman"/>
            <w:color w:val="7F7F7F" w:themeColor="text1" w:themeTint="80"/>
            <w:sz w:val="24"/>
          </w:rPr>
        </w:pPr>
        <w:r>
          <w:rPr>
            <w:rFonts w:ascii="Times New Roman" w:hAnsi="Times New Roman" w:cs="Times New Roman"/>
            <w:color w:val="7F7F7F" w:themeColor="text1" w:themeTint="80"/>
            <w:sz w:val="24"/>
          </w:rPr>
          <w:t>Glossary- Bank Lending Survey</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96" w:rsidRDefault="00521F96" w:rsidP="00521F96">
    <w:pPr>
      <w:pStyle w:val="Header"/>
      <w:tabs>
        <w:tab w:val="clear" w:pos="4513"/>
        <w:tab w:val="clear" w:pos="9026"/>
        <w:tab w:val="left" w:pos="366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14"/>
    <w:rsid w:val="00001857"/>
    <w:rsid w:val="00002429"/>
    <w:rsid w:val="000030CE"/>
    <w:rsid w:val="00003F59"/>
    <w:rsid w:val="00005F64"/>
    <w:rsid w:val="00012AB7"/>
    <w:rsid w:val="0003178A"/>
    <w:rsid w:val="00041D98"/>
    <w:rsid w:val="00051D24"/>
    <w:rsid w:val="000829B4"/>
    <w:rsid w:val="000949F8"/>
    <w:rsid w:val="00097979"/>
    <w:rsid w:val="000B16EE"/>
    <w:rsid w:val="000B4C13"/>
    <w:rsid w:val="000B5103"/>
    <w:rsid w:val="000B66D5"/>
    <w:rsid w:val="000C44E5"/>
    <w:rsid w:val="000C693A"/>
    <w:rsid w:val="000D5BE7"/>
    <w:rsid w:val="000D5E8D"/>
    <w:rsid w:val="000F3729"/>
    <w:rsid w:val="000F78CA"/>
    <w:rsid w:val="00102892"/>
    <w:rsid w:val="001125E1"/>
    <w:rsid w:val="00120E52"/>
    <w:rsid w:val="00127061"/>
    <w:rsid w:val="00133417"/>
    <w:rsid w:val="001623FB"/>
    <w:rsid w:val="001629C6"/>
    <w:rsid w:val="0018578D"/>
    <w:rsid w:val="00187F54"/>
    <w:rsid w:val="001A3D1B"/>
    <w:rsid w:val="001A6DF3"/>
    <w:rsid w:val="001D4A1C"/>
    <w:rsid w:val="001F7BCD"/>
    <w:rsid w:val="002046BC"/>
    <w:rsid w:val="00206DC6"/>
    <w:rsid w:val="00212315"/>
    <w:rsid w:val="0022054C"/>
    <w:rsid w:val="00220F90"/>
    <w:rsid w:val="0022341A"/>
    <w:rsid w:val="002445AD"/>
    <w:rsid w:val="002576E4"/>
    <w:rsid w:val="00265F99"/>
    <w:rsid w:val="002663CD"/>
    <w:rsid w:val="00266F8E"/>
    <w:rsid w:val="00267B84"/>
    <w:rsid w:val="0028649D"/>
    <w:rsid w:val="00292543"/>
    <w:rsid w:val="00294639"/>
    <w:rsid w:val="002A5CD2"/>
    <w:rsid w:val="002B0A69"/>
    <w:rsid w:val="002B68D6"/>
    <w:rsid w:val="002C57DF"/>
    <w:rsid w:val="002E320F"/>
    <w:rsid w:val="002F1D6B"/>
    <w:rsid w:val="002F42CC"/>
    <w:rsid w:val="00305030"/>
    <w:rsid w:val="00306EF1"/>
    <w:rsid w:val="003114E6"/>
    <w:rsid w:val="003118A5"/>
    <w:rsid w:val="003241CB"/>
    <w:rsid w:val="00325A78"/>
    <w:rsid w:val="00327B48"/>
    <w:rsid w:val="00330DD8"/>
    <w:rsid w:val="00334A86"/>
    <w:rsid w:val="00340B51"/>
    <w:rsid w:val="00347444"/>
    <w:rsid w:val="00363822"/>
    <w:rsid w:val="00364FC5"/>
    <w:rsid w:val="0038455F"/>
    <w:rsid w:val="003933DC"/>
    <w:rsid w:val="0039534F"/>
    <w:rsid w:val="00396BDD"/>
    <w:rsid w:val="003A1157"/>
    <w:rsid w:val="003A280B"/>
    <w:rsid w:val="003B6D71"/>
    <w:rsid w:val="003C1603"/>
    <w:rsid w:val="003C29D7"/>
    <w:rsid w:val="003D2AC5"/>
    <w:rsid w:val="003E04F5"/>
    <w:rsid w:val="003E2B74"/>
    <w:rsid w:val="003E363D"/>
    <w:rsid w:val="003F2BAC"/>
    <w:rsid w:val="004048DA"/>
    <w:rsid w:val="0043248D"/>
    <w:rsid w:val="0045508B"/>
    <w:rsid w:val="004758A3"/>
    <w:rsid w:val="0047698C"/>
    <w:rsid w:val="00492A86"/>
    <w:rsid w:val="0049439D"/>
    <w:rsid w:val="004A41BC"/>
    <w:rsid w:val="004A745C"/>
    <w:rsid w:val="004B48A8"/>
    <w:rsid w:val="004C70A4"/>
    <w:rsid w:val="004D0A71"/>
    <w:rsid w:val="004D65FD"/>
    <w:rsid w:val="004E532E"/>
    <w:rsid w:val="004E6330"/>
    <w:rsid w:val="00521F96"/>
    <w:rsid w:val="0053099F"/>
    <w:rsid w:val="005313A1"/>
    <w:rsid w:val="00544CCF"/>
    <w:rsid w:val="005478B0"/>
    <w:rsid w:val="00567FA9"/>
    <w:rsid w:val="0057354E"/>
    <w:rsid w:val="00574A1C"/>
    <w:rsid w:val="0058121F"/>
    <w:rsid w:val="00581A7B"/>
    <w:rsid w:val="005872BA"/>
    <w:rsid w:val="00587D4D"/>
    <w:rsid w:val="0059209A"/>
    <w:rsid w:val="005A3FA1"/>
    <w:rsid w:val="005B28F0"/>
    <w:rsid w:val="005B2F5E"/>
    <w:rsid w:val="005B4833"/>
    <w:rsid w:val="005B62CE"/>
    <w:rsid w:val="005C605D"/>
    <w:rsid w:val="005D1D37"/>
    <w:rsid w:val="005D2614"/>
    <w:rsid w:val="005E4585"/>
    <w:rsid w:val="00602444"/>
    <w:rsid w:val="0062293B"/>
    <w:rsid w:val="006531AC"/>
    <w:rsid w:val="00667737"/>
    <w:rsid w:val="00680DCE"/>
    <w:rsid w:val="006914E2"/>
    <w:rsid w:val="006A0835"/>
    <w:rsid w:val="006A4800"/>
    <w:rsid w:val="006A6A12"/>
    <w:rsid w:val="006C06BF"/>
    <w:rsid w:val="006D3510"/>
    <w:rsid w:val="006E68FE"/>
    <w:rsid w:val="006F14C7"/>
    <w:rsid w:val="00705F06"/>
    <w:rsid w:val="00715EC7"/>
    <w:rsid w:val="007163C6"/>
    <w:rsid w:val="00721CA3"/>
    <w:rsid w:val="00727505"/>
    <w:rsid w:val="00731F28"/>
    <w:rsid w:val="00737337"/>
    <w:rsid w:val="007435E0"/>
    <w:rsid w:val="0075201D"/>
    <w:rsid w:val="00766ABD"/>
    <w:rsid w:val="007670F8"/>
    <w:rsid w:val="00771370"/>
    <w:rsid w:val="00774DB6"/>
    <w:rsid w:val="007844CF"/>
    <w:rsid w:val="007A5972"/>
    <w:rsid w:val="007B4571"/>
    <w:rsid w:val="007C68CE"/>
    <w:rsid w:val="007D6077"/>
    <w:rsid w:val="007E497E"/>
    <w:rsid w:val="008342E1"/>
    <w:rsid w:val="00837CCD"/>
    <w:rsid w:val="00854766"/>
    <w:rsid w:val="00860F15"/>
    <w:rsid w:val="00863501"/>
    <w:rsid w:val="00865228"/>
    <w:rsid w:val="00872E35"/>
    <w:rsid w:val="0087430C"/>
    <w:rsid w:val="00874F7C"/>
    <w:rsid w:val="008839DA"/>
    <w:rsid w:val="008A5F12"/>
    <w:rsid w:val="008B5B24"/>
    <w:rsid w:val="008D1911"/>
    <w:rsid w:val="008E3C3B"/>
    <w:rsid w:val="008E7106"/>
    <w:rsid w:val="008F1A74"/>
    <w:rsid w:val="008F3564"/>
    <w:rsid w:val="008F38AC"/>
    <w:rsid w:val="009124C4"/>
    <w:rsid w:val="009200EF"/>
    <w:rsid w:val="00923FEC"/>
    <w:rsid w:val="00924CE4"/>
    <w:rsid w:val="00931FCC"/>
    <w:rsid w:val="009360AE"/>
    <w:rsid w:val="0094670E"/>
    <w:rsid w:val="00962286"/>
    <w:rsid w:val="0097136C"/>
    <w:rsid w:val="00973DEC"/>
    <w:rsid w:val="00984208"/>
    <w:rsid w:val="00984EEB"/>
    <w:rsid w:val="009946E6"/>
    <w:rsid w:val="00994A1C"/>
    <w:rsid w:val="0099625B"/>
    <w:rsid w:val="009C1361"/>
    <w:rsid w:val="009C4DA4"/>
    <w:rsid w:val="009C7E0C"/>
    <w:rsid w:val="009F1D7F"/>
    <w:rsid w:val="009F2BE7"/>
    <w:rsid w:val="009F2BF7"/>
    <w:rsid w:val="009F5FDD"/>
    <w:rsid w:val="00A020EA"/>
    <w:rsid w:val="00A0234C"/>
    <w:rsid w:val="00A05501"/>
    <w:rsid w:val="00A14441"/>
    <w:rsid w:val="00A238E0"/>
    <w:rsid w:val="00A2686B"/>
    <w:rsid w:val="00A30F73"/>
    <w:rsid w:val="00A63F81"/>
    <w:rsid w:val="00A73A82"/>
    <w:rsid w:val="00A7738C"/>
    <w:rsid w:val="00A86C30"/>
    <w:rsid w:val="00A86DB1"/>
    <w:rsid w:val="00A975E5"/>
    <w:rsid w:val="00AA3697"/>
    <w:rsid w:val="00AB0243"/>
    <w:rsid w:val="00AB633B"/>
    <w:rsid w:val="00AB6F76"/>
    <w:rsid w:val="00AC0AA1"/>
    <w:rsid w:val="00AC1D8D"/>
    <w:rsid w:val="00AC5E78"/>
    <w:rsid w:val="00AC7A84"/>
    <w:rsid w:val="00AD302A"/>
    <w:rsid w:val="00B02FA3"/>
    <w:rsid w:val="00B12196"/>
    <w:rsid w:val="00B21BF5"/>
    <w:rsid w:val="00B27D8D"/>
    <w:rsid w:val="00B35FD1"/>
    <w:rsid w:val="00B45659"/>
    <w:rsid w:val="00B46895"/>
    <w:rsid w:val="00B61412"/>
    <w:rsid w:val="00B67830"/>
    <w:rsid w:val="00B74D63"/>
    <w:rsid w:val="00B76F40"/>
    <w:rsid w:val="00B91559"/>
    <w:rsid w:val="00B91F7D"/>
    <w:rsid w:val="00BA3E77"/>
    <w:rsid w:val="00BB1980"/>
    <w:rsid w:val="00BB7E83"/>
    <w:rsid w:val="00BC5FBF"/>
    <w:rsid w:val="00BD4F28"/>
    <w:rsid w:val="00BE33DE"/>
    <w:rsid w:val="00BE6BC1"/>
    <w:rsid w:val="00BF5A5D"/>
    <w:rsid w:val="00C05150"/>
    <w:rsid w:val="00C136A3"/>
    <w:rsid w:val="00C164F0"/>
    <w:rsid w:val="00C33F18"/>
    <w:rsid w:val="00C37443"/>
    <w:rsid w:val="00C44885"/>
    <w:rsid w:val="00C4669A"/>
    <w:rsid w:val="00C4675F"/>
    <w:rsid w:val="00C52515"/>
    <w:rsid w:val="00C61361"/>
    <w:rsid w:val="00C72275"/>
    <w:rsid w:val="00C7444F"/>
    <w:rsid w:val="00C77675"/>
    <w:rsid w:val="00CA03A2"/>
    <w:rsid w:val="00CA0FAF"/>
    <w:rsid w:val="00CA6B03"/>
    <w:rsid w:val="00CB1044"/>
    <w:rsid w:val="00CC0474"/>
    <w:rsid w:val="00CC2461"/>
    <w:rsid w:val="00CD44FF"/>
    <w:rsid w:val="00CE1632"/>
    <w:rsid w:val="00CE32F7"/>
    <w:rsid w:val="00D02A0B"/>
    <w:rsid w:val="00D107E7"/>
    <w:rsid w:val="00D206E0"/>
    <w:rsid w:val="00D238A7"/>
    <w:rsid w:val="00D325C5"/>
    <w:rsid w:val="00D343E4"/>
    <w:rsid w:val="00D444C4"/>
    <w:rsid w:val="00D5629E"/>
    <w:rsid w:val="00D56E2D"/>
    <w:rsid w:val="00D62810"/>
    <w:rsid w:val="00D654EC"/>
    <w:rsid w:val="00D66FE5"/>
    <w:rsid w:val="00D763A0"/>
    <w:rsid w:val="00D8215D"/>
    <w:rsid w:val="00DA09A6"/>
    <w:rsid w:val="00DA4941"/>
    <w:rsid w:val="00DA6184"/>
    <w:rsid w:val="00DB4730"/>
    <w:rsid w:val="00DB6E06"/>
    <w:rsid w:val="00DC2954"/>
    <w:rsid w:val="00DD56D0"/>
    <w:rsid w:val="00DE2D1B"/>
    <w:rsid w:val="00E05E39"/>
    <w:rsid w:val="00E2381F"/>
    <w:rsid w:val="00E302C5"/>
    <w:rsid w:val="00E52A79"/>
    <w:rsid w:val="00E570DE"/>
    <w:rsid w:val="00E62F27"/>
    <w:rsid w:val="00E64191"/>
    <w:rsid w:val="00E75CAC"/>
    <w:rsid w:val="00E80A8E"/>
    <w:rsid w:val="00E822E2"/>
    <w:rsid w:val="00E854A7"/>
    <w:rsid w:val="00E92617"/>
    <w:rsid w:val="00E93AC1"/>
    <w:rsid w:val="00E96C10"/>
    <w:rsid w:val="00E9702E"/>
    <w:rsid w:val="00EA43E4"/>
    <w:rsid w:val="00EA532E"/>
    <w:rsid w:val="00EB70D6"/>
    <w:rsid w:val="00ED3BD4"/>
    <w:rsid w:val="00ED72AA"/>
    <w:rsid w:val="00EE3FC0"/>
    <w:rsid w:val="00EE4A39"/>
    <w:rsid w:val="00EF7255"/>
    <w:rsid w:val="00F03796"/>
    <w:rsid w:val="00F17913"/>
    <w:rsid w:val="00F20046"/>
    <w:rsid w:val="00F217AC"/>
    <w:rsid w:val="00F21BA7"/>
    <w:rsid w:val="00F3108C"/>
    <w:rsid w:val="00F41932"/>
    <w:rsid w:val="00F43E39"/>
    <w:rsid w:val="00F43F19"/>
    <w:rsid w:val="00F462D2"/>
    <w:rsid w:val="00F50511"/>
    <w:rsid w:val="00F63439"/>
    <w:rsid w:val="00F773FF"/>
    <w:rsid w:val="00F778F6"/>
    <w:rsid w:val="00FA173A"/>
    <w:rsid w:val="00FA6230"/>
    <w:rsid w:val="00FD6677"/>
    <w:rsid w:val="00FD680A"/>
    <w:rsid w:val="00FD7198"/>
    <w:rsid w:val="00FE7EC1"/>
    <w:rsid w:val="00FF4940"/>
    <w:rsid w:val="00FF553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8C7AF-D164-4E2E-8BD5-03D6764F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96"/>
  </w:style>
  <w:style w:type="paragraph" w:styleId="Heading1">
    <w:name w:val="heading 1"/>
    <w:basedOn w:val="Normal"/>
    <w:next w:val="Normal"/>
    <w:link w:val="Heading1Char"/>
    <w:uiPriority w:val="9"/>
    <w:qFormat/>
    <w:rsid w:val="00521F9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21F9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21F9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21F9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21F9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21F9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21F9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21F9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21F9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E1"/>
    <w:pPr>
      <w:ind w:left="720"/>
      <w:contextualSpacing/>
    </w:pPr>
  </w:style>
  <w:style w:type="paragraph" w:styleId="HTMLPreformatted">
    <w:name w:val="HTML Preformatted"/>
    <w:basedOn w:val="Normal"/>
    <w:link w:val="HTMLPreformattedChar"/>
    <w:uiPriority w:val="99"/>
    <w:unhideWhenUsed/>
    <w:rsid w:val="0091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24C4"/>
    <w:rPr>
      <w:rFonts w:ascii="Courier New" w:eastAsia="Times New Roman" w:hAnsi="Courier New" w:cs="Courier New"/>
      <w:sz w:val="20"/>
      <w:szCs w:val="20"/>
      <w:lang w:eastAsia="sq-AL"/>
    </w:rPr>
  </w:style>
  <w:style w:type="paragraph" w:customStyle="1" w:styleId="Default">
    <w:name w:val="Default"/>
    <w:rsid w:val="000829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444C4"/>
    <w:pPr>
      <w:tabs>
        <w:tab w:val="center" w:pos="4513"/>
        <w:tab w:val="right" w:pos="9026"/>
      </w:tabs>
    </w:pPr>
  </w:style>
  <w:style w:type="character" w:customStyle="1" w:styleId="HeaderChar">
    <w:name w:val="Header Char"/>
    <w:basedOn w:val="DefaultParagraphFont"/>
    <w:link w:val="Header"/>
    <w:uiPriority w:val="99"/>
    <w:rsid w:val="00D444C4"/>
    <w:rPr>
      <w:rFonts w:ascii="Calibri" w:hAnsi="Calibri" w:cs="Calibri"/>
      <w:lang w:eastAsia="sq-AL"/>
    </w:rPr>
  </w:style>
  <w:style w:type="paragraph" w:styleId="Footer">
    <w:name w:val="footer"/>
    <w:basedOn w:val="Normal"/>
    <w:link w:val="FooterChar"/>
    <w:uiPriority w:val="99"/>
    <w:unhideWhenUsed/>
    <w:rsid w:val="00D444C4"/>
    <w:pPr>
      <w:tabs>
        <w:tab w:val="center" w:pos="4513"/>
        <w:tab w:val="right" w:pos="9026"/>
      </w:tabs>
    </w:pPr>
  </w:style>
  <w:style w:type="character" w:customStyle="1" w:styleId="FooterChar">
    <w:name w:val="Footer Char"/>
    <w:basedOn w:val="DefaultParagraphFont"/>
    <w:link w:val="Footer"/>
    <w:uiPriority w:val="99"/>
    <w:rsid w:val="00D444C4"/>
    <w:rPr>
      <w:rFonts w:ascii="Calibri" w:hAnsi="Calibri" w:cs="Calibri"/>
      <w:lang w:eastAsia="sq-AL"/>
    </w:rPr>
  </w:style>
  <w:style w:type="character" w:styleId="CommentReference">
    <w:name w:val="annotation reference"/>
    <w:basedOn w:val="DefaultParagraphFont"/>
    <w:uiPriority w:val="99"/>
    <w:semiHidden/>
    <w:unhideWhenUsed/>
    <w:rsid w:val="00BD4F28"/>
    <w:rPr>
      <w:sz w:val="16"/>
      <w:szCs w:val="16"/>
    </w:rPr>
  </w:style>
  <w:style w:type="paragraph" w:styleId="CommentText">
    <w:name w:val="annotation text"/>
    <w:basedOn w:val="Normal"/>
    <w:link w:val="CommentTextChar"/>
    <w:uiPriority w:val="99"/>
    <w:unhideWhenUsed/>
    <w:rsid w:val="00BD4F28"/>
    <w:rPr>
      <w:sz w:val="20"/>
      <w:szCs w:val="20"/>
    </w:rPr>
  </w:style>
  <w:style w:type="character" w:customStyle="1" w:styleId="CommentTextChar">
    <w:name w:val="Comment Text Char"/>
    <w:basedOn w:val="DefaultParagraphFont"/>
    <w:link w:val="CommentText"/>
    <w:uiPriority w:val="99"/>
    <w:rsid w:val="00BD4F28"/>
    <w:rPr>
      <w:rFonts w:ascii="Calibri" w:hAnsi="Calibri" w:cs="Calibri"/>
      <w:sz w:val="20"/>
      <w:szCs w:val="20"/>
      <w:lang w:eastAsia="sq-AL"/>
    </w:rPr>
  </w:style>
  <w:style w:type="paragraph" w:styleId="CommentSubject">
    <w:name w:val="annotation subject"/>
    <w:basedOn w:val="CommentText"/>
    <w:next w:val="CommentText"/>
    <w:link w:val="CommentSubjectChar"/>
    <w:uiPriority w:val="99"/>
    <w:semiHidden/>
    <w:unhideWhenUsed/>
    <w:rsid w:val="00BD4F28"/>
    <w:rPr>
      <w:b/>
      <w:bCs/>
    </w:rPr>
  </w:style>
  <w:style w:type="character" w:customStyle="1" w:styleId="CommentSubjectChar">
    <w:name w:val="Comment Subject Char"/>
    <w:basedOn w:val="CommentTextChar"/>
    <w:link w:val="CommentSubject"/>
    <w:uiPriority w:val="99"/>
    <w:semiHidden/>
    <w:rsid w:val="00BD4F28"/>
    <w:rPr>
      <w:rFonts w:ascii="Calibri" w:hAnsi="Calibri" w:cs="Calibri"/>
      <w:b/>
      <w:bCs/>
      <w:sz w:val="20"/>
      <w:szCs w:val="20"/>
      <w:lang w:eastAsia="sq-AL"/>
    </w:rPr>
  </w:style>
  <w:style w:type="paragraph" w:styleId="BalloonText">
    <w:name w:val="Balloon Text"/>
    <w:basedOn w:val="Normal"/>
    <w:link w:val="BalloonTextChar"/>
    <w:uiPriority w:val="99"/>
    <w:semiHidden/>
    <w:unhideWhenUsed/>
    <w:rsid w:val="00BD4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F28"/>
    <w:rPr>
      <w:rFonts w:ascii="Segoe UI" w:hAnsi="Segoe UI" w:cs="Segoe UI"/>
      <w:sz w:val="18"/>
      <w:szCs w:val="18"/>
      <w:lang w:eastAsia="sq-AL"/>
    </w:rPr>
  </w:style>
  <w:style w:type="character" w:styleId="Hyperlink">
    <w:name w:val="Hyperlink"/>
    <w:basedOn w:val="DefaultParagraphFont"/>
    <w:uiPriority w:val="99"/>
    <w:unhideWhenUsed/>
    <w:rsid w:val="007435E0"/>
    <w:rPr>
      <w:color w:val="F49100" w:themeColor="hyperlink"/>
      <w:u w:val="single"/>
    </w:rPr>
  </w:style>
  <w:style w:type="paragraph" w:styleId="FootnoteText">
    <w:name w:val="footnote text"/>
    <w:basedOn w:val="Normal"/>
    <w:link w:val="FootnoteTextChar"/>
    <w:uiPriority w:val="99"/>
    <w:semiHidden/>
    <w:unhideWhenUsed/>
    <w:rsid w:val="00334A86"/>
    <w:rPr>
      <w:sz w:val="20"/>
      <w:szCs w:val="20"/>
    </w:rPr>
  </w:style>
  <w:style w:type="character" w:customStyle="1" w:styleId="FootnoteTextChar">
    <w:name w:val="Footnote Text Char"/>
    <w:basedOn w:val="DefaultParagraphFont"/>
    <w:link w:val="FootnoteText"/>
    <w:uiPriority w:val="99"/>
    <w:semiHidden/>
    <w:rsid w:val="00334A86"/>
    <w:rPr>
      <w:rFonts w:ascii="Calibri" w:hAnsi="Calibri" w:cs="Calibri"/>
      <w:sz w:val="20"/>
      <w:szCs w:val="20"/>
      <w:lang w:eastAsia="sq-AL"/>
    </w:rPr>
  </w:style>
  <w:style w:type="character" w:styleId="FootnoteReference">
    <w:name w:val="footnote reference"/>
    <w:basedOn w:val="DefaultParagraphFont"/>
    <w:uiPriority w:val="99"/>
    <w:semiHidden/>
    <w:unhideWhenUsed/>
    <w:rsid w:val="00334A86"/>
    <w:rPr>
      <w:vertAlign w:val="superscript"/>
    </w:rPr>
  </w:style>
  <w:style w:type="character" w:customStyle="1" w:styleId="Heading1Char">
    <w:name w:val="Heading 1 Char"/>
    <w:basedOn w:val="DefaultParagraphFont"/>
    <w:link w:val="Heading1"/>
    <w:uiPriority w:val="9"/>
    <w:rsid w:val="00521F9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21F9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21F9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21F9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21F9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21F9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21F96"/>
    <w:rPr>
      <w:i/>
      <w:iCs/>
    </w:rPr>
  </w:style>
  <w:style w:type="character" w:customStyle="1" w:styleId="Heading8Char">
    <w:name w:val="Heading 8 Char"/>
    <w:basedOn w:val="DefaultParagraphFont"/>
    <w:link w:val="Heading8"/>
    <w:uiPriority w:val="9"/>
    <w:semiHidden/>
    <w:rsid w:val="00521F96"/>
    <w:rPr>
      <w:b/>
      <w:bCs/>
    </w:rPr>
  </w:style>
  <w:style w:type="character" w:customStyle="1" w:styleId="Heading9Char">
    <w:name w:val="Heading 9 Char"/>
    <w:basedOn w:val="DefaultParagraphFont"/>
    <w:link w:val="Heading9"/>
    <w:uiPriority w:val="9"/>
    <w:semiHidden/>
    <w:rsid w:val="00521F96"/>
    <w:rPr>
      <w:i/>
      <w:iCs/>
    </w:rPr>
  </w:style>
  <w:style w:type="paragraph" w:styleId="Caption">
    <w:name w:val="caption"/>
    <w:basedOn w:val="Normal"/>
    <w:next w:val="Normal"/>
    <w:uiPriority w:val="35"/>
    <w:semiHidden/>
    <w:unhideWhenUsed/>
    <w:qFormat/>
    <w:rsid w:val="00521F96"/>
    <w:rPr>
      <w:b/>
      <w:bCs/>
      <w:sz w:val="18"/>
      <w:szCs w:val="18"/>
    </w:rPr>
  </w:style>
  <w:style w:type="paragraph" w:styleId="Title">
    <w:name w:val="Title"/>
    <w:basedOn w:val="Normal"/>
    <w:next w:val="Normal"/>
    <w:link w:val="TitleChar"/>
    <w:uiPriority w:val="10"/>
    <w:qFormat/>
    <w:rsid w:val="00521F9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21F9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21F9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21F96"/>
    <w:rPr>
      <w:rFonts w:asciiTheme="majorHAnsi" w:eastAsiaTheme="majorEastAsia" w:hAnsiTheme="majorHAnsi" w:cstheme="majorBidi"/>
      <w:sz w:val="24"/>
      <w:szCs w:val="24"/>
    </w:rPr>
  </w:style>
  <w:style w:type="character" w:styleId="Strong">
    <w:name w:val="Strong"/>
    <w:basedOn w:val="DefaultParagraphFont"/>
    <w:uiPriority w:val="22"/>
    <w:qFormat/>
    <w:rsid w:val="00521F96"/>
    <w:rPr>
      <w:b/>
      <w:bCs/>
      <w:color w:val="auto"/>
    </w:rPr>
  </w:style>
  <w:style w:type="character" w:styleId="Emphasis">
    <w:name w:val="Emphasis"/>
    <w:basedOn w:val="DefaultParagraphFont"/>
    <w:uiPriority w:val="20"/>
    <w:qFormat/>
    <w:rsid w:val="00521F96"/>
    <w:rPr>
      <w:i/>
      <w:iCs/>
      <w:color w:val="auto"/>
    </w:rPr>
  </w:style>
  <w:style w:type="paragraph" w:styleId="NoSpacing">
    <w:name w:val="No Spacing"/>
    <w:uiPriority w:val="1"/>
    <w:qFormat/>
    <w:rsid w:val="00521F96"/>
    <w:pPr>
      <w:spacing w:after="0" w:line="240" w:lineRule="auto"/>
    </w:pPr>
  </w:style>
  <w:style w:type="paragraph" w:styleId="Quote">
    <w:name w:val="Quote"/>
    <w:basedOn w:val="Normal"/>
    <w:next w:val="Normal"/>
    <w:link w:val="QuoteChar"/>
    <w:uiPriority w:val="29"/>
    <w:qFormat/>
    <w:rsid w:val="00521F9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21F9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21F9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21F9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21F96"/>
    <w:rPr>
      <w:i/>
      <w:iCs/>
      <w:color w:val="auto"/>
    </w:rPr>
  </w:style>
  <w:style w:type="character" w:styleId="IntenseEmphasis">
    <w:name w:val="Intense Emphasis"/>
    <w:basedOn w:val="DefaultParagraphFont"/>
    <w:uiPriority w:val="21"/>
    <w:qFormat/>
    <w:rsid w:val="00521F96"/>
    <w:rPr>
      <w:b/>
      <w:bCs/>
      <w:i/>
      <w:iCs/>
      <w:color w:val="auto"/>
    </w:rPr>
  </w:style>
  <w:style w:type="character" w:styleId="SubtleReference">
    <w:name w:val="Subtle Reference"/>
    <w:basedOn w:val="DefaultParagraphFont"/>
    <w:uiPriority w:val="31"/>
    <w:qFormat/>
    <w:rsid w:val="00521F96"/>
    <w:rPr>
      <w:smallCaps/>
      <w:color w:val="auto"/>
      <w:u w:val="single" w:color="7F7F7F" w:themeColor="text1" w:themeTint="80"/>
    </w:rPr>
  </w:style>
  <w:style w:type="character" w:styleId="IntenseReference">
    <w:name w:val="Intense Reference"/>
    <w:basedOn w:val="DefaultParagraphFont"/>
    <w:uiPriority w:val="32"/>
    <w:qFormat/>
    <w:rsid w:val="00521F96"/>
    <w:rPr>
      <w:b/>
      <w:bCs/>
      <w:smallCaps/>
      <w:color w:val="auto"/>
      <w:u w:val="single"/>
    </w:rPr>
  </w:style>
  <w:style w:type="character" w:styleId="BookTitle">
    <w:name w:val="Book Title"/>
    <w:basedOn w:val="DefaultParagraphFont"/>
    <w:uiPriority w:val="33"/>
    <w:qFormat/>
    <w:rsid w:val="00521F96"/>
    <w:rPr>
      <w:b/>
      <w:bCs/>
      <w:smallCaps/>
      <w:color w:val="auto"/>
    </w:rPr>
  </w:style>
  <w:style w:type="paragraph" w:styleId="TOCHeading">
    <w:name w:val="TOC Heading"/>
    <w:basedOn w:val="Heading1"/>
    <w:next w:val="Normal"/>
    <w:uiPriority w:val="39"/>
    <w:semiHidden/>
    <w:unhideWhenUsed/>
    <w:qFormat/>
    <w:rsid w:val="00521F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552">
      <w:bodyDiv w:val="1"/>
      <w:marLeft w:val="0"/>
      <w:marRight w:val="0"/>
      <w:marTop w:val="0"/>
      <w:marBottom w:val="0"/>
      <w:divBdr>
        <w:top w:val="none" w:sz="0" w:space="0" w:color="auto"/>
        <w:left w:val="none" w:sz="0" w:space="0" w:color="auto"/>
        <w:bottom w:val="none" w:sz="0" w:space="0" w:color="auto"/>
        <w:right w:val="none" w:sz="0" w:space="0" w:color="auto"/>
      </w:divBdr>
    </w:div>
    <w:div w:id="32851861">
      <w:bodyDiv w:val="1"/>
      <w:marLeft w:val="0"/>
      <w:marRight w:val="0"/>
      <w:marTop w:val="0"/>
      <w:marBottom w:val="0"/>
      <w:divBdr>
        <w:top w:val="none" w:sz="0" w:space="0" w:color="auto"/>
        <w:left w:val="none" w:sz="0" w:space="0" w:color="auto"/>
        <w:bottom w:val="none" w:sz="0" w:space="0" w:color="auto"/>
        <w:right w:val="none" w:sz="0" w:space="0" w:color="auto"/>
      </w:divBdr>
    </w:div>
    <w:div w:id="83231123">
      <w:bodyDiv w:val="1"/>
      <w:marLeft w:val="0"/>
      <w:marRight w:val="0"/>
      <w:marTop w:val="0"/>
      <w:marBottom w:val="0"/>
      <w:divBdr>
        <w:top w:val="none" w:sz="0" w:space="0" w:color="auto"/>
        <w:left w:val="none" w:sz="0" w:space="0" w:color="auto"/>
        <w:bottom w:val="none" w:sz="0" w:space="0" w:color="auto"/>
        <w:right w:val="none" w:sz="0" w:space="0" w:color="auto"/>
      </w:divBdr>
    </w:div>
    <w:div w:id="101149878">
      <w:bodyDiv w:val="1"/>
      <w:marLeft w:val="0"/>
      <w:marRight w:val="0"/>
      <w:marTop w:val="0"/>
      <w:marBottom w:val="0"/>
      <w:divBdr>
        <w:top w:val="none" w:sz="0" w:space="0" w:color="auto"/>
        <w:left w:val="none" w:sz="0" w:space="0" w:color="auto"/>
        <w:bottom w:val="none" w:sz="0" w:space="0" w:color="auto"/>
        <w:right w:val="none" w:sz="0" w:space="0" w:color="auto"/>
      </w:divBdr>
    </w:div>
    <w:div w:id="148795099">
      <w:bodyDiv w:val="1"/>
      <w:marLeft w:val="0"/>
      <w:marRight w:val="0"/>
      <w:marTop w:val="0"/>
      <w:marBottom w:val="0"/>
      <w:divBdr>
        <w:top w:val="none" w:sz="0" w:space="0" w:color="auto"/>
        <w:left w:val="none" w:sz="0" w:space="0" w:color="auto"/>
        <w:bottom w:val="none" w:sz="0" w:space="0" w:color="auto"/>
        <w:right w:val="none" w:sz="0" w:space="0" w:color="auto"/>
      </w:divBdr>
    </w:div>
    <w:div w:id="242446882">
      <w:bodyDiv w:val="1"/>
      <w:marLeft w:val="0"/>
      <w:marRight w:val="0"/>
      <w:marTop w:val="0"/>
      <w:marBottom w:val="0"/>
      <w:divBdr>
        <w:top w:val="none" w:sz="0" w:space="0" w:color="auto"/>
        <w:left w:val="none" w:sz="0" w:space="0" w:color="auto"/>
        <w:bottom w:val="none" w:sz="0" w:space="0" w:color="auto"/>
        <w:right w:val="none" w:sz="0" w:space="0" w:color="auto"/>
      </w:divBdr>
    </w:div>
    <w:div w:id="364604181">
      <w:bodyDiv w:val="1"/>
      <w:marLeft w:val="0"/>
      <w:marRight w:val="0"/>
      <w:marTop w:val="0"/>
      <w:marBottom w:val="0"/>
      <w:divBdr>
        <w:top w:val="none" w:sz="0" w:space="0" w:color="auto"/>
        <w:left w:val="none" w:sz="0" w:space="0" w:color="auto"/>
        <w:bottom w:val="none" w:sz="0" w:space="0" w:color="auto"/>
        <w:right w:val="none" w:sz="0" w:space="0" w:color="auto"/>
      </w:divBdr>
    </w:div>
    <w:div w:id="552735987">
      <w:bodyDiv w:val="1"/>
      <w:marLeft w:val="0"/>
      <w:marRight w:val="0"/>
      <w:marTop w:val="0"/>
      <w:marBottom w:val="0"/>
      <w:divBdr>
        <w:top w:val="none" w:sz="0" w:space="0" w:color="auto"/>
        <w:left w:val="none" w:sz="0" w:space="0" w:color="auto"/>
        <w:bottom w:val="none" w:sz="0" w:space="0" w:color="auto"/>
        <w:right w:val="none" w:sz="0" w:space="0" w:color="auto"/>
      </w:divBdr>
    </w:div>
    <w:div w:id="593587629">
      <w:bodyDiv w:val="1"/>
      <w:marLeft w:val="0"/>
      <w:marRight w:val="0"/>
      <w:marTop w:val="0"/>
      <w:marBottom w:val="0"/>
      <w:divBdr>
        <w:top w:val="none" w:sz="0" w:space="0" w:color="auto"/>
        <w:left w:val="none" w:sz="0" w:space="0" w:color="auto"/>
        <w:bottom w:val="none" w:sz="0" w:space="0" w:color="auto"/>
        <w:right w:val="none" w:sz="0" w:space="0" w:color="auto"/>
      </w:divBdr>
    </w:div>
    <w:div w:id="738407210">
      <w:bodyDiv w:val="1"/>
      <w:marLeft w:val="0"/>
      <w:marRight w:val="0"/>
      <w:marTop w:val="0"/>
      <w:marBottom w:val="0"/>
      <w:divBdr>
        <w:top w:val="none" w:sz="0" w:space="0" w:color="auto"/>
        <w:left w:val="none" w:sz="0" w:space="0" w:color="auto"/>
        <w:bottom w:val="none" w:sz="0" w:space="0" w:color="auto"/>
        <w:right w:val="none" w:sz="0" w:space="0" w:color="auto"/>
      </w:divBdr>
    </w:div>
    <w:div w:id="800073920">
      <w:bodyDiv w:val="1"/>
      <w:marLeft w:val="0"/>
      <w:marRight w:val="0"/>
      <w:marTop w:val="0"/>
      <w:marBottom w:val="0"/>
      <w:divBdr>
        <w:top w:val="none" w:sz="0" w:space="0" w:color="auto"/>
        <w:left w:val="none" w:sz="0" w:space="0" w:color="auto"/>
        <w:bottom w:val="none" w:sz="0" w:space="0" w:color="auto"/>
        <w:right w:val="none" w:sz="0" w:space="0" w:color="auto"/>
      </w:divBdr>
    </w:div>
    <w:div w:id="805508276">
      <w:bodyDiv w:val="1"/>
      <w:marLeft w:val="0"/>
      <w:marRight w:val="0"/>
      <w:marTop w:val="0"/>
      <w:marBottom w:val="0"/>
      <w:divBdr>
        <w:top w:val="none" w:sz="0" w:space="0" w:color="auto"/>
        <w:left w:val="none" w:sz="0" w:space="0" w:color="auto"/>
        <w:bottom w:val="none" w:sz="0" w:space="0" w:color="auto"/>
        <w:right w:val="none" w:sz="0" w:space="0" w:color="auto"/>
      </w:divBdr>
    </w:div>
    <w:div w:id="872766451">
      <w:bodyDiv w:val="1"/>
      <w:marLeft w:val="0"/>
      <w:marRight w:val="0"/>
      <w:marTop w:val="0"/>
      <w:marBottom w:val="0"/>
      <w:divBdr>
        <w:top w:val="none" w:sz="0" w:space="0" w:color="auto"/>
        <w:left w:val="none" w:sz="0" w:space="0" w:color="auto"/>
        <w:bottom w:val="none" w:sz="0" w:space="0" w:color="auto"/>
        <w:right w:val="none" w:sz="0" w:space="0" w:color="auto"/>
      </w:divBdr>
    </w:div>
    <w:div w:id="904296632">
      <w:bodyDiv w:val="1"/>
      <w:marLeft w:val="0"/>
      <w:marRight w:val="0"/>
      <w:marTop w:val="0"/>
      <w:marBottom w:val="0"/>
      <w:divBdr>
        <w:top w:val="none" w:sz="0" w:space="0" w:color="auto"/>
        <w:left w:val="none" w:sz="0" w:space="0" w:color="auto"/>
        <w:bottom w:val="none" w:sz="0" w:space="0" w:color="auto"/>
        <w:right w:val="none" w:sz="0" w:space="0" w:color="auto"/>
      </w:divBdr>
    </w:div>
    <w:div w:id="933053632">
      <w:bodyDiv w:val="1"/>
      <w:marLeft w:val="0"/>
      <w:marRight w:val="0"/>
      <w:marTop w:val="0"/>
      <w:marBottom w:val="0"/>
      <w:divBdr>
        <w:top w:val="none" w:sz="0" w:space="0" w:color="auto"/>
        <w:left w:val="none" w:sz="0" w:space="0" w:color="auto"/>
        <w:bottom w:val="none" w:sz="0" w:space="0" w:color="auto"/>
        <w:right w:val="none" w:sz="0" w:space="0" w:color="auto"/>
      </w:divBdr>
    </w:div>
    <w:div w:id="938871782">
      <w:bodyDiv w:val="1"/>
      <w:marLeft w:val="0"/>
      <w:marRight w:val="0"/>
      <w:marTop w:val="0"/>
      <w:marBottom w:val="0"/>
      <w:divBdr>
        <w:top w:val="none" w:sz="0" w:space="0" w:color="auto"/>
        <w:left w:val="none" w:sz="0" w:space="0" w:color="auto"/>
        <w:bottom w:val="none" w:sz="0" w:space="0" w:color="auto"/>
        <w:right w:val="none" w:sz="0" w:space="0" w:color="auto"/>
      </w:divBdr>
    </w:div>
    <w:div w:id="1169104034">
      <w:bodyDiv w:val="1"/>
      <w:marLeft w:val="0"/>
      <w:marRight w:val="0"/>
      <w:marTop w:val="0"/>
      <w:marBottom w:val="0"/>
      <w:divBdr>
        <w:top w:val="none" w:sz="0" w:space="0" w:color="auto"/>
        <w:left w:val="none" w:sz="0" w:space="0" w:color="auto"/>
        <w:bottom w:val="none" w:sz="0" w:space="0" w:color="auto"/>
        <w:right w:val="none" w:sz="0" w:space="0" w:color="auto"/>
      </w:divBdr>
    </w:div>
    <w:div w:id="1178233525">
      <w:bodyDiv w:val="1"/>
      <w:marLeft w:val="0"/>
      <w:marRight w:val="0"/>
      <w:marTop w:val="0"/>
      <w:marBottom w:val="0"/>
      <w:divBdr>
        <w:top w:val="none" w:sz="0" w:space="0" w:color="auto"/>
        <w:left w:val="none" w:sz="0" w:space="0" w:color="auto"/>
        <w:bottom w:val="none" w:sz="0" w:space="0" w:color="auto"/>
        <w:right w:val="none" w:sz="0" w:space="0" w:color="auto"/>
      </w:divBdr>
    </w:div>
    <w:div w:id="1210151032">
      <w:bodyDiv w:val="1"/>
      <w:marLeft w:val="0"/>
      <w:marRight w:val="0"/>
      <w:marTop w:val="0"/>
      <w:marBottom w:val="0"/>
      <w:divBdr>
        <w:top w:val="none" w:sz="0" w:space="0" w:color="auto"/>
        <w:left w:val="none" w:sz="0" w:space="0" w:color="auto"/>
        <w:bottom w:val="none" w:sz="0" w:space="0" w:color="auto"/>
        <w:right w:val="none" w:sz="0" w:space="0" w:color="auto"/>
      </w:divBdr>
    </w:div>
    <w:div w:id="1311403537">
      <w:bodyDiv w:val="1"/>
      <w:marLeft w:val="0"/>
      <w:marRight w:val="0"/>
      <w:marTop w:val="0"/>
      <w:marBottom w:val="0"/>
      <w:divBdr>
        <w:top w:val="none" w:sz="0" w:space="0" w:color="auto"/>
        <w:left w:val="none" w:sz="0" w:space="0" w:color="auto"/>
        <w:bottom w:val="none" w:sz="0" w:space="0" w:color="auto"/>
        <w:right w:val="none" w:sz="0" w:space="0" w:color="auto"/>
      </w:divBdr>
    </w:div>
    <w:div w:id="1580217582">
      <w:bodyDiv w:val="1"/>
      <w:marLeft w:val="0"/>
      <w:marRight w:val="0"/>
      <w:marTop w:val="0"/>
      <w:marBottom w:val="0"/>
      <w:divBdr>
        <w:top w:val="none" w:sz="0" w:space="0" w:color="auto"/>
        <w:left w:val="none" w:sz="0" w:space="0" w:color="auto"/>
        <w:bottom w:val="none" w:sz="0" w:space="0" w:color="auto"/>
        <w:right w:val="none" w:sz="0" w:space="0" w:color="auto"/>
      </w:divBdr>
    </w:div>
    <w:div w:id="1727800982">
      <w:bodyDiv w:val="1"/>
      <w:marLeft w:val="0"/>
      <w:marRight w:val="0"/>
      <w:marTop w:val="0"/>
      <w:marBottom w:val="0"/>
      <w:divBdr>
        <w:top w:val="none" w:sz="0" w:space="0" w:color="auto"/>
        <w:left w:val="none" w:sz="0" w:space="0" w:color="auto"/>
        <w:bottom w:val="none" w:sz="0" w:space="0" w:color="auto"/>
        <w:right w:val="none" w:sz="0" w:space="0" w:color="auto"/>
      </w:divBdr>
    </w:div>
    <w:div w:id="1748108592">
      <w:bodyDiv w:val="1"/>
      <w:marLeft w:val="0"/>
      <w:marRight w:val="0"/>
      <w:marTop w:val="0"/>
      <w:marBottom w:val="0"/>
      <w:divBdr>
        <w:top w:val="none" w:sz="0" w:space="0" w:color="auto"/>
        <w:left w:val="none" w:sz="0" w:space="0" w:color="auto"/>
        <w:bottom w:val="none" w:sz="0" w:space="0" w:color="auto"/>
        <w:right w:val="none" w:sz="0" w:space="0" w:color="auto"/>
      </w:divBdr>
    </w:div>
    <w:div w:id="1751926603">
      <w:bodyDiv w:val="1"/>
      <w:marLeft w:val="0"/>
      <w:marRight w:val="0"/>
      <w:marTop w:val="0"/>
      <w:marBottom w:val="0"/>
      <w:divBdr>
        <w:top w:val="none" w:sz="0" w:space="0" w:color="auto"/>
        <w:left w:val="none" w:sz="0" w:space="0" w:color="auto"/>
        <w:bottom w:val="none" w:sz="0" w:space="0" w:color="auto"/>
        <w:right w:val="none" w:sz="0" w:space="0" w:color="auto"/>
      </w:divBdr>
    </w:div>
    <w:div w:id="1761752159">
      <w:bodyDiv w:val="1"/>
      <w:marLeft w:val="0"/>
      <w:marRight w:val="0"/>
      <w:marTop w:val="0"/>
      <w:marBottom w:val="0"/>
      <w:divBdr>
        <w:top w:val="none" w:sz="0" w:space="0" w:color="auto"/>
        <w:left w:val="none" w:sz="0" w:space="0" w:color="auto"/>
        <w:bottom w:val="none" w:sz="0" w:space="0" w:color="auto"/>
        <w:right w:val="none" w:sz="0" w:space="0" w:color="auto"/>
      </w:divBdr>
    </w:div>
    <w:div w:id="1846552677">
      <w:bodyDiv w:val="1"/>
      <w:marLeft w:val="0"/>
      <w:marRight w:val="0"/>
      <w:marTop w:val="0"/>
      <w:marBottom w:val="0"/>
      <w:divBdr>
        <w:top w:val="none" w:sz="0" w:space="0" w:color="auto"/>
        <w:left w:val="none" w:sz="0" w:space="0" w:color="auto"/>
        <w:bottom w:val="none" w:sz="0" w:space="0" w:color="auto"/>
        <w:right w:val="none" w:sz="0" w:space="0" w:color="auto"/>
      </w:divBdr>
    </w:div>
    <w:div w:id="1890992603">
      <w:bodyDiv w:val="1"/>
      <w:marLeft w:val="0"/>
      <w:marRight w:val="0"/>
      <w:marTop w:val="0"/>
      <w:marBottom w:val="0"/>
      <w:divBdr>
        <w:top w:val="none" w:sz="0" w:space="0" w:color="auto"/>
        <w:left w:val="none" w:sz="0" w:space="0" w:color="auto"/>
        <w:bottom w:val="none" w:sz="0" w:space="0" w:color="auto"/>
        <w:right w:val="none" w:sz="0" w:space="0" w:color="auto"/>
      </w:divBdr>
    </w:div>
    <w:div w:id="1949584135">
      <w:bodyDiv w:val="1"/>
      <w:marLeft w:val="0"/>
      <w:marRight w:val="0"/>
      <w:marTop w:val="0"/>
      <w:marBottom w:val="0"/>
      <w:divBdr>
        <w:top w:val="none" w:sz="0" w:space="0" w:color="auto"/>
        <w:left w:val="none" w:sz="0" w:space="0" w:color="auto"/>
        <w:bottom w:val="none" w:sz="0" w:space="0" w:color="auto"/>
        <w:right w:val="none" w:sz="0" w:space="0" w:color="auto"/>
      </w:divBdr>
    </w:div>
    <w:div w:id="2124301021">
      <w:bodyDiv w:val="1"/>
      <w:marLeft w:val="0"/>
      <w:marRight w:val="0"/>
      <w:marTop w:val="0"/>
      <w:marBottom w:val="0"/>
      <w:divBdr>
        <w:top w:val="none" w:sz="0" w:space="0" w:color="auto"/>
        <w:left w:val="none" w:sz="0" w:space="0" w:color="auto"/>
        <w:bottom w:val="none" w:sz="0" w:space="0" w:color="auto"/>
        <w:right w:val="none" w:sz="0" w:space="0" w:color="auto"/>
      </w:divBdr>
    </w:div>
    <w:div w:id="21389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13A70805404877832555A3E189D0AF"/>
        <w:category>
          <w:name w:val="General"/>
          <w:gallery w:val="placeholder"/>
        </w:category>
        <w:types>
          <w:type w:val="bbPlcHdr"/>
        </w:types>
        <w:behaviors>
          <w:behavior w:val="content"/>
        </w:behaviors>
        <w:guid w:val="{C7825BD9-6205-4520-A4EA-46397DB0236E}"/>
      </w:docPartPr>
      <w:docPartBody>
        <w:p w:rsidR="00FB331C" w:rsidRDefault="005463EF" w:rsidP="005463EF">
          <w:pPr>
            <w:pStyle w:val="5913A70805404877832555A3E189D0A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B4"/>
    <w:rsid w:val="0012237C"/>
    <w:rsid w:val="001B11A2"/>
    <w:rsid w:val="00242537"/>
    <w:rsid w:val="002F4DB7"/>
    <w:rsid w:val="002F6807"/>
    <w:rsid w:val="003D4742"/>
    <w:rsid w:val="00441E5D"/>
    <w:rsid w:val="004F2290"/>
    <w:rsid w:val="005440EE"/>
    <w:rsid w:val="005463EF"/>
    <w:rsid w:val="00552ADD"/>
    <w:rsid w:val="0059696E"/>
    <w:rsid w:val="007534BA"/>
    <w:rsid w:val="00803494"/>
    <w:rsid w:val="00897A34"/>
    <w:rsid w:val="00953B5F"/>
    <w:rsid w:val="009D5FB4"/>
    <w:rsid w:val="00A05A2D"/>
    <w:rsid w:val="00A34F0B"/>
    <w:rsid w:val="00C3750E"/>
    <w:rsid w:val="00D230F4"/>
    <w:rsid w:val="00DC4876"/>
    <w:rsid w:val="00EB143B"/>
    <w:rsid w:val="00EC436B"/>
    <w:rsid w:val="00F74834"/>
    <w:rsid w:val="00FB331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EBFC07321D4BC99B9C6F7789F9C1DD">
    <w:name w:val="27EBFC07321D4BC99B9C6F7789F9C1DD"/>
    <w:rsid w:val="009D5FB4"/>
  </w:style>
  <w:style w:type="paragraph" w:customStyle="1" w:styleId="BF74B2C3EDC6460BAAAF64AD105663B5">
    <w:name w:val="BF74B2C3EDC6460BAAAF64AD105663B5"/>
    <w:rsid w:val="005463EF"/>
    <w:pPr>
      <w:spacing w:after="160" w:line="259" w:lineRule="auto"/>
    </w:pPr>
  </w:style>
  <w:style w:type="paragraph" w:customStyle="1" w:styleId="50E20AF8222B40D6B5E0F2613A54A9E7">
    <w:name w:val="50E20AF8222B40D6B5E0F2613A54A9E7"/>
    <w:rsid w:val="005463EF"/>
    <w:pPr>
      <w:spacing w:after="160" w:line="259" w:lineRule="auto"/>
    </w:pPr>
  </w:style>
  <w:style w:type="paragraph" w:customStyle="1" w:styleId="59797C53D07C45848336776C5CBFD931">
    <w:name w:val="59797C53D07C45848336776C5CBFD931"/>
    <w:rsid w:val="005463EF"/>
    <w:pPr>
      <w:spacing w:after="160" w:line="259" w:lineRule="auto"/>
    </w:pPr>
  </w:style>
  <w:style w:type="paragraph" w:customStyle="1" w:styleId="578F2F31A83F4FBDAD79AB257FA432A7">
    <w:name w:val="578F2F31A83F4FBDAD79AB257FA432A7"/>
    <w:rsid w:val="005463EF"/>
    <w:pPr>
      <w:spacing w:after="160" w:line="259" w:lineRule="auto"/>
    </w:pPr>
  </w:style>
  <w:style w:type="paragraph" w:customStyle="1" w:styleId="5913A70805404877832555A3E189D0AF">
    <w:name w:val="5913A70805404877832555A3E189D0AF"/>
    <w:rsid w:val="005463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AC0D68-EA34-40D5-A004-FFB5EEAE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Glossary- Bank Lending Survey</vt:lpstr>
    </vt:vector>
  </TitlesOfParts>
  <Company>Hewlett-Packard Company</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Bank Lending Survey</dc:title>
  <dc:creator>Erjona Suljoti;Anjeza Gazidede</dc:creator>
  <cp:lastModifiedBy>Arlinda Koleniço</cp:lastModifiedBy>
  <cp:revision>4</cp:revision>
  <cp:lastPrinted>2018-03-19T16:04:00Z</cp:lastPrinted>
  <dcterms:created xsi:type="dcterms:W3CDTF">2018-08-08T12:40:00Z</dcterms:created>
  <dcterms:modified xsi:type="dcterms:W3CDTF">2018-08-08T12:55:00Z</dcterms:modified>
</cp:coreProperties>
</file>