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1D525" w14:textId="77777777" w:rsidR="00111381" w:rsidRPr="004718A5" w:rsidRDefault="00AA29ED" w:rsidP="004718A5">
      <w:pPr>
        <w:spacing w:after="120"/>
        <w:jc w:val="center"/>
        <w:rPr>
          <w:rFonts w:ascii="Times New Roman" w:hAnsi="Times New Roman" w:cs="Times New Roman"/>
          <w:b/>
        </w:rPr>
      </w:pPr>
      <w:r w:rsidRPr="004718A5">
        <w:rPr>
          <w:rFonts w:ascii="Times New Roman" w:hAnsi="Times New Roman" w:cs="Times New Roman"/>
          <w:b/>
        </w:rPr>
        <w:t>Bank Lending Survey</w:t>
      </w:r>
    </w:p>
    <w:p w14:paraId="0F3ACB87" w14:textId="77777777" w:rsidR="00712A0C" w:rsidRPr="004718A5" w:rsidRDefault="00111381" w:rsidP="004718A5">
      <w:pPr>
        <w:spacing w:after="120"/>
        <w:jc w:val="center"/>
        <w:rPr>
          <w:rFonts w:ascii="Times New Roman" w:hAnsi="Times New Roman" w:cs="Times New Roman"/>
          <w:b/>
        </w:rPr>
      </w:pPr>
      <w:r w:rsidRPr="004718A5">
        <w:rPr>
          <w:rFonts w:ascii="Times New Roman" w:hAnsi="Times New Roman" w:cs="Times New Roman"/>
          <w:b/>
        </w:rPr>
        <w:t xml:space="preserve">Its role for </w:t>
      </w:r>
      <w:r w:rsidR="003C5390" w:rsidRPr="004718A5">
        <w:rPr>
          <w:rFonts w:ascii="Times New Roman" w:hAnsi="Times New Roman" w:cs="Times New Roman"/>
          <w:b/>
        </w:rPr>
        <w:t>the c</w:t>
      </w:r>
      <w:r w:rsidRPr="004718A5">
        <w:rPr>
          <w:rFonts w:ascii="Times New Roman" w:hAnsi="Times New Roman" w:cs="Times New Roman"/>
          <w:b/>
        </w:rPr>
        <w:t xml:space="preserve">entral </w:t>
      </w:r>
      <w:r w:rsidR="003C5390" w:rsidRPr="004718A5">
        <w:rPr>
          <w:rFonts w:ascii="Times New Roman" w:hAnsi="Times New Roman" w:cs="Times New Roman"/>
          <w:b/>
        </w:rPr>
        <w:t>b</w:t>
      </w:r>
      <w:r w:rsidRPr="004718A5">
        <w:rPr>
          <w:rFonts w:ascii="Times New Roman" w:hAnsi="Times New Roman" w:cs="Times New Roman"/>
          <w:b/>
        </w:rPr>
        <w:t>ank and methodological aspects</w:t>
      </w:r>
    </w:p>
    <w:p w14:paraId="5D9EC0C6" w14:textId="77777777" w:rsidR="00111381" w:rsidRPr="004718A5" w:rsidRDefault="00111381" w:rsidP="004718A5">
      <w:pPr>
        <w:spacing w:after="120"/>
        <w:jc w:val="both"/>
        <w:rPr>
          <w:rFonts w:ascii="Times New Roman" w:hAnsi="Times New Roman" w:cs="Times New Roman"/>
          <w:b/>
          <w:i/>
        </w:rPr>
      </w:pPr>
    </w:p>
    <w:p w14:paraId="2E5657C1" w14:textId="77777777" w:rsidR="00142C62" w:rsidRPr="004718A5" w:rsidRDefault="00142C62" w:rsidP="004718A5">
      <w:pPr>
        <w:spacing w:after="120"/>
        <w:jc w:val="both"/>
        <w:rPr>
          <w:rFonts w:ascii="Times New Roman" w:hAnsi="Times New Roman" w:cs="Times New Roman"/>
          <w:b/>
          <w:i/>
        </w:rPr>
      </w:pPr>
      <w:r w:rsidRPr="004718A5">
        <w:rPr>
          <w:rFonts w:ascii="Times New Roman" w:hAnsi="Times New Roman" w:cs="Times New Roman"/>
          <w:b/>
          <w:i/>
        </w:rPr>
        <w:t>Introduction</w:t>
      </w:r>
    </w:p>
    <w:p w14:paraId="41714933" w14:textId="72E01975" w:rsidR="00D2278D" w:rsidRPr="004718A5" w:rsidRDefault="004718A5" w:rsidP="004718A5">
      <w:pPr>
        <w:spacing w:after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</w:t>
      </w:r>
      <w:r w:rsidR="0075182D" w:rsidRPr="004718A5">
        <w:rPr>
          <w:rFonts w:ascii="Times New Roman" w:hAnsi="Times New Roman" w:cs="Times New Roman"/>
          <w:i/>
        </w:rPr>
        <w:t xml:space="preserve">Bank Lending Survey </w:t>
      </w:r>
      <w:r w:rsidR="005463B7" w:rsidRPr="004718A5">
        <w:rPr>
          <w:rFonts w:ascii="Times New Roman" w:hAnsi="Times New Roman" w:cs="Times New Roman"/>
          <w:i/>
        </w:rPr>
        <w:t>(BLS)</w:t>
      </w:r>
      <w:r w:rsidR="0075182D" w:rsidRPr="004718A5">
        <w:rPr>
          <w:rFonts w:ascii="Times New Roman" w:hAnsi="Times New Roman" w:cs="Times New Roman"/>
          <w:i/>
        </w:rPr>
        <w:t xml:space="preserve"> is an opinion survey aimed at collecting qualitative data on the lending activity. It </w:t>
      </w:r>
      <w:r w:rsidR="002460A1" w:rsidRPr="004718A5">
        <w:rPr>
          <w:rFonts w:ascii="Times New Roman" w:hAnsi="Times New Roman" w:cs="Times New Roman"/>
          <w:i/>
        </w:rPr>
        <w:t xml:space="preserve">provides a closer insight on the credit market developments by complementing the quantitative data information </w:t>
      </w:r>
      <w:r w:rsidR="00427E8A" w:rsidRPr="004718A5">
        <w:rPr>
          <w:rFonts w:ascii="Times New Roman" w:hAnsi="Times New Roman" w:cs="Times New Roman"/>
          <w:i/>
        </w:rPr>
        <w:t>(according to monthly reporting by banks) with</w:t>
      </w:r>
      <w:r w:rsidR="00AF6A44">
        <w:rPr>
          <w:rFonts w:ascii="Times New Roman" w:hAnsi="Times New Roman" w:cs="Times New Roman"/>
          <w:i/>
        </w:rPr>
        <w:t xml:space="preserve"> </w:t>
      </w:r>
      <w:r w:rsidR="002460A1" w:rsidRPr="004718A5">
        <w:rPr>
          <w:rFonts w:ascii="Times New Roman" w:hAnsi="Times New Roman" w:cs="Times New Roman"/>
          <w:i/>
        </w:rPr>
        <w:t>the qualitative one</w:t>
      </w:r>
      <w:r w:rsidR="005463B7" w:rsidRPr="004718A5">
        <w:rPr>
          <w:rStyle w:val="FootnoteReference"/>
          <w:rFonts w:ascii="Times New Roman" w:hAnsi="Times New Roman" w:cs="Times New Roman"/>
          <w:i/>
        </w:rPr>
        <w:t>.</w:t>
      </w:r>
      <w:r w:rsidR="005463B7" w:rsidRPr="004718A5">
        <w:rPr>
          <w:rFonts w:ascii="Times New Roman" w:hAnsi="Times New Roman" w:cs="Times New Roman"/>
          <w:i/>
        </w:rPr>
        <w:t xml:space="preserve"> </w:t>
      </w:r>
      <w:r w:rsidR="00F30590" w:rsidRPr="004718A5">
        <w:rPr>
          <w:rFonts w:ascii="Times New Roman" w:hAnsi="Times New Roman" w:cs="Times New Roman"/>
          <w:i/>
        </w:rPr>
        <w:t xml:space="preserve">BLS serves as a useful tool for </w:t>
      </w:r>
      <w:r w:rsidR="00E8169E" w:rsidRPr="004718A5">
        <w:rPr>
          <w:rFonts w:ascii="Times New Roman" w:hAnsi="Times New Roman" w:cs="Times New Roman"/>
          <w:i/>
        </w:rPr>
        <w:t>in</w:t>
      </w:r>
      <w:r>
        <w:rPr>
          <w:rFonts w:ascii="Times New Roman" w:hAnsi="Times New Roman" w:cs="Times New Roman"/>
          <w:i/>
        </w:rPr>
        <w:t>-</w:t>
      </w:r>
      <w:r w:rsidR="00E8169E" w:rsidRPr="004718A5">
        <w:rPr>
          <w:rFonts w:ascii="Times New Roman" w:hAnsi="Times New Roman" w:cs="Times New Roman"/>
          <w:i/>
        </w:rPr>
        <w:t xml:space="preserve">depth analysis of </w:t>
      </w:r>
      <w:r w:rsidR="00427E8A" w:rsidRPr="004718A5">
        <w:rPr>
          <w:rFonts w:ascii="Times New Roman" w:hAnsi="Times New Roman" w:cs="Times New Roman"/>
          <w:i/>
        </w:rPr>
        <w:t>financial market</w:t>
      </w:r>
      <w:r w:rsidR="00E903D0" w:rsidRPr="004718A5">
        <w:rPr>
          <w:rFonts w:ascii="Times New Roman" w:hAnsi="Times New Roman" w:cs="Times New Roman"/>
          <w:i/>
        </w:rPr>
        <w:t>s</w:t>
      </w:r>
      <w:r w:rsidR="00427E8A" w:rsidRPr="004718A5">
        <w:rPr>
          <w:rFonts w:ascii="Times New Roman" w:hAnsi="Times New Roman" w:cs="Times New Roman"/>
          <w:i/>
        </w:rPr>
        <w:t xml:space="preserve">, developments in </w:t>
      </w:r>
      <w:r w:rsidR="00F30590" w:rsidRPr="004718A5">
        <w:rPr>
          <w:rFonts w:ascii="Times New Roman" w:hAnsi="Times New Roman" w:cs="Times New Roman"/>
          <w:i/>
        </w:rPr>
        <w:t xml:space="preserve">credit </w:t>
      </w:r>
      <w:r w:rsidR="00427E8A" w:rsidRPr="004718A5">
        <w:rPr>
          <w:rFonts w:ascii="Times New Roman" w:hAnsi="Times New Roman" w:cs="Times New Roman"/>
          <w:i/>
        </w:rPr>
        <w:t xml:space="preserve">demand and supply, and </w:t>
      </w:r>
      <w:r w:rsidR="00F30590" w:rsidRPr="004718A5">
        <w:rPr>
          <w:rFonts w:ascii="Times New Roman" w:hAnsi="Times New Roman" w:cs="Times New Roman"/>
          <w:i/>
        </w:rPr>
        <w:t xml:space="preserve">bank </w:t>
      </w:r>
      <w:r w:rsidR="00427E8A" w:rsidRPr="004718A5">
        <w:rPr>
          <w:rFonts w:ascii="Times New Roman" w:hAnsi="Times New Roman" w:cs="Times New Roman"/>
          <w:i/>
        </w:rPr>
        <w:t>lending policies or strategies</w:t>
      </w:r>
      <w:r w:rsidR="00F30590" w:rsidRPr="004718A5">
        <w:rPr>
          <w:rFonts w:ascii="Times New Roman" w:hAnsi="Times New Roman" w:cs="Times New Roman"/>
          <w:i/>
        </w:rPr>
        <w:t xml:space="preserve"> in Albania</w:t>
      </w:r>
      <w:r w:rsidR="00427E8A" w:rsidRPr="004718A5">
        <w:rPr>
          <w:rFonts w:ascii="Times New Roman" w:hAnsi="Times New Roman" w:cs="Times New Roman"/>
          <w:i/>
        </w:rPr>
        <w:t xml:space="preserve">. For the first time, such </w:t>
      </w:r>
      <w:r w:rsidR="00E903D0" w:rsidRPr="004718A5">
        <w:rPr>
          <w:rFonts w:ascii="Times New Roman" w:hAnsi="Times New Roman" w:cs="Times New Roman"/>
          <w:i/>
        </w:rPr>
        <w:t xml:space="preserve">a </w:t>
      </w:r>
      <w:r w:rsidR="00427E8A" w:rsidRPr="004718A5">
        <w:rPr>
          <w:rFonts w:ascii="Times New Roman" w:hAnsi="Times New Roman" w:cs="Times New Roman"/>
          <w:i/>
        </w:rPr>
        <w:t xml:space="preserve">survey was introduced in the USA, </w:t>
      </w:r>
      <w:r w:rsidR="00E903D0" w:rsidRPr="004718A5">
        <w:rPr>
          <w:rFonts w:ascii="Times New Roman" w:hAnsi="Times New Roman" w:cs="Times New Roman"/>
          <w:i/>
        </w:rPr>
        <w:t xml:space="preserve">in </w:t>
      </w:r>
      <w:r w:rsidR="00427E8A" w:rsidRPr="004718A5">
        <w:rPr>
          <w:rFonts w:ascii="Times New Roman" w:hAnsi="Times New Roman" w:cs="Times New Roman"/>
          <w:i/>
        </w:rPr>
        <w:t xml:space="preserve">the </w:t>
      </w:r>
      <w:r w:rsidR="00E903D0" w:rsidRPr="004718A5">
        <w:rPr>
          <w:rFonts w:ascii="Times New Roman" w:hAnsi="Times New Roman" w:cs="Times New Roman"/>
          <w:i/>
        </w:rPr>
        <w:t>19</w:t>
      </w:r>
      <w:r w:rsidR="00427E8A" w:rsidRPr="004718A5">
        <w:rPr>
          <w:rFonts w:ascii="Times New Roman" w:hAnsi="Times New Roman" w:cs="Times New Roman"/>
          <w:i/>
        </w:rPr>
        <w:t xml:space="preserve">60s, and in Europe in 2003. </w:t>
      </w:r>
      <w:r w:rsidR="00E903D0" w:rsidRPr="004718A5">
        <w:rPr>
          <w:rFonts w:ascii="Times New Roman" w:hAnsi="Times New Roman" w:cs="Times New Roman"/>
          <w:i/>
        </w:rPr>
        <w:t xml:space="preserve">In Albania, the BLS has been compiled since </w:t>
      </w:r>
      <w:r w:rsidR="00427E8A" w:rsidRPr="004718A5">
        <w:rPr>
          <w:rFonts w:ascii="Times New Roman" w:hAnsi="Times New Roman" w:cs="Times New Roman"/>
          <w:i/>
        </w:rPr>
        <w:t xml:space="preserve">2007. The analysis on these results </w:t>
      </w:r>
      <w:r w:rsidR="00E903D0" w:rsidRPr="004718A5">
        <w:rPr>
          <w:rFonts w:ascii="Times New Roman" w:hAnsi="Times New Roman" w:cs="Times New Roman"/>
          <w:i/>
        </w:rPr>
        <w:t xml:space="preserve">has been </w:t>
      </w:r>
      <w:r w:rsidR="00427E8A" w:rsidRPr="004718A5">
        <w:rPr>
          <w:rFonts w:ascii="Times New Roman" w:hAnsi="Times New Roman" w:cs="Times New Roman"/>
          <w:i/>
        </w:rPr>
        <w:t xml:space="preserve">published </w:t>
      </w:r>
      <w:r w:rsidR="00E903D0" w:rsidRPr="004718A5">
        <w:rPr>
          <w:rFonts w:ascii="Times New Roman" w:hAnsi="Times New Roman" w:cs="Times New Roman"/>
          <w:i/>
        </w:rPr>
        <w:t xml:space="preserve">on </w:t>
      </w:r>
      <w:r w:rsidR="00427E8A" w:rsidRPr="004718A5">
        <w:rPr>
          <w:rFonts w:ascii="Times New Roman" w:hAnsi="Times New Roman" w:cs="Times New Roman"/>
          <w:i/>
        </w:rPr>
        <w:t>Bank of Albania</w:t>
      </w:r>
      <w:r w:rsidR="00E903D0" w:rsidRPr="004718A5">
        <w:rPr>
          <w:rFonts w:ascii="Times New Roman" w:hAnsi="Times New Roman" w:cs="Times New Roman"/>
          <w:i/>
        </w:rPr>
        <w:t>’s</w:t>
      </w:r>
      <w:r w:rsidR="00427E8A" w:rsidRPr="004718A5">
        <w:rPr>
          <w:rFonts w:ascii="Times New Roman" w:hAnsi="Times New Roman" w:cs="Times New Roman"/>
          <w:i/>
        </w:rPr>
        <w:t xml:space="preserve"> website</w:t>
      </w:r>
      <w:r w:rsidR="00E903D0" w:rsidRPr="004718A5">
        <w:rPr>
          <w:rFonts w:ascii="Times New Roman" w:hAnsi="Times New Roman" w:cs="Times New Roman"/>
          <w:i/>
        </w:rPr>
        <w:t>,</w:t>
      </w:r>
      <w:r w:rsidR="00427E8A" w:rsidRPr="004718A5">
        <w:rPr>
          <w:rFonts w:ascii="Times New Roman" w:hAnsi="Times New Roman" w:cs="Times New Roman"/>
          <w:i/>
        </w:rPr>
        <w:t xml:space="preserve"> since 2007 H2.</w:t>
      </w:r>
      <w:r w:rsidR="00E903D0" w:rsidRPr="004718A5">
        <w:rPr>
          <w:rFonts w:ascii="Times New Roman" w:hAnsi="Times New Roman" w:cs="Times New Roman"/>
          <w:i/>
        </w:rPr>
        <w:t xml:space="preserve"> </w:t>
      </w:r>
    </w:p>
    <w:p w14:paraId="34B34E13" w14:textId="77777777" w:rsidR="009A6BE2" w:rsidRDefault="009A6BE2" w:rsidP="004718A5">
      <w:pPr>
        <w:spacing w:after="120"/>
        <w:jc w:val="both"/>
        <w:rPr>
          <w:rFonts w:ascii="Times New Roman" w:hAnsi="Times New Roman" w:cs="Times New Roman"/>
          <w:b/>
          <w:i/>
        </w:rPr>
      </w:pPr>
    </w:p>
    <w:p w14:paraId="32120B4F" w14:textId="7B28DE48" w:rsidR="00F30590" w:rsidRPr="004718A5" w:rsidRDefault="00F30590" w:rsidP="004718A5">
      <w:pPr>
        <w:spacing w:after="120"/>
        <w:jc w:val="both"/>
        <w:rPr>
          <w:rFonts w:ascii="Times New Roman" w:hAnsi="Times New Roman" w:cs="Times New Roman"/>
          <w:b/>
          <w:i/>
        </w:rPr>
      </w:pPr>
      <w:r w:rsidRPr="004718A5">
        <w:rPr>
          <w:rFonts w:ascii="Times New Roman" w:hAnsi="Times New Roman" w:cs="Times New Roman"/>
          <w:b/>
          <w:i/>
        </w:rPr>
        <w:t xml:space="preserve">Why is it important </w:t>
      </w:r>
      <w:r w:rsidR="00180ED3" w:rsidRPr="004718A5">
        <w:rPr>
          <w:rFonts w:ascii="Times New Roman" w:hAnsi="Times New Roman" w:cs="Times New Roman"/>
          <w:b/>
          <w:i/>
        </w:rPr>
        <w:t>for</w:t>
      </w:r>
      <w:r w:rsidR="004718A5">
        <w:rPr>
          <w:rFonts w:ascii="Times New Roman" w:hAnsi="Times New Roman" w:cs="Times New Roman"/>
          <w:b/>
          <w:i/>
        </w:rPr>
        <w:t xml:space="preserve"> the</w:t>
      </w:r>
      <w:r w:rsidR="00180ED3" w:rsidRPr="004718A5">
        <w:rPr>
          <w:rFonts w:ascii="Times New Roman" w:hAnsi="Times New Roman" w:cs="Times New Roman"/>
          <w:b/>
          <w:i/>
        </w:rPr>
        <w:t xml:space="preserve"> central bank </w:t>
      </w:r>
      <w:r w:rsidRPr="004718A5">
        <w:rPr>
          <w:rFonts w:ascii="Times New Roman" w:hAnsi="Times New Roman" w:cs="Times New Roman"/>
          <w:b/>
          <w:i/>
        </w:rPr>
        <w:t xml:space="preserve">to have a survey on bank lending </w:t>
      </w:r>
      <w:r w:rsidR="00180ED3" w:rsidRPr="004718A5">
        <w:rPr>
          <w:rFonts w:ascii="Times New Roman" w:hAnsi="Times New Roman" w:cs="Times New Roman"/>
          <w:b/>
          <w:i/>
        </w:rPr>
        <w:t>activity</w:t>
      </w:r>
      <w:r w:rsidRPr="004718A5">
        <w:rPr>
          <w:rFonts w:ascii="Times New Roman" w:hAnsi="Times New Roman" w:cs="Times New Roman"/>
          <w:b/>
          <w:i/>
        </w:rPr>
        <w:t>?</w:t>
      </w:r>
    </w:p>
    <w:p w14:paraId="7948B11C" w14:textId="2DE338AC" w:rsidR="00953C65" w:rsidRPr="004718A5" w:rsidRDefault="00A62D8D" w:rsidP="004718A5">
      <w:pPr>
        <w:spacing w:after="120"/>
        <w:jc w:val="both"/>
        <w:rPr>
          <w:rFonts w:ascii="Times New Roman" w:hAnsi="Times New Roman" w:cs="Times New Roman"/>
        </w:rPr>
      </w:pPr>
      <w:r w:rsidRPr="004718A5">
        <w:rPr>
          <w:rFonts w:ascii="Times New Roman" w:hAnsi="Times New Roman" w:cs="Times New Roman"/>
          <w:i/>
        </w:rPr>
        <w:t>First</w:t>
      </w:r>
      <w:r w:rsidRPr="004718A5">
        <w:rPr>
          <w:rFonts w:ascii="Times New Roman" w:hAnsi="Times New Roman" w:cs="Times New Roman"/>
        </w:rPr>
        <w:t xml:space="preserve">, developments in </w:t>
      </w:r>
      <w:r w:rsidR="00E903D0" w:rsidRPr="004718A5">
        <w:rPr>
          <w:rFonts w:ascii="Times New Roman" w:hAnsi="Times New Roman" w:cs="Times New Roman"/>
        </w:rPr>
        <w:t xml:space="preserve">the </w:t>
      </w:r>
      <w:r w:rsidR="007B1725" w:rsidRPr="004718A5">
        <w:rPr>
          <w:rFonts w:ascii="Times New Roman" w:hAnsi="Times New Roman" w:cs="Times New Roman"/>
        </w:rPr>
        <w:t>credit market</w:t>
      </w:r>
      <w:r w:rsidRPr="004718A5">
        <w:rPr>
          <w:rFonts w:ascii="Times New Roman" w:hAnsi="Times New Roman" w:cs="Times New Roman"/>
        </w:rPr>
        <w:t xml:space="preserve"> </w:t>
      </w:r>
      <w:r w:rsidR="00E903D0" w:rsidRPr="004718A5">
        <w:rPr>
          <w:rFonts w:ascii="Times New Roman" w:hAnsi="Times New Roman" w:cs="Times New Roman"/>
        </w:rPr>
        <w:t xml:space="preserve">have a significant effect on </w:t>
      </w:r>
      <w:r w:rsidRPr="004718A5">
        <w:rPr>
          <w:rFonts w:ascii="Times New Roman" w:hAnsi="Times New Roman" w:cs="Times New Roman"/>
        </w:rPr>
        <w:t xml:space="preserve">f economic activity and business cycles. Theoretically, </w:t>
      </w:r>
      <w:r w:rsidR="007B1725" w:rsidRPr="004718A5">
        <w:rPr>
          <w:rFonts w:ascii="Times New Roman" w:hAnsi="Times New Roman" w:cs="Times New Roman"/>
        </w:rPr>
        <w:t xml:space="preserve">a rise in the amount of credit provided </w:t>
      </w:r>
      <w:r w:rsidRPr="004718A5">
        <w:rPr>
          <w:rFonts w:ascii="Times New Roman" w:hAnsi="Times New Roman" w:cs="Times New Roman"/>
        </w:rPr>
        <w:t xml:space="preserve">in </w:t>
      </w:r>
      <w:r w:rsidR="00E903D0" w:rsidRPr="004718A5">
        <w:rPr>
          <w:rFonts w:ascii="Times New Roman" w:hAnsi="Times New Roman" w:cs="Times New Roman"/>
        </w:rPr>
        <w:t xml:space="preserve">a </w:t>
      </w:r>
      <w:r w:rsidRPr="004718A5">
        <w:rPr>
          <w:rFonts w:ascii="Times New Roman" w:hAnsi="Times New Roman" w:cs="Times New Roman"/>
        </w:rPr>
        <w:t xml:space="preserve">country </w:t>
      </w:r>
      <w:r w:rsidR="00E903D0" w:rsidRPr="004718A5">
        <w:rPr>
          <w:rFonts w:ascii="Times New Roman" w:hAnsi="Times New Roman" w:cs="Times New Roman"/>
        </w:rPr>
        <w:t>underpins</w:t>
      </w:r>
      <w:r w:rsidRPr="004718A5">
        <w:rPr>
          <w:rFonts w:ascii="Times New Roman" w:hAnsi="Times New Roman" w:cs="Times New Roman"/>
        </w:rPr>
        <w:t xml:space="preserve"> economic growth</w:t>
      </w:r>
      <w:r w:rsidR="00E903D0" w:rsidRPr="004718A5">
        <w:rPr>
          <w:rFonts w:ascii="Times New Roman" w:hAnsi="Times New Roman" w:cs="Times New Roman"/>
        </w:rPr>
        <w:t>,</w:t>
      </w:r>
      <w:r w:rsidRPr="004718A5">
        <w:rPr>
          <w:rFonts w:ascii="Times New Roman" w:hAnsi="Times New Roman" w:cs="Times New Roman"/>
        </w:rPr>
        <w:t xml:space="preserve"> and vice versa.</w:t>
      </w:r>
      <w:r w:rsidR="00E903D0" w:rsidRPr="004718A5">
        <w:rPr>
          <w:rFonts w:ascii="Times New Roman" w:hAnsi="Times New Roman" w:cs="Times New Roman"/>
        </w:rPr>
        <w:t xml:space="preserve"> </w:t>
      </w:r>
      <w:r w:rsidRPr="004718A5">
        <w:rPr>
          <w:rFonts w:ascii="Times New Roman" w:hAnsi="Times New Roman" w:cs="Times New Roman"/>
        </w:rPr>
        <w:t xml:space="preserve">This survey enriches the analysis </w:t>
      </w:r>
      <w:r w:rsidR="00180ED3" w:rsidRPr="004718A5">
        <w:rPr>
          <w:rFonts w:ascii="Times New Roman" w:hAnsi="Times New Roman" w:cs="Times New Roman"/>
        </w:rPr>
        <w:t>on</w:t>
      </w:r>
      <w:r w:rsidRPr="004718A5">
        <w:rPr>
          <w:rFonts w:ascii="Times New Roman" w:hAnsi="Times New Roman" w:cs="Times New Roman"/>
        </w:rPr>
        <w:t xml:space="preserve"> the domestic lending performance </w:t>
      </w:r>
      <w:r w:rsidR="00E903D0" w:rsidRPr="004718A5">
        <w:rPr>
          <w:rFonts w:ascii="Times New Roman" w:hAnsi="Times New Roman" w:cs="Times New Roman"/>
        </w:rPr>
        <w:t>with</w:t>
      </w:r>
      <w:r w:rsidRPr="004718A5">
        <w:rPr>
          <w:rFonts w:ascii="Times New Roman" w:hAnsi="Times New Roman" w:cs="Times New Roman"/>
        </w:rPr>
        <w:t xml:space="preserve"> </w:t>
      </w:r>
      <w:r w:rsidR="00C14B7B" w:rsidRPr="004718A5">
        <w:rPr>
          <w:rFonts w:ascii="Times New Roman" w:hAnsi="Times New Roman" w:cs="Times New Roman"/>
        </w:rPr>
        <w:t xml:space="preserve">qualitative </w:t>
      </w:r>
      <w:r w:rsidRPr="004718A5">
        <w:rPr>
          <w:rFonts w:ascii="Times New Roman" w:hAnsi="Times New Roman" w:cs="Times New Roman"/>
        </w:rPr>
        <w:t>information provided by banks</w:t>
      </w:r>
      <w:r w:rsidR="00C14B7B" w:rsidRPr="004718A5">
        <w:rPr>
          <w:rFonts w:ascii="Times New Roman" w:hAnsi="Times New Roman" w:cs="Times New Roman"/>
        </w:rPr>
        <w:t>,</w:t>
      </w:r>
      <w:r w:rsidRPr="004718A5">
        <w:rPr>
          <w:rFonts w:ascii="Times New Roman" w:hAnsi="Times New Roman" w:cs="Times New Roman"/>
        </w:rPr>
        <w:t xml:space="preserve"> </w:t>
      </w:r>
      <w:r w:rsidR="00532DA3" w:rsidRPr="004718A5">
        <w:rPr>
          <w:rFonts w:ascii="Times New Roman" w:hAnsi="Times New Roman" w:cs="Times New Roman"/>
        </w:rPr>
        <w:t xml:space="preserve">such as credit </w:t>
      </w:r>
      <w:r w:rsidRPr="004718A5">
        <w:rPr>
          <w:rFonts w:ascii="Times New Roman" w:hAnsi="Times New Roman" w:cs="Times New Roman"/>
        </w:rPr>
        <w:t>standards, pric</w:t>
      </w:r>
      <w:r w:rsidR="00E903D0" w:rsidRPr="004718A5">
        <w:rPr>
          <w:rFonts w:ascii="Times New Roman" w:hAnsi="Times New Roman" w:cs="Times New Roman"/>
        </w:rPr>
        <w:t xml:space="preserve">e </w:t>
      </w:r>
      <w:r w:rsidRPr="004718A5">
        <w:rPr>
          <w:rFonts w:ascii="Times New Roman" w:hAnsi="Times New Roman" w:cs="Times New Roman"/>
        </w:rPr>
        <w:t>and non-pric</w:t>
      </w:r>
      <w:r w:rsidR="00E903D0" w:rsidRPr="004718A5">
        <w:rPr>
          <w:rFonts w:ascii="Times New Roman" w:hAnsi="Times New Roman" w:cs="Times New Roman"/>
        </w:rPr>
        <w:t>e</w:t>
      </w:r>
      <w:r w:rsidRPr="004718A5">
        <w:rPr>
          <w:rFonts w:ascii="Times New Roman" w:hAnsi="Times New Roman" w:cs="Times New Roman"/>
        </w:rPr>
        <w:t xml:space="preserve"> conditions, banks' perception of risk, and their </w:t>
      </w:r>
      <w:r w:rsidR="00532DA3" w:rsidRPr="004718A5">
        <w:rPr>
          <w:rFonts w:ascii="Times New Roman" w:hAnsi="Times New Roman" w:cs="Times New Roman"/>
        </w:rPr>
        <w:t>willingness</w:t>
      </w:r>
      <w:r w:rsidRPr="004718A5">
        <w:rPr>
          <w:rFonts w:ascii="Times New Roman" w:hAnsi="Times New Roman" w:cs="Times New Roman"/>
        </w:rPr>
        <w:t xml:space="preserve"> to credit the economy. The information </w:t>
      </w:r>
      <w:r w:rsidR="00532DA3" w:rsidRPr="004718A5">
        <w:rPr>
          <w:rFonts w:ascii="Times New Roman" w:hAnsi="Times New Roman" w:cs="Times New Roman"/>
        </w:rPr>
        <w:t xml:space="preserve">revealed </w:t>
      </w:r>
      <w:r w:rsidRPr="004718A5">
        <w:rPr>
          <w:rFonts w:ascii="Times New Roman" w:hAnsi="Times New Roman" w:cs="Times New Roman"/>
        </w:rPr>
        <w:t>from th</w:t>
      </w:r>
      <w:r w:rsidR="00532DA3" w:rsidRPr="004718A5">
        <w:rPr>
          <w:rFonts w:ascii="Times New Roman" w:hAnsi="Times New Roman" w:cs="Times New Roman"/>
        </w:rPr>
        <w:t xml:space="preserve">is </w:t>
      </w:r>
      <w:r w:rsidRPr="004718A5">
        <w:rPr>
          <w:rFonts w:ascii="Times New Roman" w:hAnsi="Times New Roman" w:cs="Times New Roman"/>
        </w:rPr>
        <w:t xml:space="preserve">survey helps to </w:t>
      </w:r>
      <w:r w:rsidR="00532DA3" w:rsidRPr="004718A5">
        <w:rPr>
          <w:rFonts w:ascii="Times New Roman" w:hAnsi="Times New Roman" w:cs="Times New Roman"/>
        </w:rPr>
        <w:t xml:space="preserve">better </w:t>
      </w:r>
      <w:r w:rsidRPr="004718A5">
        <w:rPr>
          <w:rFonts w:ascii="Times New Roman" w:hAnsi="Times New Roman" w:cs="Times New Roman"/>
        </w:rPr>
        <w:t xml:space="preserve">understand the </w:t>
      </w:r>
      <w:r w:rsidR="007B1725" w:rsidRPr="004718A5">
        <w:rPr>
          <w:rFonts w:ascii="Times New Roman" w:hAnsi="Times New Roman" w:cs="Times New Roman"/>
        </w:rPr>
        <w:t>banks’</w:t>
      </w:r>
      <w:r w:rsidR="00E903D0" w:rsidRPr="004718A5">
        <w:rPr>
          <w:rFonts w:ascii="Times New Roman" w:hAnsi="Times New Roman" w:cs="Times New Roman"/>
        </w:rPr>
        <w:t xml:space="preserve"> </w:t>
      </w:r>
      <w:r w:rsidRPr="004718A5">
        <w:rPr>
          <w:rFonts w:ascii="Times New Roman" w:hAnsi="Times New Roman" w:cs="Times New Roman"/>
        </w:rPr>
        <w:t>lending</w:t>
      </w:r>
      <w:r w:rsidR="00532DA3" w:rsidRPr="004718A5">
        <w:rPr>
          <w:rFonts w:ascii="Times New Roman" w:hAnsi="Times New Roman" w:cs="Times New Roman"/>
        </w:rPr>
        <w:t xml:space="preserve"> approach</w:t>
      </w:r>
      <w:r w:rsidRPr="004718A5">
        <w:rPr>
          <w:rFonts w:ascii="Times New Roman" w:hAnsi="Times New Roman" w:cs="Times New Roman"/>
        </w:rPr>
        <w:t>. In this context, it complements with qualitative data</w:t>
      </w:r>
      <w:r w:rsidR="00E903D0" w:rsidRPr="004718A5">
        <w:rPr>
          <w:rFonts w:ascii="Times New Roman" w:hAnsi="Times New Roman" w:cs="Times New Roman"/>
        </w:rPr>
        <w:t>,</w:t>
      </w:r>
      <w:r w:rsidRPr="004718A5">
        <w:rPr>
          <w:rFonts w:ascii="Times New Roman" w:hAnsi="Times New Roman" w:cs="Times New Roman"/>
        </w:rPr>
        <w:t xml:space="preserve"> the </w:t>
      </w:r>
      <w:r w:rsidR="00532DA3" w:rsidRPr="004718A5">
        <w:rPr>
          <w:rFonts w:ascii="Times New Roman" w:hAnsi="Times New Roman" w:cs="Times New Roman"/>
        </w:rPr>
        <w:t xml:space="preserve">projections of </w:t>
      </w:r>
      <w:r w:rsidR="00E903D0" w:rsidRPr="004718A5">
        <w:rPr>
          <w:rFonts w:ascii="Times New Roman" w:hAnsi="Times New Roman" w:cs="Times New Roman"/>
        </w:rPr>
        <w:t xml:space="preserve">monetary and financial </w:t>
      </w:r>
      <w:r w:rsidR="00C14B7B" w:rsidRPr="004718A5">
        <w:rPr>
          <w:rFonts w:ascii="Times New Roman" w:hAnsi="Times New Roman" w:cs="Times New Roman"/>
        </w:rPr>
        <w:t xml:space="preserve">variables </w:t>
      </w:r>
      <w:r w:rsidR="00532DA3" w:rsidRPr="004718A5">
        <w:rPr>
          <w:rFonts w:ascii="Times New Roman" w:hAnsi="Times New Roman" w:cs="Times New Roman"/>
        </w:rPr>
        <w:t xml:space="preserve">and </w:t>
      </w:r>
      <w:r w:rsidR="00C14B7B" w:rsidRPr="004718A5">
        <w:rPr>
          <w:rFonts w:ascii="Times New Roman" w:hAnsi="Times New Roman" w:cs="Times New Roman"/>
        </w:rPr>
        <w:t>of other real economy indicators</w:t>
      </w:r>
      <w:r w:rsidR="00532DA3" w:rsidRPr="004718A5">
        <w:rPr>
          <w:rFonts w:ascii="Times New Roman" w:hAnsi="Times New Roman" w:cs="Times New Roman"/>
        </w:rPr>
        <w:t xml:space="preserve"> </w:t>
      </w:r>
      <w:r w:rsidR="00C14B7B" w:rsidRPr="004718A5">
        <w:rPr>
          <w:rFonts w:ascii="Times New Roman" w:hAnsi="Times New Roman" w:cs="Times New Roman"/>
        </w:rPr>
        <w:t xml:space="preserve">(such as </w:t>
      </w:r>
      <w:r w:rsidRPr="004718A5">
        <w:rPr>
          <w:rFonts w:ascii="Times New Roman" w:hAnsi="Times New Roman" w:cs="Times New Roman"/>
        </w:rPr>
        <w:t>consumption, investments, production, etc.)</w:t>
      </w:r>
      <w:r w:rsidR="00E903D0" w:rsidRPr="004718A5">
        <w:rPr>
          <w:rFonts w:ascii="Times New Roman" w:hAnsi="Times New Roman" w:cs="Times New Roman"/>
        </w:rPr>
        <w:t xml:space="preserve">. The set of such indicators corroborates, </w:t>
      </w:r>
      <w:r w:rsidRPr="004718A5">
        <w:rPr>
          <w:rFonts w:ascii="Times New Roman" w:hAnsi="Times New Roman" w:cs="Times New Roman"/>
        </w:rPr>
        <w:t xml:space="preserve">among other things, the monetary policy decision-making. </w:t>
      </w:r>
    </w:p>
    <w:p w14:paraId="74BF7016" w14:textId="5B668E96" w:rsidR="00DC1C85" w:rsidRPr="004718A5" w:rsidRDefault="00EF6F50" w:rsidP="004718A5">
      <w:pPr>
        <w:spacing w:after="120"/>
        <w:jc w:val="both"/>
        <w:rPr>
          <w:rFonts w:ascii="Times New Roman" w:hAnsi="Times New Roman" w:cs="Times New Roman"/>
        </w:rPr>
      </w:pPr>
      <w:r w:rsidRPr="004718A5">
        <w:rPr>
          <w:rFonts w:ascii="Times New Roman" w:hAnsi="Times New Roman" w:cs="Times New Roman"/>
          <w:i/>
        </w:rPr>
        <w:t>Second</w:t>
      </w:r>
      <w:r w:rsidRPr="004718A5">
        <w:rPr>
          <w:rFonts w:ascii="Times New Roman" w:hAnsi="Times New Roman" w:cs="Times New Roman"/>
        </w:rPr>
        <w:t xml:space="preserve">, it enriches the information </w:t>
      </w:r>
      <w:r w:rsidR="00C14B7B" w:rsidRPr="004718A5">
        <w:rPr>
          <w:rFonts w:ascii="Times New Roman" w:hAnsi="Times New Roman" w:cs="Times New Roman"/>
        </w:rPr>
        <w:t>kit of</w:t>
      </w:r>
      <w:r w:rsidRPr="004718A5">
        <w:rPr>
          <w:rFonts w:ascii="Times New Roman" w:hAnsi="Times New Roman" w:cs="Times New Roman"/>
        </w:rPr>
        <w:t xml:space="preserve"> </w:t>
      </w:r>
      <w:r w:rsidR="004718A5">
        <w:rPr>
          <w:rFonts w:ascii="Times New Roman" w:hAnsi="Times New Roman" w:cs="Times New Roman"/>
        </w:rPr>
        <w:t xml:space="preserve">the </w:t>
      </w:r>
      <w:r w:rsidRPr="004718A5">
        <w:rPr>
          <w:rFonts w:ascii="Times New Roman" w:hAnsi="Times New Roman" w:cs="Times New Roman"/>
        </w:rPr>
        <w:t xml:space="preserve">monetary policy transmission mechanism. </w:t>
      </w:r>
      <w:r w:rsidR="00582595" w:rsidRPr="004718A5">
        <w:rPr>
          <w:rFonts w:ascii="Times New Roman" w:hAnsi="Times New Roman" w:cs="Times New Roman"/>
        </w:rPr>
        <w:t>Both in theory and in practice</w:t>
      </w:r>
      <w:r w:rsidRPr="004718A5">
        <w:rPr>
          <w:rFonts w:ascii="Times New Roman" w:hAnsi="Times New Roman" w:cs="Times New Roman"/>
        </w:rPr>
        <w:t xml:space="preserve">, monetary policy decisions are transmitted to the economy through various channels. </w:t>
      </w:r>
      <w:r w:rsidR="00D4368C" w:rsidRPr="004718A5">
        <w:rPr>
          <w:rFonts w:ascii="Times New Roman" w:hAnsi="Times New Roman" w:cs="Times New Roman"/>
        </w:rPr>
        <w:t>According to</w:t>
      </w:r>
      <w:r w:rsidRPr="004718A5">
        <w:rPr>
          <w:rFonts w:ascii="Times New Roman" w:hAnsi="Times New Roman" w:cs="Times New Roman"/>
        </w:rPr>
        <w:t xml:space="preserve"> the basic concept of the monetary policy transmission mechanism, the central bank </w:t>
      </w:r>
      <w:r w:rsidR="00D4368C" w:rsidRPr="004718A5">
        <w:rPr>
          <w:rFonts w:ascii="Times New Roman" w:hAnsi="Times New Roman" w:cs="Times New Roman"/>
        </w:rPr>
        <w:t>affects</w:t>
      </w:r>
      <w:r w:rsidRPr="004718A5">
        <w:rPr>
          <w:rFonts w:ascii="Times New Roman" w:hAnsi="Times New Roman" w:cs="Times New Roman"/>
        </w:rPr>
        <w:t xml:space="preserve"> the </w:t>
      </w:r>
      <w:proofErr w:type="spellStart"/>
      <w:r w:rsidR="008F6C1A" w:rsidRPr="004718A5">
        <w:rPr>
          <w:rFonts w:ascii="Times New Roman" w:hAnsi="Times New Roman" w:cs="Times New Roman"/>
        </w:rPr>
        <w:t>intertemporal</w:t>
      </w:r>
      <w:proofErr w:type="spellEnd"/>
      <w:r w:rsidR="008F6C1A" w:rsidRPr="004718A5">
        <w:rPr>
          <w:rFonts w:ascii="Times New Roman" w:hAnsi="Times New Roman" w:cs="Times New Roman"/>
        </w:rPr>
        <w:t xml:space="preserve"> </w:t>
      </w:r>
      <w:r w:rsidR="00AF3BC3" w:rsidRPr="004718A5">
        <w:rPr>
          <w:rFonts w:ascii="Times New Roman" w:hAnsi="Times New Roman" w:cs="Times New Roman"/>
          <w:bCs/>
          <w:iCs/>
        </w:rPr>
        <w:t xml:space="preserve">allocation </w:t>
      </w:r>
      <w:r w:rsidRPr="004718A5">
        <w:rPr>
          <w:rFonts w:ascii="Times New Roman" w:hAnsi="Times New Roman" w:cs="Times New Roman"/>
        </w:rPr>
        <w:t xml:space="preserve">of resources through </w:t>
      </w:r>
      <w:r w:rsidR="00582595" w:rsidRPr="004718A5">
        <w:rPr>
          <w:rFonts w:ascii="Times New Roman" w:hAnsi="Times New Roman" w:cs="Times New Roman"/>
        </w:rPr>
        <w:t xml:space="preserve">changes </w:t>
      </w:r>
      <w:r w:rsidR="007B1725" w:rsidRPr="004718A5">
        <w:rPr>
          <w:rFonts w:ascii="Times New Roman" w:hAnsi="Times New Roman" w:cs="Times New Roman"/>
        </w:rPr>
        <w:t>in</w:t>
      </w:r>
      <w:r w:rsidR="00582595" w:rsidRPr="004718A5">
        <w:rPr>
          <w:rFonts w:ascii="Times New Roman" w:hAnsi="Times New Roman" w:cs="Times New Roman"/>
        </w:rPr>
        <w:t xml:space="preserve"> </w:t>
      </w:r>
      <w:r w:rsidRPr="004718A5">
        <w:rPr>
          <w:rFonts w:ascii="Times New Roman" w:hAnsi="Times New Roman" w:cs="Times New Roman"/>
        </w:rPr>
        <w:t>interest rate</w:t>
      </w:r>
      <w:r w:rsidR="00582595" w:rsidRPr="004718A5">
        <w:rPr>
          <w:rFonts w:ascii="Times New Roman" w:hAnsi="Times New Roman" w:cs="Times New Roman"/>
        </w:rPr>
        <w:t>s</w:t>
      </w:r>
      <w:r w:rsidRPr="004718A5">
        <w:rPr>
          <w:rFonts w:ascii="Times New Roman" w:hAnsi="Times New Roman" w:cs="Times New Roman"/>
        </w:rPr>
        <w:t xml:space="preserve"> (the main instrument of </w:t>
      </w:r>
      <w:r w:rsidR="004718A5">
        <w:rPr>
          <w:rFonts w:ascii="Times New Roman" w:hAnsi="Times New Roman" w:cs="Times New Roman"/>
        </w:rPr>
        <w:t xml:space="preserve">the </w:t>
      </w:r>
      <w:r w:rsidRPr="004718A5">
        <w:rPr>
          <w:rFonts w:ascii="Times New Roman" w:hAnsi="Times New Roman" w:cs="Times New Roman"/>
        </w:rPr>
        <w:t xml:space="preserve">monetary policy). However, the central bank only controls the short-term segment of interest rates. The transmission of these changes </w:t>
      </w:r>
      <w:r w:rsidR="00AF3BC3" w:rsidRPr="004718A5">
        <w:rPr>
          <w:rFonts w:ascii="Times New Roman" w:hAnsi="Times New Roman" w:cs="Times New Roman"/>
        </w:rPr>
        <w:t xml:space="preserve">to </w:t>
      </w:r>
      <w:r w:rsidRPr="004718A5">
        <w:rPr>
          <w:rFonts w:ascii="Times New Roman" w:hAnsi="Times New Roman" w:cs="Times New Roman"/>
        </w:rPr>
        <w:t xml:space="preserve">the long-term segment is </w:t>
      </w:r>
      <w:r w:rsidR="007B1725" w:rsidRPr="004718A5">
        <w:rPr>
          <w:rFonts w:ascii="Times New Roman" w:hAnsi="Times New Roman" w:cs="Times New Roman"/>
        </w:rPr>
        <w:t>affected</w:t>
      </w:r>
      <w:r w:rsidRPr="004718A5">
        <w:rPr>
          <w:rFonts w:ascii="Times New Roman" w:hAnsi="Times New Roman" w:cs="Times New Roman"/>
        </w:rPr>
        <w:t xml:space="preserve">, among other things, by commercial banks through the rates they apply on </w:t>
      </w:r>
      <w:r w:rsidR="00582595" w:rsidRPr="004718A5">
        <w:rPr>
          <w:rFonts w:ascii="Times New Roman" w:hAnsi="Times New Roman" w:cs="Times New Roman"/>
        </w:rPr>
        <w:t xml:space="preserve">loans </w:t>
      </w:r>
      <w:r w:rsidRPr="004718A5">
        <w:rPr>
          <w:rFonts w:ascii="Times New Roman" w:hAnsi="Times New Roman" w:cs="Times New Roman"/>
        </w:rPr>
        <w:t xml:space="preserve">to the private sector. The </w:t>
      </w:r>
      <w:r w:rsidR="00582595" w:rsidRPr="004718A5">
        <w:rPr>
          <w:rFonts w:ascii="Times New Roman" w:hAnsi="Times New Roman" w:cs="Times New Roman"/>
        </w:rPr>
        <w:t>scope</w:t>
      </w:r>
      <w:r w:rsidR="00AF3BC3" w:rsidRPr="004718A5">
        <w:rPr>
          <w:rFonts w:ascii="Times New Roman" w:hAnsi="Times New Roman" w:cs="Times New Roman"/>
        </w:rPr>
        <w:t xml:space="preserve"> of the </w:t>
      </w:r>
      <w:r w:rsidRPr="004718A5">
        <w:rPr>
          <w:rFonts w:ascii="Times New Roman" w:hAnsi="Times New Roman" w:cs="Times New Roman"/>
        </w:rPr>
        <w:t xml:space="preserve">transmission from the </w:t>
      </w:r>
      <w:r w:rsidR="00AF3BC3" w:rsidRPr="004718A5">
        <w:rPr>
          <w:rFonts w:ascii="Times New Roman" w:hAnsi="Times New Roman" w:cs="Times New Roman"/>
        </w:rPr>
        <w:t xml:space="preserve">policy </w:t>
      </w:r>
      <w:r w:rsidRPr="004718A5">
        <w:rPr>
          <w:rFonts w:ascii="Times New Roman" w:hAnsi="Times New Roman" w:cs="Times New Roman"/>
        </w:rPr>
        <w:t xml:space="preserve">rate </w:t>
      </w:r>
      <w:r w:rsidR="00582595" w:rsidRPr="004718A5">
        <w:rPr>
          <w:rFonts w:ascii="Times New Roman" w:hAnsi="Times New Roman" w:cs="Times New Roman"/>
        </w:rPr>
        <w:t xml:space="preserve">change </w:t>
      </w:r>
      <w:r w:rsidRPr="004718A5">
        <w:rPr>
          <w:rFonts w:ascii="Times New Roman" w:hAnsi="Times New Roman" w:cs="Times New Roman"/>
        </w:rPr>
        <w:t xml:space="preserve">to the long-term </w:t>
      </w:r>
      <w:r w:rsidR="00AF3BC3" w:rsidRPr="004718A5">
        <w:rPr>
          <w:rFonts w:ascii="Times New Roman" w:hAnsi="Times New Roman" w:cs="Times New Roman"/>
        </w:rPr>
        <w:t xml:space="preserve">interest </w:t>
      </w:r>
      <w:r w:rsidRPr="004718A5">
        <w:rPr>
          <w:rFonts w:ascii="Times New Roman" w:hAnsi="Times New Roman" w:cs="Times New Roman"/>
        </w:rPr>
        <w:t>rate depends on the banking system</w:t>
      </w:r>
      <w:r w:rsidR="00AF3BC3" w:rsidRPr="004718A5">
        <w:rPr>
          <w:rFonts w:ascii="Times New Roman" w:hAnsi="Times New Roman" w:cs="Times New Roman"/>
        </w:rPr>
        <w:t>’s</w:t>
      </w:r>
      <w:r w:rsidRPr="004718A5">
        <w:rPr>
          <w:rFonts w:ascii="Times New Roman" w:hAnsi="Times New Roman" w:cs="Times New Roman"/>
        </w:rPr>
        <w:t xml:space="preserve"> approach to </w:t>
      </w:r>
      <w:r w:rsidR="00582595" w:rsidRPr="004718A5">
        <w:rPr>
          <w:rFonts w:ascii="Times New Roman" w:hAnsi="Times New Roman" w:cs="Times New Roman"/>
        </w:rPr>
        <w:t xml:space="preserve">provide loans to </w:t>
      </w:r>
      <w:r w:rsidR="00AF3BC3" w:rsidRPr="004718A5">
        <w:rPr>
          <w:rFonts w:ascii="Times New Roman" w:hAnsi="Times New Roman" w:cs="Times New Roman"/>
        </w:rPr>
        <w:t xml:space="preserve">enterprises </w:t>
      </w:r>
      <w:r w:rsidRPr="004718A5">
        <w:rPr>
          <w:rFonts w:ascii="Times New Roman" w:hAnsi="Times New Roman" w:cs="Times New Roman"/>
        </w:rPr>
        <w:t xml:space="preserve">and households, the supply-demand </w:t>
      </w:r>
      <w:r w:rsidR="00AF3BC3" w:rsidRPr="004718A5">
        <w:rPr>
          <w:rFonts w:ascii="Times New Roman" w:hAnsi="Times New Roman" w:cs="Times New Roman"/>
        </w:rPr>
        <w:t xml:space="preserve">conditions, </w:t>
      </w:r>
      <w:r w:rsidRPr="004718A5">
        <w:rPr>
          <w:rFonts w:ascii="Times New Roman" w:hAnsi="Times New Roman" w:cs="Times New Roman"/>
        </w:rPr>
        <w:t>as well as the banking system</w:t>
      </w:r>
      <w:r w:rsidR="00AF3BC3" w:rsidRPr="004718A5">
        <w:rPr>
          <w:rFonts w:ascii="Times New Roman" w:hAnsi="Times New Roman" w:cs="Times New Roman"/>
        </w:rPr>
        <w:t xml:space="preserve"> structure</w:t>
      </w:r>
      <w:r w:rsidRPr="004718A5">
        <w:rPr>
          <w:rFonts w:ascii="Times New Roman" w:hAnsi="Times New Roman" w:cs="Times New Roman"/>
        </w:rPr>
        <w:t>.</w:t>
      </w:r>
    </w:p>
    <w:p w14:paraId="6F3BF200" w14:textId="3DFA3903" w:rsidR="00BD662B" w:rsidRPr="004718A5" w:rsidRDefault="00BD662B" w:rsidP="004718A5">
      <w:pPr>
        <w:spacing w:after="120"/>
        <w:jc w:val="both"/>
        <w:rPr>
          <w:rFonts w:ascii="Times New Roman" w:hAnsi="Times New Roman" w:cs="Times New Roman"/>
        </w:rPr>
      </w:pPr>
      <w:r w:rsidRPr="004718A5">
        <w:rPr>
          <w:rFonts w:ascii="Times New Roman" w:hAnsi="Times New Roman" w:cs="Times New Roman"/>
          <w:i/>
        </w:rPr>
        <w:t>Third</w:t>
      </w:r>
      <w:r w:rsidRPr="004718A5">
        <w:rPr>
          <w:rFonts w:ascii="Times New Roman" w:hAnsi="Times New Roman" w:cs="Times New Roman"/>
        </w:rPr>
        <w:t xml:space="preserve">, </w:t>
      </w:r>
      <w:r w:rsidR="00AF3BC3" w:rsidRPr="004718A5">
        <w:rPr>
          <w:rFonts w:ascii="Times New Roman" w:hAnsi="Times New Roman" w:cs="Times New Roman"/>
        </w:rPr>
        <w:t xml:space="preserve">‘expectations’ is </w:t>
      </w:r>
      <w:r w:rsidR="00522592" w:rsidRPr="004718A5">
        <w:rPr>
          <w:rFonts w:ascii="Times New Roman" w:hAnsi="Times New Roman" w:cs="Times New Roman"/>
        </w:rPr>
        <w:t xml:space="preserve">one of the </w:t>
      </w:r>
      <w:r w:rsidRPr="004718A5">
        <w:rPr>
          <w:rFonts w:ascii="Times New Roman" w:hAnsi="Times New Roman" w:cs="Times New Roman"/>
        </w:rPr>
        <w:t>pillar</w:t>
      </w:r>
      <w:r w:rsidR="00522592" w:rsidRPr="004718A5">
        <w:rPr>
          <w:rFonts w:ascii="Times New Roman" w:hAnsi="Times New Roman" w:cs="Times New Roman"/>
        </w:rPr>
        <w:t>s</w:t>
      </w:r>
      <w:r w:rsidRPr="004718A5">
        <w:rPr>
          <w:rFonts w:ascii="Times New Roman" w:hAnsi="Times New Roman" w:cs="Times New Roman"/>
        </w:rPr>
        <w:t xml:space="preserve"> on which this survey is conceived and </w:t>
      </w:r>
      <w:r w:rsidR="00AF3BC3" w:rsidRPr="004718A5">
        <w:rPr>
          <w:rFonts w:ascii="Times New Roman" w:hAnsi="Times New Roman" w:cs="Times New Roman"/>
        </w:rPr>
        <w:t>compiled</w:t>
      </w:r>
      <w:r w:rsidRPr="004718A5">
        <w:rPr>
          <w:rFonts w:ascii="Times New Roman" w:hAnsi="Times New Roman" w:cs="Times New Roman"/>
        </w:rPr>
        <w:t xml:space="preserve">. The </w:t>
      </w:r>
      <w:r w:rsidR="00AF3BC3" w:rsidRPr="004718A5">
        <w:rPr>
          <w:rFonts w:ascii="Times New Roman" w:hAnsi="Times New Roman" w:cs="Times New Roman"/>
        </w:rPr>
        <w:t xml:space="preserve">information </w:t>
      </w:r>
      <w:r w:rsidRPr="004718A5">
        <w:rPr>
          <w:rFonts w:ascii="Times New Roman" w:hAnsi="Times New Roman" w:cs="Times New Roman"/>
        </w:rPr>
        <w:t xml:space="preserve">from this </w:t>
      </w:r>
      <w:r w:rsidR="00F4412D" w:rsidRPr="004718A5">
        <w:rPr>
          <w:rFonts w:ascii="Times New Roman" w:hAnsi="Times New Roman" w:cs="Times New Roman"/>
        </w:rPr>
        <w:t>section</w:t>
      </w:r>
      <w:r w:rsidR="00AF3BC3" w:rsidRPr="004718A5">
        <w:rPr>
          <w:rFonts w:ascii="Times New Roman" w:hAnsi="Times New Roman" w:cs="Times New Roman"/>
        </w:rPr>
        <w:t xml:space="preserve"> </w:t>
      </w:r>
      <w:r w:rsidRPr="004718A5">
        <w:rPr>
          <w:rFonts w:ascii="Times New Roman" w:hAnsi="Times New Roman" w:cs="Times New Roman"/>
        </w:rPr>
        <w:t xml:space="preserve">helps the central bank to </w:t>
      </w:r>
      <w:r w:rsidR="000C7F47" w:rsidRPr="004718A5">
        <w:rPr>
          <w:rFonts w:ascii="Times New Roman" w:hAnsi="Times New Roman" w:cs="Times New Roman"/>
        </w:rPr>
        <w:t xml:space="preserve">have a </w:t>
      </w:r>
      <w:r w:rsidR="00AF3BC3" w:rsidRPr="004718A5">
        <w:rPr>
          <w:rFonts w:ascii="Times New Roman" w:hAnsi="Times New Roman" w:cs="Times New Roman"/>
        </w:rPr>
        <w:t>complete</w:t>
      </w:r>
      <w:r w:rsidRPr="004718A5">
        <w:rPr>
          <w:rFonts w:ascii="Times New Roman" w:hAnsi="Times New Roman" w:cs="Times New Roman"/>
        </w:rPr>
        <w:t xml:space="preserve"> </w:t>
      </w:r>
      <w:r w:rsidR="00AF3BC3" w:rsidRPr="004718A5">
        <w:rPr>
          <w:rFonts w:ascii="Times New Roman" w:hAnsi="Times New Roman" w:cs="Times New Roman"/>
        </w:rPr>
        <w:t xml:space="preserve">set </w:t>
      </w:r>
      <w:r w:rsidRPr="004718A5">
        <w:rPr>
          <w:rFonts w:ascii="Times New Roman" w:hAnsi="Times New Roman" w:cs="Times New Roman"/>
        </w:rPr>
        <w:t>of information</w:t>
      </w:r>
      <w:r w:rsidR="00CD48AA" w:rsidRPr="004718A5">
        <w:rPr>
          <w:rFonts w:ascii="Times New Roman" w:hAnsi="Times New Roman" w:cs="Times New Roman"/>
        </w:rPr>
        <w:t xml:space="preserve"> regarding expectations</w:t>
      </w:r>
      <w:r w:rsidRPr="004718A5">
        <w:rPr>
          <w:rFonts w:ascii="Times New Roman" w:hAnsi="Times New Roman" w:cs="Times New Roman"/>
        </w:rPr>
        <w:t xml:space="preserve"> </w:t>
      </w:r>
      <w:r w:rsidR="00522592" w:rsidRPr="004718A5">
        <w:rPr>
          <w:rFonts w:ascii="Times New Roman" w:hAnsi="Times New Roman" w:cs="Times New Roman"/>
        </w:rPr>
        <w:t xml:space="preserve">in credit market, adding value </w:t>
      </w:r>
      <w:r w:rsidR="007B1725" w:rsidRPr="004718A5">
        <w:rPr>
          <w:rFonts w:ascii="Times New Roman" w:hAnsi="Times New Roman" w:cs="Times New Roman"/>
        </w:rPr>
        <w:t>to</w:t>
      </w:r>
      <w:r w:rsidR="00522592" w:rsidRPr="004718A5">
        <w:rPr>
          <w:rFonts w:ascii="Times New Roman" w:hAnsi="Times New Roman" w:cs="Times New Roman"/>
        </w:rPr>
        <w:t xml:space="preserve"> the forecasting process of</w:t>
      </w:r>
      <w:r w:rsidR="000C7F47" w:rsidRPr="004718A5">
        <w:rPr>
          <w:rFonts w:ascii="Times New Roman" w:hAnsi="Times New Roman" w:cs="Times New Roman"/>
        </w:rPr>
        <w:t xml:space="preserve"> </w:t>
      </w:r>
      <w:r w:rsidRPr="004718A5">
        <w:rPr>
          <w:rFonts w:ascii="Times New Roman" w:hAnsi="Times New Roman" w:cs="Times New Roman"/>
        </w:rPr>
        <w:t xml:space="preserve">monetary and macroeconomic indicators (economic growth, investments, consumption, etc.). </w:t>
      </w:r>
    </w:p>
    <w:p w14:paraId="69BFED7F" w14:textId="77777777" w:rsidR="00D774E2" w:rsidRPr="004718A5" w:rsidRDefault="00D774E2" w:rsidP="004718A5">
      <w:pPr>
        <w:spacing w:after="120"/>
        <w:jc w:val="both"/>
        <w:rPr>
          <w:rFonts w:ascii="Times New Roman" w:hAnsi="Times New Roman" w:cs="Times New Roman"/>
          <w:i/>
        </w:rPr>
      </w:pPr>
    </w:p>
    <w:p w14:paraId="030718F3" w14:textId="77777777" w:rsidR="007432A5" w:rsidRPr="004718A5" w:rsidRDefault="00142C62" w:rsidP="004718A5">
      <w:pPr>
        <w:spacing w:after="120"/>
        <w:jc w:val="both"/>
        <w:rPr>
          <w:rFonts w:ascii="Times New Roman" w:hAnsi="Times New Roman" w:cs="Times New Roman"/>
          <w:b/>
          <w:i/>
        </w:rPr>
      </w:pPr>
      <w:r w:rsidRPr="004718A5">
        <w:rPr>
          <w:rFonts w:ascii="Times New Roman" w:hAnsi="Times New Roman" w:cs="Times New Roman"/>
          <w:b/>
          <w:i/>
        </w:rPr>
        <w:t xml:space="preserve">Survey structure </w:t>
      </w:r>
    </w:p>
    <w:p w14:paraId="4254E6C3" w14:textId="52B18C9E" w:rsidR="008B41C9" w:rsidRPr="004718A5" w:rsidRDefault="000C7F47" w:rsidP="004718A5">
      <w:pPr>
        <w:spacing w:after="120"/>
        <w:jc w:val="both"/>
        <w:rPr>
          <w:rFonts w:ascii="Times New Roman" w:hAnsi="Times New Roman" w:cs="Times New Roman"/>
        </w:rPr>
      </w:pPr>
      <w:r w:rsidRPr="004718A5">
        <w:rPr>
          <w:rFonts w:ascii="Times New Roman" w:hAnsi="Times New Roman" w:cs="Times New Roman"/>
        </w:rPr>
        <w:t>Overall</w:t>
      </w:r>
      <w:r w:rsidR="009A76C7" w:rsidRPr="004718A5">
        <w:rPr>
          <w:rFonts w:ascii="Times New Roman" w:hAnsi="Times New Roman" w:cs="Times New Roman"/>
        </w:rPr>
        <w:t xml:space="preserve">, this survey </w:t>
      </w:r>
      <w:r w:rsidR="00522592" w:rsidRPr="004718A5">
        <w:rPr>
          <w:rFonts w:ascii="Times New Roman" w:hAnsi="Times New Roman" w:cs="Times New Roman"/>
        </w:rPr>
        <w:t xml:space="preserve">has the features of </w:t>
      </w:r>
      <w:r w:rsidR="009A76C7" w:rsidRPr="004718A5">
        <w:rPr>
          <w:rFonts w:ascii="Times New Roman" w:hAnsi="Times New Roman" w:cs="Times New Roman"/>
        </w:rPr>
        <w:t>ECB</w:t>
      </w:r>
      <w:r w:rsidR="004718A5">
        <w:rPr>
          <w:rFonts w:ascii="Times New Roman" w:hAnsi="Times New Roman" w:cs="Times New Roman"/>
        </w:rPr>
        <w:t>’s</w:t>
      </w:r>
      <w:r w:rsidR="00522592" w:rsidRPr="004718A5">
        <w:rPr>
          <w:rFonts w:ascii="Times New Roman" w:hAnsi="Times New Roman" w:cs="Times New Roman"/>
        </w:rPr>
        <w:t xml:space="preserve"> Bank Lending Survey</w:t>
      </w:r>
      <w:r w:rsidR="009A76C7" w:rsidRPr="004718A5">
        <w:rPr>
          <w:rFonts w:ascii="Times New Roman" w:hAnsi="Times New Roman" w:cs="Times New Roman"/>
        </w:rPr>
        <w:t xml:space="preserve">. However, </w:t>
      </w:r>
      <w:r w:rsidR="0062577C" w:rsidRPr="004718A5">
        <w:rPr>
          <w:rFonts w:ascii="Times New Roman" w:hAnsi="Times New Roman" w:cs="Times New Roman"/>
        </w:rPr>
        <w:t>where necessary</w:t>
      </w:r>
      <w:r w:rsidR="007B1725" w:rsidRPr="004718A5">
        <w:rPr>
          <w:rFonts w:ascii="Times New Roman" w:hAnsi="Times New Roman" w:cs="Times New Roman"/>
        </w:rPr>
        <w:t>,</w:t>
      </w:r>
      <w:r w:rsidR="0062577C" w:rsidRPr="004718A5">
        <w:rPr>
          <w:rFonts w:ascii="Times New Roman" w:hAnsi="Times New Roman" w:cs="Times New Roman"/>
        </w:rPr>
        <w:t xml:space="preserve"> it has been </w:t>
      </w:r>
      <w:r w:rsidR="007B1725" w:rsidRPr="004718A5">
        <w:rPr>
          <w:rFonts w:ascii="Times New Roman" w:hAnsi="Times New Roman" w:cs="Times New Roman"/>
        </w:rPr>
        <w:t>modified,</w:t>
      </w:r>
      <w:r w:rsidR="0062577C" w:rsidRPr="004718A5">
        <w:rPr>
          <w:rFonts w:ascii="Times New Roman" w:hAnsi="Times New Roman" w:cs="Times New Roman"/>
        </w:rPr>
        <w:t xml:space="preserve"> reflecting the </w:t>
      </w:r>
      <w:r w:rsidRPr="004718A5">
        <w:rPr>
          <w:rFonts w:ascii="Times New Roman" w:hAnsi="Times New Roman" w:cs="Times New Roman"/>
        </w:rPr>
        <w:t>features</w:t>
      </w:r>
      <w:r w:rsidR="009A76C7" w:rsidRPr="004718A5">
        <w:rPr>
          <w:rFonts w:ascii="Times New Roman" w:hAnsi="Times New Roman" w:cs="Times New Roman"/>
        </w:rPr>
        <w:t xml:space="preserve"> of the Albanian banking sector (such as the </w:t>
      </w:r>
      <w:r w:rsidRPr="004718A5">
        <w:rPr>
          <w:rFonts w:ascii="Times New Roman" w:hAnsi="Times New Roman" w:cs="Times New Roman"/>
        </w:rPr>
        <w:t>‘</w:t>
      </w:r>
      <w:r w:rsidR="009A76C7" w:rsidRPr="004718A5">
        <w:rPr>
          <w:rFonts w:ascii="Times New Roman" w:hAnsi="Times New Roman" w:cs="Times New Roman"/>
        </w:rPr>
        <w:t>expectation</w:t>
      </w:r>
      <w:r w:rsidRPr="004718A5">
        <w:rPr>
          <w:rFonts w:ascii="Times New Roman" w:hAnsi="Times New Roman" w:cs="Times New Roman"/>
        </w:rPr>
        <w:t>’</w:t>
      </w:r>
      <w:r w:rsidR="009A76C7" w:rsidRPr="004718A5">
        <w:rPr>
          <w:rFonts w:ascii="Times New Roman" w:hAnsi="Times New Roman" w:cs="Times New Roman"/>
        </w:rPr>
        <w:t xml:space="preserve"> segment regarding </w:t>
      </w:r>
      <w:r w:rsidRPr="004718A5">
        <w:rPr>
          <w:rFonts w:ascii="Times New Roman" w:hAnsi="Times New Roman" w:cs="Times New Roman"/>
        </w:rPr>
        <w:t xml:space="preserve">the </w:t>
      </w:r>
      <w:r w:rsidR="0062577C" w:rsidRPr="004718A5">
        <w:rPr>
          <w:rFonts w:ascii="Times New Roman" w:hAnsi="Times New Roman" w:cs="Times New Roman"/>
        </w:rPr>
        <w:t>loan composition by</w:t>
      </w:r>
      <w:r w:rsidR="009A76C7" w:rsidRPr="004718A5">
        <w:rPr>
          <w:rFonts w:ascii="Times New Roman" w:hAnsi="Times New Roman" w:cs="Times New Roman"/>
        </w:rPr>
        <w:t xml:space="preserve"> currency, applied interest rates, etc.).</w:t>
      </w:r>
      <w:r w:rsidR="009A76C7" w:rsidRPr="004718A5">
        <w:rPr>
          <w:rFonts w:ascii="Times New Roman" w:hAnsi="Times New Roman" w:cs="Times New Roman"/>
        </w:rPr>
        <w:cr/>
      </w:r>
      <w:r w:rsidR="009A76C7" w:rsidRPr="004718A5">
        <w:rPr>
          <w:rFonts w:ascii="Times New Roman" w:hAnsi="Times New Roman" w:cs="Times New Roman"/>
        </w:rPr>
        <w:br/>
      </w:r>
      <w:r w:rsidR="00E53FD3" w:rsidRPr="004718A5">
        <w:rPr>
          <w:rFonts w:ascii="Times New Roman" w:hAnsi="Times New Roman" w:cs="Times New Roman"/>
        </w:rPr>
        <w:lastRenderedPageBreak/>
        <w:t xml:space="preserve">The </w:t>
      </w:r>
      <w:r w:rsidRPr="004718A5">
        <w:rPr>
          <w:rFonts w:ascii="Times New Roman" w:hAnsi="Times New Roman" w:cs="Times New Roman"/>
        </w:rPr>
        <w:t xml:space="preserve">BLS </w:t>
      </w:r>
      <w:r w:rsidR="00E53FD3" w:rsidRPr="004718A5">
        <w:rPr>
          <w:rFonts w:ascii="Times New Roman" w:hAnsi="Times New Roman" w:cs="Times New Roman"/>
        </w:rPr>
        <w:t>consists of five sections</w:t>
      </w:r>
      <w:r w:rsidR="007B1725" w:rsidRPr="004718A5">
        <w:rPr>
          <w:rFonts w:ascii="Times New Roman" w:hAnsi="Times New Roman" w:cs="Times New Roman"/>
        </w:rPr>
        <w:t xml:space="preserve">: </w:t>
      </w:r>
      <w:r w:rsidRPr="004718A5">
        <w:rPr>
          <w:rFonts w:ascii="Times New Roman" w:hAnsi="Times New Roman" w:cs="Times New Roman"/>
        </w:rPr>
        <w:t>loans</w:t>
      </w:r>
      <w:r w:rsidR="00E53FD3" w:rsidRPr="004718A5">
        <w:rPr>
          <w:rFonts w:ascii="Times New Roman" w:hAnsi="Times New Roman" w:cs="Times New Roman"/>
        </w:rPr>
        <w:t xml:space="preserve"> to </w:t>
      </w:r>
      <w:r w:rsidRPr="004718A5">
        <w:rPr>
          <w:rFonts w:ascii="Times New Roman" w:hAnsi="Times New Roman" w:cs="Times New Roman"/>
        </w:rPr>
        <w:t>enterprises</w:t>
      </w:r>
      <w:r w:rsidR="00E53FD3" w:rsidRPr="004718A5">
        <w:rPr>
          <w:rFonts w:ascii="Times New Roman" w:hAnsi="Times New Roman" w:cs="Times New Roman"/>
        </w:rPr>
        <w:t xml:space="preserve">, </w:t>
      </w:r>
      <w:r w:rsidRPr="004718A5">
        <w:rPr>
          <w:rFonts w:ascii="Times New Roman" w:hAnsi="Times New Roman" w:cs="Times New Roman"/>
        </w:rPr>
        <w:t xml:space="preserve">loans </w:t>
      </w:r>
      <w:r w:rsidR="00E53FD3" w:rsidRPr="004718A5">
        <w:rPr>
          <w:rFonts w:ascii="Times New Roman" w:hAnsi="Times New Roman" w:cs="Times New Roman"/>
        </w:rPr>
        <w:t>to households, lending expectations, application status</w:t>
      </w:r>
      <w:r w:rsidRPr="004718A5">
        <w:rPr>
          <w:rFonts w:ascii="Times New Roman" w:hAnsi="Times New Roman" w:cs="Times New Roman"/>
        </w:rPr>
        <w:t xml:space="preserve"> of loans</w:t>
      </w:r>
      <w:r w:rsidR="00E53FD3" w:rsidRPr="004718A5">
        <w:rPr>
          <w:rFonts w:ascii="Times New Roman" w:hAnsi="Times New Roman" w:cs="Times New Roman"/>
        </w:rPr>
        <w:t xml:space="preserve">, and </w:t>
      </w:r>
      <w:r w:rsidR="00A95C6B" w:rsidRPr="004718A5">
        <w:rPr>
          <w:rFonts w:ascii="Times New Roman" w:hAnsi="Times New Roman" w:cs="Times New Roman"/>
        </w:rPr>
        <w:t>special</w:t>
      </w:r>
      <w:r w:rsidRPr="004718A5">
        <w:rPr>
          <w:rFonts w:ascii="Times New Roman" w:hAnsi="Times New Roman" w:cs="Times New Roman"/>
        </w:rPr>
        <w:t xml:space="preserve"> </w:t>
      </w:r>
      <w:r w:rsidR="00E53FD3" w:rsidRPr="004718A5">
        <w:rPr>
          <w:rFonts w:ascii="Times New Roman" w:hAnsi="Times New Roman" w:cs="Times New Roman"/>
        </w:rPr>
        <w:t>section</w:t>
      </w:r>
      <w:r w:rsidR="007B1725" w:rsidRPr="004718A5">
        <w:rPr>
          <w:rFonts w:ascii="Times New Roman" w:hAnsi="Times New Roman" w:cs="Times New Roman"/>
        </w:rPr>
        <w:t xml:space="preserve"> on </w:t>
      </w:r>
      <w:r w:rsidR="0062577C" w:rsidRPr="004718A5">
        <w:rPr>
          <w:rFonts w:ascii="Times New Roman" w:hAnsi="Times New Roman" w:cs="Times New Roman"/>
        </w:rPr>
        <w:t xml:space="preserve">ad hoc </w:t>
      </w:r>
      <w:r w:rsidR="00D54B1E" w:rsidRPr="004718A5">
        <w:rPr>
          <w:rFonts w:ascii="Times New Roman" w:hAnsi="Times New Roman" w:cs="Times New Roman"/>
        </w:rPr>
        <w:t>questions</w:t>
      </w:r>
      <w:r w:rsidR="00E53FD3" w:rsidRPr="004718A5">
        <w:rPr>
          <w:rFonts w:ascii="Times New Roman" w:hAnsi="Times New Roman" w:cs="Times New Roman"/>
        </w:rPr>
        <w:t>. The first two sections have almost the same structure and offer information on the credit supply and demand</w:t>
      </w:r>
      <w:r w:rsidR="00596DCE" w:rsidRPr="004718A5">
        <w:rPr>
          <w:rFonts w:ascii="Times New Roman" w:hAnsi="Times New Roman" w:cs="Times New Roman"/>
        </w:rPr>
        <w:t>,</w:t>
      </w:r>
      <w:r w:rsidR="00E53FD3" w:rsidRPr="004718A5">
        <w:rPr>
          <w:rFonts w:ascii="Times New Roman" w:hAnsi="Times New Roman" w:cs="Times New Roman"/>
        </w:rPr>
        <w:t xml:space="preserve"> as well as on the factors affect</w:t>
      </w:r>
      <w:r w:rsidRPr="004718A5">
        <w:rPr>
          <w:rFonts w:ascii="Times New Roman" w:hAnsi="Times New Roman" w:cs="Times New Roman"/>
        </w:rPr>
        <w:t>ing them</w:t>
      </w:r>
      <w:r w:rsidR="00E53FD3" w:rsidRPr="004718A5">
        <w:rPr>
          <w:rFonts w:ascii="Times New Roman" w:hAnsi="Times New Roman" w:cs="Times New Roman"/>
        </w:rPr>
        <w:t xml:space="preserve">. On the supply side, </w:t>
      </w:r>
      <w:r w:rsidR="00795462" w:rsidRPr="004718A5">
        <w:rPr>
          <w:rFonts w:ascii="Times New Roman" w:hAnsi="Times New Roman" w:cs="Times New Roman"/>
        </w:rPr>
        <w:t>information</w:t>
      </w:r>
      <w:r w:rsidR="00FE009C" w:rsidRPr="004718A5">
        <w:rPr>
          <w:rFonts w:ascii="Times New Roman" w:hAnsi="Times New Roman" w:cs="Times New Roman"/>
        </w:rPr>
        <w:t xml:space="preserve"> regarding</w:t>
      </w:r>
      <w:r w:rsidR="00E53FD3" w:rsidRPr="004718A5">
        <w:rPr>
          <w:rFonts w:ascii="Times New Roman" w:hAnsi="Times New Roman" w:cs="Times New Roman"/>
        </w:rPr>
        <w:t xml:space="preserve"> the standards applied </w:t>
      </w:r>
      <w:r w:rsidRPr="004718A5">
        <w:rPr>
          <w:rFonts w:ascii="Times New Roman" w:hAnsi="Times New Roman" w:cs="Times New Roman"/>
        </w:rPr>
        <w:t>on</w:t>
      </w:r>
      <w:r w:rsidR="00E53FD3" w:rsidRPr="004718A5">
        <w:rPr>
          <w:rFonts w:ascii="Times New Roman" w:hAnsi="Times New Roman" w:cs="Times New Roman"/>
        </w:rPr>
        <w:t xml:space="preserve"> loans </w:t>
      </w:r>
      <w:r w:rsidR="00596DCE" w:rsidRPr="004718A5">
        <w:rPr>
          <w:rFonts w:ascii="Times New Roman" w:hAnsi="Times New Roman" w:cs="Times New Roman"/>
        </w:rPr>
        <w:t xml:space="preserve">to </w:t>
      </w:r>
      <w:r w:rsidRPr="004718A5">
        <w:rPr>
          <w:rFonts w:ascii="Times New Roman" w:hAnsi="Times New Roman" w:cs="Times New Roman"/>
        </w:rPr>
        <w:t xml:space="preserve">enterprises </w:t>
      </w:r>
      <w:r w:rsidR="00E53FD3" w:rsidRPr="004718A5">
        <w:rPr>
          <w:rFonts w:ascii="Times New Roman" w:hAnsi="Times New Roman" w:cs="Times New Roman"/>
        </w:rPr>
        <w:t>and households,</w:t>
      </w:r>
      <w:r w:rsidR="00795462" w:rsidRPr="004718A5">
        <w:rPr>
          <w:rFonts w:ascii="Times New Roman" w:hAnsi="Times New Roman" w:cs="Times New Roman"/>
        </w:rPr>
        <w:t xml:space="preserve"> </w:t>
      </w:r>
      <w:r w:rsidR="00FE009C" w:rsidRPr="004718A5">
        <w:rPr>
          <w:rFonts w:ascii="Times New Roman" w:hAnsi="Times New Roman" w:cs="Times New Roman"/>
        </w:rPr>
        <w:t xml:space="preserve">as well as </w:t>
      </w:r>
      <w:r w:rsidR="00E53FD3" w:rsidRPr="004718A5">
        <w:rPr>
          <w:rFonts w:ascii="Times New Roman" w:hAnsi="Times New Roman" w:cs="Times New Roman"/>
        </w:rPr>
        <w:t xml:space="preserve">factors </w:t>
      </w:r>
      <w:r w:rsidR="00FE009C" w:rsidRPr="004718A5">
        <w:rPr>
          <w:rFonts w:ascii="Times New Roman" w:hAnsi="Times New Roman" w:cs="Times New Roman"/>
        </w:rPr>
        <w:t xml:space="preserve">behind the </w:t>
      </w:r>
      <w:r w:rsidRPr="004718A5">
        <w:rPr>
          <w:rFonts w:ascii="Times New Roman" w:hAnsi="Times New Roman" w:cs="Times New Roman"/>
        </w:rPr>
        <w:t>credit</w:t>
      </w:r>
      <w:r w:rsidR="00E53FD3" w:rsidRPr="004718A5">
        <w:rPr>
          <w:rFonts w:ascii="Times New Roman" w:hAnsi="Times New Roman" w:cs="Times New Roman"/>
        </w:rPr>
        <w:t xml:space="preserve"> standards </w:t>
      </w:r>
      <w:r w:rsidR="00FE009C" w:rsidRPr="004718A5">
        <w:rPr>
          <w:rFonts w:ascii="Times New Roman" w:hAnsi="Times New Roman" w:cs="Times New Roman"/>
        </w:rPr>
        <w:t xml:space="preserve">change </w:t>
      </w:r>
      <w:r w:rsidR="00E53FD3" w:rsidRPr="004718A5">
        <w:rPr>
          <w:rFonts w:ascii="Times New Roman" w:hAnsi="Times New Roman" w:cs="Times New Roman"/>
        </w:rPr>
        <w:t xml:space="preserve">from the previous quarter </w:t>
      </w:r>
      <w:r w:rsidR="00CD31B6" w:rsidRPr="004718A5">
        <w:rPr>
          <w:rFonts w:ascii="Times New Roman" w:hAnsi="Times New Roman" w:cs="Times New Roman"/>
        </w:rPr>
        <w:t>is revealed</w:t>
      </w:r>
      <w:r w:rsidR="00E53FD3" w:rsidRPr="004718A5">
        <w:rPr>
          <w:rFonts w:ascii="Times New Roman" w:hAnsi="Times New Roman" w:cs="Times New Roman"/>
        </w:rPr>
        <w:t xml:space="preserve">. At the same time, the survey provides information on the terms and conditions through which credit standards have been </w:t>
      </w:r>
      <w:r w:rsidRPr="004718A5">
        <w:rPr>
          <w:rFonts w:ascii="Times New Roman" w:hAnsi="Times New Roman" w:cs="Times New Roman"/>
        </w:rPr>
        <w:t>changed</w:t>
      </w:r>
      <w:r w:rsidR="00E53FD3" w:rsidRPr="004718A5">
        <w:rPr>
          <w:rFonts w:ascii="Times New Roman" w:hAnsi="Times New Roman" w:cs="Times New Roman"/>
        </w:rPr>
        <w:t xml:space="preserve">, complemented by the factors </w:t>
      </w:r>
      <w:r w:rsidR="00281436" w:rsidRPr="004718A5">
        <w:rPr>
          <w:rFonts w:ascii="Times New Roman" w:hAnsi="Times New Roman" w:cs="Times New Roman"/>
        </w:rPr>
        <w:t xml:space="preserve">driving this </w:t>
      </w:r>
      <w:r w:rsidR="00E53FD3" w:rsidRPr="004718A5">
        <w:rPr>
          <w:rFonts w:ascii="Times New Roman" w:hAnsi="Times New Roman" w:cs="Times New Roman"/>
        </w:rPr>
        <w:t xml:space="preserve">change of the </w:t>
      </w:r>
      <w:r w:rsidRPr="004718A5">
        <w:rPr>
          <w:rFonts w:ascii="Times New Roman" w:hAnsi="Times New Roman" w:cs="Times New Roman"/>
        </w:rPr>
        <w:t xml:space="preserve">terms and </w:t>
      </w:r>
      <w:r w:rsidR="00E53FD3" w:rsidRPr="004718A5">
        <w:rPr>
          <w:rFonts w:ascii="Times New Roman" w:hAnsi="Times New Roman" w:cs="Times New Roman"/>
        </w:rPr>
        <w:t xml:space="preserve">conditions. On the </w:t>
      </w:r>
      <w:r w:rsidRPr="004718A5">
        <w:rPr>
          <w:rFonts w:ascii="Times New Roman" w:hAnsi="Times New Roman" w:cs="Times New Roman"/>
        </w:rPr>
        <w:t xml:space="preserve">demand </w:t>
      </w:r>
      <w:r w:rsidR="00E53FD3" w:rsidRPr="004718A5">
        <w:rPr>
          <w:rFonts w:ascii="Times New Roman" w:hAnsi="Times New Roman" w:cs="Times New Roman"/>
        </w:rPr>
        <w:t xml:space="preserve">side, </w:t>
      </w:r>
      <w:r w:rsidR="00281436" w:rsidRPr="004718A5">
        <w:rPr>
          <w:rFonts w:ascii="Times New Roman" w:hAnsi="Times New Roman" w:cs="Times New Roman"/>
        </w:rPr>
        <w:t xml:space="preserve">information </w:t>
      </w:r>
      <w:r w:rsidR="00E53FD3" w:rsidRPr="004718A5">
        <w:rPr>
          <w:rFonts w:ascii="Times New Roman" w:hAnsi="Times New Roman" w:cs="Times New Roman"/>
        </w:rPr>
        <w:t xml:space="preserve">from banks’ perceptions </w:t>
      </w:r>
      <w:r w:rsidR="00281436" w:rsidRPr="004718A5">
        <w:rPr>
          <w:rFonts w:ascii="Times New Roman" w:hAnsi="Times New Roman" w:cs="Times New Roman"/>
        </w:rPr>
        <w:t xml:space="preserve">deals with the </w:t>
      </w:r>
      <w:r w:rsidR="00CD31B6" w:rsidRPr="004718A5">
        <w:rPr>
          <w:rFonts w:ascii="Times New Roman" w:hAnsi="Times New Roman" w:cs="Times New Roman"/>
        </w:rPr>
        <w:t xml:space="preserve">private sector </w:t>
      </w:r>
      <w:r w:rsidR="00E53FD3" w:rsidRPr="004718A5">
        <w:rPr>
          <w:rFonts w:ascii="Times New Roman" w:hAnsi="Times New Roman" w:cs="Times New Roman"/>
        </w:rPr>
        <w:t xml:space="preserve">credit </w:t>
      </w:r>
      <w:r w:rsidRPr="004718A5">
        <w:rPr>
          <w:rFonts w:ascii="Times New Roman" w:hAnsi="Times New Roman" w:cs="Times New Roman"/>
        </w:rPr>
        <w:t xml:space="preserve">demand </w:t>
      </w:r>
      <w:r w:rsidR="00281436" w:rsidRPr="004718A5">
        <w:rPr>
          <w:rFonts w:ascii="Times New Roman" w:hAnsi="Times New Roman" w:cs="Times New Roman"/>
        </w:rPr>
        <w:t>change from</w:t>
      </w:r>
      <w:r w:rsidR="00CD31B6" w:rsidRPr="004718A5">
        <w:rPr>
          <w:rFonts w:ascii="Times New Roman" w:hAnsi="Times New Roman" w:cs="Times New Roman"/>
        </w:rPr>
        <w:t xml:space="preserve"> the previous quarter</w:t>
      </w:r>
      <w:r w:rsidR="00E53FD3" w:rsidRPr="004718A5">
        <w:rPr>
          <w:rFonts w:ascii="Times New Roman" w:hAnsi="Times New Roman" w:cs="Times New Roman"/>
        </w:rPr>
        <w:t xml:space="preserve">, as well as the factors </w:t>
      </w:r>
      <w:r w:rsidR="007B1725" w:rsidRPr="004718A5">
        <w:rPr>
          <w:rFonts w:ascii="Times New Roman" w:hAnsi="Times New Roman" w:cs="Times New Roman"/>
        </w:rPr>
        <w:t>driving</w:t>
      </w:r>
      <w:r w:rsidR="00CD31B6" w:rsidRPr="004718A5">
        <w:rPr>
          <w:rFonts w:ascii="Times New Roman" w:hAnsi="Times New Roman" w:cs="Times New Roman"/>
        </w:rPr>
        <w:t xml:space="preserve"> </w:t>
      </w:r>
      <w:r w:rsidR="00E53FD3" w:rsidRPr="004718A5">
        <w:rPr>
          <w:rFonts w:ascii="Times New Roman" w:hAnsi="Times New Roman" w:cs="Times New Roman"/>
        </w:rPr>
        <w:t xml:space="preserve">this change. </w:t>
      </w:r>
    </w:p>
    <w:p w14:paraId="4E25A16E" w14:textId="36CBD9EA" w:rsidR="00067192" w:rsidRPr="004718A5" w:rsidRDefault="007F52AB" w:rsidP="004718A5">
      <w:pPr>
        <w:spacing w:after="120"/>
        <w:jc w:val="both"/>
        <w:rPr>
          <w:rFonts w:ascii="Times New Roman" w:hAnsi="Times New Roman" w:cs="Times New Roman"/>
        </w:rPr>
      </w:pPr>
      <w:r w:rsidRPr="004718A5">
        <w:rPr>
          <w:rFonts w:ascii="Times New Roman" w:hAnsi="Times New Roman" w:cs="Times New Roman"/>
        </w:rPr>
        <w:t>The third part of the survey, expectation</w:t>
      </w:r>
      <w:r w:rsidR="000C7F47" w:rsidRPr="004718A5">
        <w:rPr>
          <w:rFonts w:ascii="Times New Roman" w:hAnsi="Times New Roman" w:cs="Times New Roman"/>
        </w:rPr>
        <w:t>s</w:t>
      </w:r>
      <w:r w:rsidRPr="004718A5">
        <w:rPr>
          <w:rFonts w:ascii="Times New Roman" w:hAnsi="Times New Roman" w:cs="Times New Roman"/>
        </w:rPr>
        <w:t xml:space="preserve">, presents the banks’ perceptions regarding the </w:t>
      </w:r>
      <w:r w:rsidR="003F55B6" w:rsidRPr="004718A5">
        <w:rPr>
          <w:rFonts w:ascii="Times New Roman" w:hAnsi="Times New Roman" w:cs="Times New Roman"/>
        </w:rPr>
        <w:t xml:space="preserve">expected </w:t>
      </w:r>
      <w:r w:rsidR="000C7F47" w:rsidRPr="004718A5">
        <w:rPr>
          <w:rFonts w:ascii="Times New Roman" w:hAnsi="Times New Roman" w:cs="Times New Roman"/>
        </w:rPr>
        <w:t xml:space="preserve">change in credit </w:t>
      </w:r>
      <w:r w:rsidRPr="004718A5">
        <w:rPr>
          <w:rFonts w:ascii="Times New Roman" w:hAnsi="Times New Roman" w:cs="Times New Roman"/>
        </w:rPr>
        <w:t xml:space="preserve">standards (credit supply) and </w:t>
      </w:r>
      <w:r w:rsidR="003F55B6" w:rsidRPr="004718A5">
        <w:rPr>
          <w:rFonts w:ascii="Times New Roman" w:hAnsi="Times New Roman" w:cs="Times New Roman"/>
        </w:rPr>
        <w:t>credit demand</w:t>
      </w:r>
      <w:r w:rsidR="000C7F47" w:rsidRPr="004718A5">
        <w:rPr>
          <w:rFonts w:ascii="Times New Roman" w:hAnsi="Times New Roman" w:cs="Times New Roman"/>
        </w:rPr>
        <w:t xml:space="preserve"> </w:t>
      </w:r>
      <w:r w:rsidRPr="004718A5">
        <w:rPr>
          <w:rFonts w:ascii="Times New Roman" w:hAnsi="Times New Roman" w:cs="Times New Roman"/>
        </w:rPr>
        <w:t>(</w:t>
      </w:r>
      <w:r w:rsidR="003F55B6" w:rsidRPr="004718A5">
        <w:rPr>
          <w:rFonts w:ascii="Times New Roman" w:hAnsi="Times New Roman" w:cs="Times New Roman"/>
        </w:rPr>
        <w:t xml:space="preserve">both </w:t>
      </w:r>
      <w:r w:rsidR="000C7F47" w:rsidRPr="004718A5">
        <w:rPr>
          <w:rFonts w:ascii="Times New Roman" w:hAnsi="Times New Roman" w:cs="Times New Roman"/>
        </w:rPr>
        <w:t xml:space="preserve">by enterprises </w:t>
      </w:r>
      <w:r w:rsidRPr="004718A5">
        <w:rPr>
          <w:rFonts w:ascii="Times New Roman" w:hAnsi="Times New Roman" w:cs="Times New Roman"/>
        </w:rPr>
        <w:t xml:space="preserve">and households) in the </w:t>
      </w:r>
      <w:r w:rsidR="000C7F47" w:rsidRPr="004718A5">
        <w:rPr>
          <w:rFonts w:ascii="Times New Roman" w:hAnsi="Times New Roman" w:cs="Times New Roman"/>
        </w:rPr>
        <w:t>next three months</w:t>
      </w:r>
      <w:r w:rsidRPr="004718A5">
        <w:rPr>
          <w:rFonts w:ascii="Times New Roman" w:hAnsi="Times New Roman" w:cs="Times New Roman"/>
        </w:rPr>
        <w:t xml:space="preserve">. In this section, unlike the ECB's survey, additional information is obtained on banks' expectations </w:t>
      </w:r>
      <w:r w:rsidR="003B3FFE" w:rsidRPr="004718A5">
        <w:rPr>
          <w:rFonts w:ascii="Times New Roman" w:hAnsi="Times New Roman" w:cs="Times New Roman"/>
        </w:rPr>
        <w:t xml:space="preserve">regarding the </w:t>
      </w:r>
      <w:r w:rsidR="000C7F47" w:rsidRPr="004718A5">
        <w:rPr>
          <w:rFonts w:ascii="Times New Roman" w:hAnsi="Times New Roman" w:cs="Times New Roman"/>
        </w:rPr>
        <w:t xml:space="preserve">loan </w:t>
      </w:r>
      <w:r w:rsidRPr="004718A5">
        <w:rPr>
          <w:rFonts w:ascii="Times New Roman" w:hAnsi="Times New Roman" w:cs="Times New Roman"/>
        </w:rPr>
        <w:t>supply and demand</w:t>
      </w:r>
      <w:r w:rsidR="003B3FFE" w:rsidRPr="004718A5">
        <w:rPr>
          <w:rFonts w:ascii="Times New Roman" w:hAnsi="Times New Roman" w:cs="Times New Roman"/>
        </w:rPr>
        <w:t>,</w:t>
      </w:r>
      <w:r w:rsidRPr="004718A5">
        <w:rPr>
          <w:rFonts w:ascii="Times New Roman" w:hAnsi="Times New Roman" w:cs="Times New Roman"/>
        </w:rPr>
        <w:t xml:space="preserve"> </w:t>
      </w:r>
      <w:r w:rsidR="003B3FFE" w:rsidRPr="004718A5">
        <w:rPr>
          <w:rFonts w:ascii="Times New Roman" w:hAnsi="Times New Roman" w:cs="Times New Roman"/>
        </w:rPr>
        <w:t xml:space="preserve">as well as </w:t>
      </w:r>
      <w:r w:rsidRPr="004718A5">
        <w:rPr>
          <w:rFonts w:ascii="Times New Roman" w:hAnsi="Times New Roman" w:cs="Times New Roman"/>
        </w:rPr>
        <w:t>interest rate</w:t>
      </w:r>
      <w:r w:rsidR="003B3FFE" w:rsidRPr="004718A5">
        <w:rPr>
          <w:rFonts w:ascii="Times New Roman" w:hAnsi="Times New Roman" w:cs="Times New Roman"/>
        </w:rPr>
        <w:t xml:space="preserve">s change in terms of </w:t>
      </w:r>
      <w:r w:rsidR="007B1725" w:rsidRPr="004718A5">
        <w:rPr>
          <w:rFonts w:ascii="Times New Roman" w:hAnsi="Times New Roman" w:cs="Times New Roman"/>
        </w:rPr>
        <w:t xml:space="preserve">both </w:t>
      </w:r>
      <w:r w:rsidR="003B3FFE" w:rsidRPr="004718A5">
        <w:rPr>
          <w:rFonts w:ascii="Times New Roman" w:hAnsi="Times New Roman" w:cs="Times New Roman"/>
        </w:rPr>
        <w:t>domestic and foreign currency.</w:t>
      </w:r>
      <w:r w:rsidRPr="004718A5">
        <w:rPr>
          <w:rFonts w:ascii="Times New Roman" w:hAnsi="Times New Roman" w:cs="Times New Roman"/>
        </w:rPr>
        <w:t xml:space="preserve"> </w:t>
      </w:r>
    </w:p>
    <w:p w14:paraId="14AEDA98" w14:textId="0920129E" w:rsidR="00DC1C85" w:rsidRPr="004718A5" w:rsidRDefault="00142C62" w:rsidP="004718A5">
      <w:pPr>
        <w:spacing w:after="120"/>
        <w:jc w:val="both"/>
        <w:rPr>
          <w:rFonts w:ascii="Times New Roman" w:hAnsi="Times New Roman" w:cs="Times New Roman"/>
        </w:rPr>
      </w:pPr>
      <w:r w:rsidRPr="004718A5">
        <w:rPr>
          <w:rFonts w:ascii="Times New Roman" w:hAnsi="Times New Roman" w:cs="Times New Roman"/>
        </w:rPr>
        <w:t xml:space="preserve">The fourth section illustrates the situation of </w:t>
      </w:r>
      <w:r w:rsidR="003B3FFE" w:rsidRPr="004718A5">
        <w:rPr>
          <w:rFonts w:ascii="Times New Roman" w:hAnsi="Times New Roman" w:cs="Times New Roman"/>
        </w:rPr>
        <w:t xml:space="preserve">rejected loan </w:t>
      </w:r>
      <w:r w:rsidRPr="004718A5">
        <w:rPr>
          <w:rFonts w:ascii="Times New Roman" w:hAnsi="Times New Roman" w:cs="Times New Roman"/>
        </w:rPr>
        <w:t xml:space="preserve">applications for </w:t>
      </w:r>
      <w:r w:rsidR="000F1479" w:rsidRPr="004718A5">
        <w:rPr>
          <w:rFonts w:ascii="Times New Roman" w:hAnsi="Times New Roman" w:cs="Times New Roman"/>
        </w:rPr>
        <w:t>by</w:t>
      </w:r>
      <w:r w:rsidRPr="004718A5">
        <w:rPr>
          <w:rFonts w:ascii="Times New Roman" w:hAnsi="Times New Roman" w:cs="Times New Roman"/>
        </w:rPr>
        <w:t xml:space="preserve"> commercial banks (excluding </w:t>
      </w:r>
      <w:r w:rsidR="000F1479" w:rsidRPr="004718A5">
        <w:rPr>
          <w:rFonts w:ascii="Times New Roman" w:hAnsi="Times New Roman" w:cs="Times New Roman"/>
        </w:rPr>
        <w:t xml:space="preserve">loan applications </w:t>
      </w:r>
      <w:r w:rsidRPr="004718A5">
        <w:rPr>
          <w:rFonts w:ascii="Times New Roman" w:hAnsi="Times New Roman" w:cs="Times New Roman"/>
        </w:rPr>
        <w:t>from which households/</w:t>
      </w:r>
      <w:r w:rsidR="000F1479" w:rsidRPr="004718A5">
        <w:rPr>
          <w:rFonts w:ascii="Times New Roman" w:hAnsi="Times New Roman" w:cs="Times New Roman"/>
        </w:rPr>
        <w:t>enterprises have withdrawn themselves</w:t>
      </w:r>
      <w:r w:rsidRPr="004718A5">
        <w:rPr>
          <w:rFonts w:ascii="Times New Roman" w:hAnsi="Times New Roman" w:cs="Times New Roman"/>
        </w:rPr>
        <w:t xml:space="preserve">). Results on the </w:t>
      </w:r>
      <w:r w:rsidR="000F1479" w:rsidRPr="004718A5">
        <w:rPr>
          <w:rFonts w:ascii="Times New Roman" w:hAnsi="Times New Roman" w:cs="Times New Roman"/>
        </w:rPr>
        <w:t xml:space="preserve">change </w:t>
      </w:r>
      <w:r w:rsidRPr="004718A5">
        <w:rPr>
          <w:rFonts w:ascii="Times New Roman" w:hAnsi="Times New Roman" w:cs="Times New Roman"/>
        </w:rPr>
        <w:t xml:space="preserve">of rejected applications are </w:t>
      </w:r>
      <w:r w:rsidR="000F1479" w:rsidRPr="004718A5">
        <w:rPr>
          <w:rFonts w:ascii="Times New Roman" w:hAnsi="Times New Roman" w:cs="Times New Roman"/>
        </w:rPr>
        <w:t>accompanied</w:t>
      </w:r>
      <w:r w:rsidRPr="004718A5">
        <w:rPr>
          <w:rFonts w:ascii="Times New Roman" w:hAnsi="Times New Roman" w:cs="Times New Roman"/>
        </w:rPr>
        <w:t xml:space="preserve"> with the </w:t>
      </w:r>
      <w:r w:rsidR="003B3FFE" w:rsidRPr="004718A5">
        <w:rPr>
          <w:rFonts w:ascii="Times New Roman" w:hAnsi="Times New Roman" w:cs="Times New Roman"/>
        </w:rPr>
        <w:t>factors that have driven the increase</w:t>
      </w:r>
      <w:r w:rsidRPr="004718A5">
        <w:rPr>
          <w:rFonts w:ascii="Times New Roman" w:hAnsi="Times New Roman" w:cs="Times New Roman"/>
        </w:rPr>
        <w:t>/</w:t>
      </w:r>
      <w:r w:rsidR="003B3FFE" w:rsidRPr="004718A5">
        <w:rPr>
          <w:rFonts w:ascii="Times New Roman" w:hAnsi="Times New Roman" w:cs="Times New Roman"/>
        </w:rPr>
        <w:t xml:space="preserve">decrease of the rejected loans </w:t>
      </w:r>
      <w:r w:rsidR="00583318" w:rsidRPr="004718A5">
        <w:rPr>
          <w:rFonts w:ascii="Times New Roman" w:hAnsi="Times New Roman" w:cs="Times New Roman"/>
        </w:rPr>
        <w:t xml:space="preserve">as </w:t>
      </w:r>
      <w:r w:rsidR="004718A5">
        <w:rPr>
          <w:rFonts w:ascii="Times New Roman" w:hAnsi="Times New Roman" w:cs="Times New Roman"/>
        </w:rPr>
        <w:t xml:space="preserve">a </w:t>
      </w:r>
      <w:r w:rsidR="00583318" w:rsidRPr="004718A5">
        <w:rPr>
          <w:rFonts w:ascii="Times New Roman" w:hAnsi="Times New Roman" w:cs="Times New Roman"/>
        </w:rPr>
        <w:t xml:space="preserve">ratio </w:t>
      </w:r>
      <w:r w:rsidR="004718A5">
        <w:rPr>
          <w:rFonts w:ascii="Times New Roman" w:hAnsi="Times New Roman" w:cs="Times New Roman"/>
        </w:rPr>
        <w:t xml:space="preserve">to </w:t>
      </w:r>
      <w:r w:rsidRPr="004718A5">
        <w:rPr>
          <w:rFonts w:ascii="Times New Roman" w:hAnsi="Times New Roman" w:cs="Times New Roman"/>
        </w:rPr>
        <w:t xml:space="preserve">total loan applications. </w:t>
      </w:r>
    </w:p>
    <w:p w14:paraId="1304C6B3" w14:textId="584C364D" w:rsidR="0023218D" w:rsidRPr="004718A5" w:rsidRDefault="0023218D" w:rsidP="004718A5">
      <w:pPr>
        <w:spacing w:after="120"/>
        <w:jc w:val="both"/>
        <w:rPr>
          <w:rFonts w:ascii="Times New Roman" w:hAnsi="Times New Roman" w:cs="Times New Roman"/>
        </w:rPr>
      </w:pPr>
      <w:r w:rsidRPr="004718A5">
        <w:rPr>
          <w:rFonts w:ascii="Times New Roman" w:hAnsi="Times New Roman" w:cs="Times New Roman"/>
        </w:rPr>
        <w:t xml:space="preserve">The last </w:t>
      </w:r>
      <w:r w:rsidR="000F1479" w:rsidRPr="004718A5">
        <w:rPr>
          <w:rFonts w:ascii="Times New Roman" w:hAnsi="Times New Roman" w:cs="Times New Roman"/>
        </w:rPr>
        <w:t>section</w:t>
      </w:r>
      <w:r w:rsidRPr="004718A5">
        <w:rPr>
          <w:rFonts w:ascii="Times New Roman" w:hAnsi="Times New Roman" w:cs="Times New Roman"/>
        </w:rPr>
        <w:t xml:space="preserve"> of the survey, the </w:t>
      </w:r>
      <w:r w:rsidR="003B3FFE" w:rsidRPr="004718A5">
        <w:rPr>
          <w:rFonts w:ascii="Times New Roman" w:hAnsi="Times New Roman" w:cs="Times New Roman"/>
        </w:rPr>
        <w:t xml:space="preserve">ad hoc questions </w:t>
      </w:r>
      <w:r w:rsidRPr="004718A5">
        <w:rPr>
          <w:rFonts w:ascii="Times New Roman" w:hAnsi="Times New Roman" w:cs="Times New Roman"/>
        </w:rPr>
        <w:t xml:space="preserve">section, consists of questions </w:t>
      </w:r>
      <w:r w:rsidR="000F1479" w:rsidRPr="004718A5">
        <w:rPr>
          <w:rFonts w:ascii="Times New Roman" w:hAnsi="Times New Roman" w:cs="Times New Roman"/>
        </w:rPr>
        <w:t xml:space="preserve">on </w:t>
      </w:r>
      <w:r w:rsidRPr="004718A5">
        <w:rPr>
          <w:rFonts w:ascii="Times New Roman" w:hAnsi="Times New Roman" w:cs="Times New Roman"/>
        </w:rPr>
        <w:t xml:space="preserve">specific current </w:t>
      </w:r>
      <w:r w:rsidR="000F1479" w:rsidRPr="004718A5">
        <w:rPr>
          <w:rFonts w:ascii="Times New Roman" w:hAnsi="Times New Roman" w:cs="Times New Roman"/>
        </w:rPr>
        <w:t xml:space="preserve">topics of interest </w:t>
      </w:r>
      <w:r w:rsidRPr="004718A5">
        <w:rPr>
          <w:rFonts w:ascii="Times New Roman" w:hAnsi="Times New Roman" w:cs="Times New Roman"/>
        </w:rPr>
        <w:t xml:space="preserve">in lending activity, </w:t>
      </w:r>
      <w:r w:rsidR="000F1479" w:rsidRPr="004718A5">
        <w:rPr>
          <w:rFonts w:ascii="Times New Roman" w:hAnsi="Times New Roman" w:cs="Times New Roman"/>
        </w:rPr>
        <w:t xml:space="preserve">that are not </w:t>
      </w:r>
      <w:r w:rsidR="00583318" w:rsidRPr="004718A5">
        <w:rPr>
          <w:rFonts w:ascii="Times New Roman" w:hAnsi="Times New Roman" w:cs="Times New Roman"/>
        </w:rPr>
        <w:t xml:space="preserve">comprised </w:t>
      </w:r>
      <w:r w:rsidRPr="004718A5">
        <w:rPr>
          <w:rFonts w:ascii="Times New Roman" w:hAnsi="Times New Roman" w:cs="Times New Roman"/>
        </w:rPr>
        <w:t xml:space="preserve">by </w:t>
      </w:r>
      <w:r w:rsidR="000F1479" w:rsidRPr="004718A5">
        <w:rPr>
          <w:rFonts w:ascii="Times New Roman" w:hAnsi="Times New Roman" w:cs="Times New Roman"/>
        </w:rPr>
        <w:t xml:space="preserve">the </w:t>
      </w:r>
      <w:r w:rsidRPr="004718A5">
        <w:rPr>
          <w:rFonts w:ascii="Times New Roman" w:hAnsi="Times New Roman" w:cs="Times New Roman"/>
        </w:rPr>
        <w:t>standard</w:t>
      </w:r>
      <w:r w:rsidR="000F1479" w:rsidRPr="004718A5">
        <w:rPr>
          <w:rFonts w:ascii="Times New Roman" w:hAnsi="Times New Roman" w:cs="Times New Roman"/>
        </w:rPr>
        <w:t xml:space="preserve"> </w:t>
      </w:r>
      <w:r w:rsidRPr="004718A5">
        <w:rPr>
          <w:rFonts w:ascii="Times New Roman" w:hAnsi="Times New Roman" w:cs="Times New Roman"/>
        </w:rPr>
        <w:t xml:space="preserve">questions of the survey. Information processed by this section, serves to understand </w:t>
      </w:r>
      <w:r w:rsidR="00583318" w:rsidRPr="004718A5">
        <w:rPr>
          <w:rFonts w:ascii="Times New Roman" w:hAnsi="Times New Roman" w:cs="Times New Roman"/>
        </w:rPr>
        <w:t xml:space="preserve">in </w:t>
      </w:r>
      <w:r w:rsidR="004713F0">
        <w:rPr>
          <w:rFonts w:ascii="Times New Roman" w:hAnsi="Times New Roman" w:cs="Times New Roman"/>
        </w:rPr>
        <w:t>greater</w:t>
      </w:r>
      <w:r w:rsidR="00583318" w:rsidRPr="004718A5">
        <w:rPr>
          <w:rFonts w:ascii="Times New Roman" w:hAnsi="Times New Roman" w:cs="Times New Roman"/>
        </w:rPr>
        <w:t xml:space="preserve"> details</w:t>
      </w:r>
      <w:r w:rsidRPr="004718A5">
        <w:rPr>
          <w:rFonts w:ascii="Times New Roman" w:hAnsi="Times New Roman" w:cs="Times New Roman"/>
        </w:rPr>
        <w:t xml:space="preserve"> the specific </w:t>
      </w:r>
      <w:r w:rsidR="003B3FFE" w:rsidRPr="004718A5">
        <w:rPr>
          <w:rFonts w:ascii="Times New Roman" w:hAnsi="Times New Roman" w:cs="Times New Roman"/>
        </w:rPr>
        <w:t xml:space="preserve">circumstances </w:t>
      </w:r>
      <w:r w:rsidRPr="004718A5">
        <w:rPr>
          <w:rFonts w:ascii="Times New Roman" w:hAnsi="Times New Roman" w:cs="Times New Roman"/>
        </w:rPr>
        <w:t xml:space="preserve">in the credit market, not fully </w:t>
      </w:r>
      <w:r w:rsidR="00583318" w:rsidRPr="004718A5">
        <w:rPr>
          <w:rFonts w:ascii="Times New Roman" w:hAnsi="Times New Roman" w:cs="Times New Roman"/>
        </w:rPr>
        <w:t xml:space="preserve">addressed </w:t>
      </w:r>
      <w:r w:rsidRPr="004718A5">
        <w:rPr>
          <w:rFonts w:ascii="Times New Roman" w:hAnsi="Times New Roman" w:cs="Times New Roman"/>
        </w:rPr>
        <w:t xml:space="preserve">by the information available </w:t>
      </w:r>
      <w:r w:rsidR="0075182D" w:rsidRPr="004718A5">
        <w:rPr>
          <w:rFonts w:ascii="Times New Roman" w:hAnsi="Times New Roman" w:cs="Times New Roman"/>
        </w:rPr>
        <w:t>on regular basis.</w:t>
      </w:r>
      <w:r w:rsidRPr="004718A5">
        <w:rPr>
          <w:rFonts w:ascii="Times New Roman" w:hAnsi="Times New Roman" w:cs="Times New Roman"/>
        </w:rPr>
        <w:t xml:space="preserve"> </w:t>
      </w:r>
    </w:p>
    <w:p w14:paraId="466891EF" w14:textId="77777777" w:rsidR="009A6BE2" w:rsidRDefault="009A6BE2" w:rsidP="004718A5">
      <w:pPr>
        <w:spacing w:after="120"/>
        <w:jc w:val="both"/>
        <w:rPr>
          <w:rFonts w:ascii="Times New Roman" w:hAnsi="Times New Roman" w:cs="Times New Roman"/>
          <w:b/>
          <w:i/>
        </w:rPr>
      </w:pPr>
    </w:p>
    <w:p w14:paraId="39476D76" w14:textId="77777777" w:rsidR="000E50BC" w:rsidRPr="004713F0" w:rsidRDefault="000E50BC" w:rsidP="004718A5">
      <w:pPr>
        <w:spacing w:after="120"/>
        <w:jc w:val="both"/>
        <w:rPr>
          <w:rFonts w:ascii="Times New Roman" w:hAnsi="Times New Roman" w:cs="Times New Roman"/>
          <w:b/>
          <w:i/>
        </w:rPr>
      </w:pPr>
      <w:r w:rsidRPr="004713F0">
        <w:rPr>
          <w:rFonts w:ascii="Times New Roman" w:hAnsi="Times New Roman" w:cs="Times New Roman"/>
          <w:b/>
          <w:i/>
        </w:rPr>
        <w:t>General Modalities</w:t>
      </w:r>
    </w:p>
    <w:p w14:paraId="043F16B2" w14:textId="1B7666BE" w:rsidR="00A959CF" w:rsidRPr="004713F0" w:rsidRDefault="0030587C" w:rsidP="004718A5">
      <w:pPr>
        <w:spacing w:after="120"/>
        <w:jc w:val="both"/>
        <w:rPr>
          <w:rFonts w:ascii="Times New Roman" w:hAnsi="Times New Roman" w:cs="Times New Roman"/>
        </w:rPr>
      </w:pPr>
      <w:r w:rsidRPr="004713F0">
        <w:rPr>
          <w:rFonts w:ascii="Times New Roman" w:hAnsi="Times New Roman" w:cs="Times New Roman"/>
        </w:rPr>
        <w:t xml:space="preserve">Bank Lending Survey </w:t>
      </w:r>
      <w:r w:rsidR="00944F89" w:rsidRPr="004713F0">
        <w:rPr>
          <w:rFonts w:ascii="Times New Roman" w:hAnsi="Times New Roman" w:cs="Times New Roman"/>
        </w:rPr>
        <w:t>collects the opinions of</w:t>
      </w:r>
      <w:r w:rsidR="007D543F" w:rsidRPr="004713F0">
        <w:rPr>
          <w:rFonts w:ascii="Times New Roman" w:hAnsi="Times New Roman" w:cs="Times New Roman"/>
        </w:rPr>
        <w:t xml:space="preserve"> </w:t>
      </w:r>
      <w:r w:rsidR="00944F89" w:rsidRPr="004713F0">
        <w:rPr>
          <w:rFonts w:ascii="Times New Roman" w:hAnsi="Times New Roman" w:cs="Times New Roman"/>
        </w:rPr>
        <w:t xml:space="preserve">commercial banks </w:t>
      </w:r>
      <w:r w:rsidR="007D543F" w:rsidRPr="004713F0">
        <w:rPr>
          <w:rFonts w:ascii="Times New Roman" w:hAnsi="Times New Roman" w:cs="Times New Roman"/>
        </w:rPr>
        <w:t>senior loan officers</w:t>
      </w:r>
      <w:r w:rsidR="00944F89" w:rsidRPr="004713F0">
        <w:rPr>
          <w:rStyle w:val="FootnoteReference"/>
          <w:rFonts w:ascii="Times New Roman" w:hAnsi="Times New Roman" w:cs="Times New Roman"/>
        </w:rPr>
        <w:footnoteReference w:id="1"/>
      </w:r>
      <w:r w:rsidR="00944F89" w:rsidRPr="004713F0">
        <w:rPr>
          <w:rFonts w:ascii="Times New Roman" w:hAnsi="Times New Roman" w:cs="Times New Roman"/>
        </w:rPr>
        <w:t xml:space="preserve">, </w:t>
      </w:r>
      <w:r w:rsidR="00583318" w:rsidRPr="004713F0">
        <w:rPr>
          <w:rFonts w:ascii="Times New Roman" w:hAnsi="Times New Roman" w:cs="Times New Roman"/>
        </w:rPr>
        <w:t>in charge of monitoring the</w:t>
      </w:r>
      <w:r w:rsidRPr="004713F0">
        <w:rPr>
          <w:rFonts w:ascii="Times New Roman" w:hAnsi="Times New Roman" w:cs="Times New Roman"/>
        </w:rPr>
        <w:t xml:space="preserve"> </w:t>
      </w:r>
      <w:r w:rsidR="000F1479" w:rsidRPr="004713F0">
        <w:rPr>
          <w:rFonts w:ascii="Times New Roman" w:hAnsi="Times New Roman" w:cs="Times New Roman"/>
        </w:rPr>
        <w:t xml:space="preserve">credit </w:t>
      </w:r>
      <w:r w:rsidRPr="004713F0">
        <w:rPr>
          <w:rFonts w:ascii="Times New Roman" w:hAnsi="Times New Roman" w:cs="Times New Roman"/>
        </w:rPr>
        <w:t xml:space="preserve">developments. The questions of Sections 1, 2 and 4 refer to the </w:t>
      </w:r>
      <w:r w:rsidR="000F1479" w:rsidRPr="004713F0">
        <w:rPr>
          <w:rFonts w:ascii="Times New Roman" w:hAnsi="Times New Roman" w:cs="Times New Roman"/>
        </w:rPr>
        <w:t xml:space="preserve">actual </w:t>
      </w:r>
      <w:r w:rsidRPr="004713F0">
        <w:rPr>
          <w:rFonts w:ascii="Times New Roman" w:hAnsi="Times New Roman" w:cs="Times New Roman"/>
        </w:rPr>
        <w:t xml:space="preserve">quarter </w:t>
      </w:r>
      <w:r w:rsidR="000F1479" w:rsidRPr="004713F0">
        <w:rPr>
          <w:rFonts w:ascii="Times New Roman" w:hAnsi="Times New Roman" w:cs="Times New Roman"/>
        </w:rPr>
        <w:t xml:space="preserve">when </w:t>
      </w:r>
      <w:r w:rsidRPr="004713F0">
        <w:rPr>
          <w:rFonts w:ascii="Times New Roman" w:hAnsi="Times New Roman" w:cs="Times New Roman"/>
        </w:rPr>
        <w:t xml:space="preserve">the questionnaire is </w:t>
      </w:r>
      <w:r w:rsidRPr="004713F0">
        <w:rPr>
          <w:rFonts w:ascii="Times New Roman" w:hAnsi="Times New Roman" w:cs="Times New Roman"/>
          <w:bCs/>
          <w:iCs/>
        </w:rPr>
        <w:t>distributed</w:t>
      </w:r>
      <w:r w:rsidRPr="004713F0">
        <w:rPr>
          <w:rFonts w:ascii="Times New Roman" w:hAnsi="Times New Roman" w:cs="Times New Roman"/>
        </w:rPr>
        <w:t>, wh</w:t>
      </w:r>
      <w:r w:rsidR="000F1479" w:rsidRPr="004713F0">
        <w:rPr>
          <w:rFonts w:ascii="Times New Roman" w:hAnsi="Times New Roman" w:cs="Times New Roman"/>
        </w:rPr>
        <w:t xml:space="preserve">ereas </w:t>
      </w:r>
      <w:r w:rsidRPr="004713F0">
        <w:rPr>
          <w:rFonts w:ascii="Times New Roman" w:hAnsi="Times New Roman" w:cs="Times New Roman"/>
        </w:rPr>
        <w:t xml:space="preserve">questions in section 3 refer to the next quarter. It should be noted that </w:t>
      </w:r>
      <w:r w:rsidR="00A16DFA" w:rsidRPr="004713F0">
        <w:rPr>
          <w:rFonts w:ascii="Times New Roman" w:hAnsi="Times New Roman" w:cs="Times New Roman"/>
        </w:rPr>
        <w:t xml:space="preserve">the survey does not need to obey the same statistical requirements for coverage as other statistics, as it is </w:t>
      </w:r>
      <w:r w:rsidRPr="004713F0">
        <w:rPr>
          <w:rFonts w:ascii="Times New Roman" w:hAnsi="Times New Roman" w:cs="Times New Roman"/>
        </w:rPr>
        <w:t xml:space="preserve">based on the </w:t>
      </w:r>
      <w:r w:rsidR="00A16DFA" w:rsidRPr="004713F0">
        <w:rPr>
          <w:rFonts w:ascii="Times New Roman" w:hAnsi="Times New Roman" w:cs="Times New Roman"/>
        </w:rPr>
        <w:t xml:space="preserve">opinions and views </w:t>
      </w:r>
      <w:r w:rsidRPr="004713F0">
        <w:rPr>
          <w:rFonts w:ascii="Times New Roman" w:hAnsi="Times New Roman" w:cs="Times New Roman"/>
        </w:rPr>
        <w:t xml:space="preserve">of credit experts </w:t>
      </w:r>
      <w:r w:rsidR="00A16DFA" w:rsidRPr="004713F0">
        <w:rPr>
          <w:rFonts w:ascii="Times New Roman" w:hAnsi="Times New Roman" w:cs="Times New Roman"/>
        </w:rPr>
        <w:t>regarding the</w:t>
      </w:r>
      <w:r w:rsidRPr="004713F0">
        <w:rPr>
          <w:rFonts w:ascii="Times New Roman" w:hAnsi="Times New Roman" w:cs="Times New Roman"/>
        </w:rPr>
        <w:t xml:space="preserve"> loan supply and demand</w:t>
      </w:r>
      <w:r w:rsidR="000F1479" w:rsidRPr="004713F0">
        <w:rPr>
          <w:rFonts w:ascii="Times New Roman" w:hAnsi="Times New Roman" w:cs="Times New Roman"/>
        </w:rPr>
        <w:t xml:space="preserve"> developments</w:t>
      </w:r>
      <w:r w:rsidRPr="004713F0">
        <w:rPr>
          <w:rFonts w:ascii="Times New Roman" w:hAnsi="Times New Roman" w:cs="Times New Roman"/>
        </w:rPr>
        <w:t xml:space="preserve">. </w:t>
      </w:r>
    </w:p>
    <w:p w14:paraId="03566171" w14:textId="774D7398" w:rsidR="001040B5" w:rsidRPr="004713F0" w:rsidRDefault="00C103FA" w:rsidP="004718A5">
      <w:pPr>
        <w:spacing w:after="120"/>
        <w:jc w:val="both"/>
        <w:rPr>
          <w:rFonts w:ascii="Times New Roman" w:hAnsi="Times New Roman" w:cs="Times New Roman"/>
        </w:rPr>
      </w:pPr>
      <w:r w:rsidRPr="004713F0">
        <w:rPr>
          <w:rFonts w:ascii="Times New Roman" w:hAnsi="Times New Roman" w:cs="Times New Roman"/>
        </w:rPr>
        <w:t xml:space="preserve">The questionnaire is </w:t>
      </w:r>
      <w:r w:rsidR="00E8169E" w:rsidRPr="004713F0">
        <w:rPr>
          <w:rFonts w:ascii="Times New Roman" w:hAnsi="Times New Roman" w:cs="Times New Roman"/>
        </w:rPr>
        <w:t xml:space="preserve">distributed </w:t>
      </w:r>
      <w:r w:rsidRPr="004713F0">
        <w:rPr>
          <w:rFonts w:ascii="Times New Roman" w:hAnsi="Times New Roman" w:cs="Times New Roman"/>
        </w:rPr>
        <w:t xml:space="preserve">to the banks within the 20th </w:t>
      </w:r>
      <w:r w:rsidR="000F1479" w:rsidRPr="004713F0">
        <w:rPr>
          <w:rFonts w:ascii="Times New Roman" w:hAnsi="Times New Roman" w:cs="Times New Roman"/>
        </w:rPr>
        <w:t xml:space="preserve">day </w:t>
      </w:r>
      <w:r w:rsidRPr="004713F0">
        <w:rPr>
          <w:rFonts w:ascii="Times New Roman" w:hAnsi="Times New Roman" w:cs="Times New Roman"/>
        </w:rPr>
        <w:t xml:space="preserve">of the last month of each quarter. Banks send the </w:t>
      </w:r>
      <w:r w:rsidR="000F1479" w:rsidRPr="004713F0">
        <w:rPr>
          <w:rFonts w:ascii="Times New Roman" w:hAnsi="Times New Roman" w:cs="Times New Roman"/>
        </w:rPr>
        <w:t>replies</w:t>
      </w:r>
      <w:r w:rsidRPr="004713F0">
        <w:rPr>
          <w:rFonts w:ascii="Times New Roman" w:hAnsi="Times New Roman" w:cs="Times New Roman"/>
        </w:rPr>
        <w:t xml:space="preserve"> no later than two weeks after receiving it. The results of this survey are published on the Bank of Albania</w:t>
      </w:r>
      <w:r w:rsidR="000F1479" w:rsidRPr="004713F0">
        <w:rPr>
          <w:rFonts w:ascii="Times New Roman" w:hAnsi="Times New Roman" w:cs="Times New Roman"/>
        </w:rPr>
        <w:t>’s</w:t>
      </w:r>
      <w:r w:rsidRPr="004713F0">
        <w:rPr>
          <w:rFonts w:ascii="Times New Roman" w:hAnsi="Times New Roman" w:cs="Times New Roman"/>
        </w:rPr>
        <w:t xml:space="preserve"> </w:t>
      </w:r>
      <w:r w:rsidR="00E8169E" w:rsidRPr="004713F0">
        <w:rPr>
          <w:rFonts w:ascii="Times New Roman" w:hAnsi="Times New Roman" w:cs="Times New Roman"/>
        </w:rPr>
        <w:t>website</w:t>
      </w:r>
      <w:r w:rsidRPr="004713F0">
        <w:rPr>
          <w:rFonts w:ascii="Times New Roman" w:hAnsi="Times New Roman" w:cs="Times New Roman"/>
        </w:rPr>
        <w:t xml:space="preserve">, within the 20th </w:t>
      </w:r>
      <w:r w:rsidR="000F1479" w:rsidRPr="004713F0">
        <w:rPr>
          <w:rFonts w:ascii="Times New Roman" w:hAnsi="Times New Roman" w:cs="Times New Roman"/>
        </w:rPr>
        <w:t xml:space="preserve">day </w:t>
      </w:r>
      <w:r w:rsidRPr="004713F0">
        <w:rPr>
          <w:rFonts w:ascii="Times New Roman" w:hAnsi="Times New Roman" w:cs="Times New Roman"/>
        </w:rPr>
        <w:t xml:space="preserve">of the month </w:t>
      </w:r>
      <w:r w:rsidR="000F1479" w:rsidRPr="004713F0">
        <w:rPr>
          <w:rFonts w:ascii="Times New Roman" w:hAnsi="Times New Roman" w:cs="Times New Roman"/>
        </w:rPr>
        <w:t xml:space="preserve">following </w:t>
      </w:r>
      <w:r w:rsidRPr="004713F0">
        <w:rPr>
          <w:rFonts w:ascii="Times New Roman" w:hAnsi="Times New Roman" w:cs="Times New Roman"/>
        </w:rPr>
        <w:t>each quarter</w:t>
      </w:r>
      <w:r w:rsidR="00E8169E" w:rsidRPr="004713F0">
        <w:rPr>
          <w:rFonts w:ascii="Times New Roman" w:hAnsi="Times New Roman" w:cs="Times New Roman"/>
        </w:rPr>
        <w:t xml:space="preserve"> (both the analysis and the time series)</w:t>
      </w:r>
      <w:r w:rsidRPr="004713F0">
        <w:rPr>
          <w:rFonts w:ascii="Times New Roman" w:hAnsi="Times New Roman" w:cs="Times New Roman"/>
        </w:rPr>
        <w:t xml:space="preserve">. </w:t>
      </w:r>
    </w:p>
    <w:p w14:paraId="23E4D710" w14:textId="5095BCBC" w:rsidR="006A1B2A" w:rsidRPr="004713F0" w:rsidRDefault="001040B5" w:rsidP="004713F0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4713F0">
        <w:rPr>
          <w:rFonts w:ascii="Times New Roman" w:hAnsi="Times New Roman" w:cs="Times New Roman"/>
          <w:sz w:val="22"/>
          <w:szCs w:val="22"/>
          <w:lang w:val="en-GB"/>
        </w:rPr>
        <w:t xml:space="preserve">Currently, </w:t>
      </w:r>
      <w:r w:rsidR="007D543F" w:rsidRPr="004713F0">
        <w:rPr>
          <w:rFonts w:ascii="Times New Roman" w:hAnsi="Times New Roman" w:cs="Times New Roman"/>
          <w:sz w:val="22"/>
          <w:szCs w:val="22"/>
          <w:lang w:val="en-GB"/>
        </w:rPr>
        <w:t xml:space="preserve">the sample group of banks participating in the survey comprises </w:t>
      </w:r>
      <w:r w:rsidRPr="004713F0">
        <w:rPr>
          <w:rFonts w:ascii="Times New Roman" w:hAnsi="Times New Roman" w:cs="Times New Roman"/>
          <w:sz w:val="22"/>
          <w:szCs w:val="22"/>
          <w:lang w:val="en-GB"/>
        </w:rPr>
        <w:t>11 banks</w:t>
      </w:r>
      <w:r w:rsidR="007D543F" w:rsidRPr="004713F0">
        <w:rPr>
          <w:rFonts w:ascii="Times New Roman" w:hAnsi="Times New Roman" w:cs="Times New Roman"/>
          <w:sz w:val="22"/>
          <w:szCs w:val="22"/>
          <w:lang w:val="en-GB"/>
        </w:rPr>
        <w:t xml:space="preserve">, having </w:t>
      </w:r>
      <w:r w:rsidRPr="004713F0">
        <w:rPr>
          <w:rFonts w:ascii="Times New Roman" w:hAnsi="Times New Roman" w:cs="Times New Roman"/>
          <w:sz w:val="22"/>
          <w:szCs w:val="22"/>
          <w:lang w:val="en-GB"/>
        </w:rPr>
        <w:t xml:space="preserve">the largest share of </w:t>
      </w:r>
      <w:r w:rsidR="007D543F" w:rsidRPr="004713F0">
        <w:rPr>
          <w:rFonts w:ascii="Times New Roman" w:hAnsi="Times New Roman" w:cs="Times New Roman"/>
          <w:sz w:val="22"/>
          <w:szCs w:val="22"/>
          <w:lang w:val="en-GB"/>
        </w:rPr>
        <w:t xml:space="preserve">credit to the </w:t>
      </w:r>
      <w:r w:rsidRPr="004713F0">
        <w:rPr>
          <w:rFonts w:ascii="Times New Roman" w:hAnsi="Times New Roman" w:cs="Times New Roman"/>
          <w:sz w:val="22"/>
          <w:szCs w:val="22"/>
          <w:lang w:val="en-GB"/>
        </w:rPr>
        <w:t xml:space="preserve">private sector. </w:t>
      </w:r>
      <w:r w:rsidR="007D543F" w:rsidRPr="004713F0">
        <w:rPr>
          <w:rFonts w:ascii="Times New Roman" w:hAnsi="Times New Roman" w:cs="Times New Roman"/>
          <w:sz w:val="22"/>
          <w:szCs w:val="22"/>
          <w:lang w:val="en-GB"/>
        </w:rPr>
        <w:t xml:space="preserve">To be selected, the banks </w:t>
      </w:r>
      <w:r w:rsidR="00A81698" w:rsidRPr="004713F0">
        <w:rPr>
          <w:rFonts w:ascii="Times New Roman" w:hAnsi="Times New Roman" w:cs="Times New Roman"/>
          <w:sz w:val="22"/>
          <w:szCs w:val="22"/>
          <w:lang w:val="en-GB"/>
        </w:rPr>
        <w:t xml:space="preserve">should own at least 3% </w:t>
      </w:r>
      <w:r w:rsidR="007D543F" w:rsidRPr="004713F0">
        <w:rPr>
          <w:rFonts w:ascii="Times New Roman" w:hAnsi="Times New Roman" w:cs="Times New Roman"/>
          <w:sz w:val="22"/>
          <w:szCs w:val="22"/>
          <w:lang w:val="en-GB"/>
        </w:rPr>
        <w:t xml:space="preserve">share </w:t>
      </w:r>
      <w:r w:rsidR="00A81698" w:rsidRPr="004713F0">
        <w:rPr>
          <w:rFonts w:ascii="Times New Roman" w:hAnsi="Times New Roman" w:cs="Times New Roman"/>
          <w:sz w:val="22"/>
          <w:szCs w:val="22"/>
          <w:lang w:val="en-GB"/>
        </w:rPr>
        <w:t xml:space="preserve">of </w:t>
      </w:r>
      <w:r w:rsidRPr="004713F0">
        <w:rPr>
          <w:rFonts w:ascii="Times New Roman" w:hAnsi="Times New Roman" w:cs="Times New Roman"/>
          <w:sz w:val="22"/>
          <w:szCs w:val="22"/>
          <w:lang w:val="en-GB"/>
        </w:rPr>
        <w:t xml:space="preserve">the private sector credit </w:t>
      </w:r>
      <w:r w:rsidR="00A81698" w:rsidRPr="004713F0">
        <w:rPr>
          <w:rFonts w:ascii="Times New Roman" w:hAnsi="Times New Roman" w:cs="Times New Roman"/>
          <w:sz w:val="22"/>
          <w:szCs w:val="22"/>
          <w:lang w:val="en-GB"/>
        </w:rPr>
        <w:t>outstanding.</w:t>
      </w:r>
      <w:r w:rsidR="007D543F" w:rsidRPr="004713F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A81698" w:rsidRPr="004713F0">
        <w:rPr>
          <w:rFonts w:ascii="Times New Roman" w:hAnsi="Times New Roman" w:cs="Times New Roman"/>
          <w:sz w:val="22"/>
          <w:szCs w:val="22"/>
          <w:lang w:val="en-GB"/>
        </w:rPr>
        <w:t xml:space="preserve">To calculate the </w:t>
      </w:r>
      <w:r w:rsidR="00A81698" w:rsidRPr="004713F0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market share of banks, for each segment and each type of loan, a necessary input in </w:t>
      </w:r>
      <w:r w:rsidR="00A81698" w:rsidRPr="004713F0">
        <w:rPr>
          <w:rFonts w:ascii="Times New Roman" w:hAnsi="Times New Roman" w:cs="Times New Roman"/>
          <w:sz w:val="22"/>
          <w:szCs w:val="22"/>
          <w:lang w:val="en-GB"/>
        </w:rPr>
        <w:t xml:space="preserve">aggregating the results for relevant questions, the last quarter figures are taken into account. </w:t>
      </w:r>
    </w:p>
    <w:p w14:paraId="1D1B3E55" w14:textId="77777777" w:rsidR="007D543F" w:rsidRPr="00E84865" w:rsidRDefault="007D543F" w:rsidP="00E84865">
      <w:pPr>
        <w:pStyle w:val="Default"/>
        <w:spacing w:after="120" w:line="276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3932FB3A" w14:textId="035DFE54" w:rsidR="009F38F7" w:rsidRPr="004713F0" w:rsidRDefault="006A1B2A" w:rsidP="004713F0">
      <w:pPr>
        <w:spacing w:after="120"/>
        <w:jc w:val="both"/>
        <w:rPr>
          <w:rFonts w:ascii="Times New Roman" w:hAnsi="Times New Roman" w:cs="Times New Roman"/>
        </w:rPr>
      </w:pPr>
      <w:r w:rsidRPr="004713F0">
        <w:rPr>
          <w:rFonts w:ascii="Times New Roman" w:hAnsi="Times New Roman" w:cs="Times New Roman"/>
        </w:rPr>
        <w:lastRenderedPageBreak/>
        <w:t xml:space="preserve">The methodology used </w:t>
      </w:r>
      <w:r w:rsidR="00A81698" w:rsidRPr="004713F0">
        <w:rPr>
          <w:rFonts w:ascii="Times New Roman" w:hAnsi="Times New Roman" w:cs="Times New Roman"/>
        </w:rPr>
        <w:t xml:space="preserve">in aggregating </w:t>
      </w:r>
      <w:r w:rsidRPr="004713F0">
        <w:rPr>
          <w:rFonts w:ascii="Times New Roman" w:hAnsi="Times New Roman" w:cs="Times New Roman"/>
        </w:rPr>
        <w:t>the results refers to the indicator of net percentage</w:t>
      </w:r>
      <w:r w:rsidR="00C66669" w:rsidRPr="004713F0">
        <w:rPr>
          <w:rStyle w:val="FootnoteReference"/>
          <w:rFonts w:ascii="Times New Roman" w:hAnsi="Times New Roman" w:cs="Times New Roman"/>
        </w:rPr>
        <w:footnoteReference w:id="2"/>
      </w:r>
      <w:r w:rsidRPr="004713F0">
        <w:rPr>
          <w:rFonts w:ascii="Times New Roman" w:hAnsi="Times New Roman" w:cs="Times New Roman"/>
        </w:rPr>
        <w:t xml:space="preserve">. </w:t>
      </w:r>
      <w:r w:rsidR="007D543F" w:rsidRPr="004713F0">
        <w:rPr>
          <w:rFonts w:ascii="Times New Roman" w:hAnsi="Times New Roman" w:cs="Times New Roman"/>
        </w:rPr>
        <w:t xml:space="preserve">For credit </w:t>
      </w:r>
      <w:r w:rsidRPr="004713F0">
        <w:rPr>
          <w:rFonts w:ascii="Times New Roman" w:hAnsi="Times New Roman" w:cs="Times New Roman"/>
        </w:rPr>
        <w:t>standards</w:t>
      </w:r>
      <w:r w:rsidR="007D543F" w:rsidRPr="004713F0">
        <w:rPr>
          <w:rFonts w:ascii="Times New Roman" w:hAnsi="Times New Roman" w:cs="Times New Roman"/>
        </w:rPr>
        <w:t>,</w:t>
      </w:r>
      <w:r w:rsidRPr="004713F0">
        <w:rPr>
          <w:rFonts w:ascii="Times New Roman" w:hAnsi="Times New Roman" w:cs="Times New Roman"/>
        </w:rPr>
        <w:t xml:space="preserve"> this indicator is measured by the difference between the </w:t>
      </w:r>
      <w:r w:rsidR="00C66669" w:rsidRPr="004713F0">
        <w:rPr>
          <w:rFonts w:ascii="Times New Roman" w:hAnsi="Times New Roman" w:cs="Times New Roman"/>
        </w:rPr>
        <w:t xml:space="preserve">sum </w:t>
      </w:r>
      <w:r w:rsidR="007D543F" w:rsidRPr="004713F0">
        <w:rPr>
          <w:rFonts w:ascii="Times New Roman" w:hAnsi="Times New Roman" w:cs="Times New Roman"/>
        </w:rPr>
        <w:t xml:space="preserve">of banks reporting that credit standards have </w:t>
      </w:r>
      <w:r w:rsidRPr="004713F0">
        <w:rPr>
          <w:rFonts w:ascii="Times New Roman" w:hAnsi="Times New Roman" w:cs="Times New Roman"/>
        </w:rPr>
        <w:t>"</w:t>
      </w:r>
      <w:r w:rsidR="007D543F" w:rsidRPr="004713F0">
        <w:rPr>
          <w:rFonts w:ascii="Times New Roman" w:hAnsi="Times New Roman" w:cs="Times New Roman"/>
        </w:rPr>
        <w:t>t</w:t>
      </w:r>
      <w:r w:rsidRPr="004713F0">
        <w:rPr>
          <w:rFonts w:ascii="Times New Roman" w:hAnsi="Times New Roman" w:cs="Times New Roman"/>
        </w:rPr>
        <w:t>ightened considerably”, and "</w:t>
      </w:r>
      <w:r w:rsidR="007D543F" w:rsidRPr="004713F0">
        <w:rPr>
          <w:rFonts w:ascii="Times New Roman" w:hAnsi="Times New Roman" w:cs="Times New Roman"/>
        </w:rPr>
        <w:t>t</w:t>
      </w:r>
      <w:r w:rsidRPr="004713F0">
        <w:rPr>
          <w:rFonts w:ascii="Times New Roman" w:hAnsi="Times New Roman" w:cs="Times New Roman"/>
        </w:rPr>
        <w:t xml:space="preserve">ightened somewhat” and the </w:t>
      </w:r>
      <w:r w:rsidR="00C66669" w:rsidRPr="004713F0">
        <w:rPr>
          <w:rFonts w:ascii="Times New Roman" w:hAnsi="Times New Roman" w:cs="Times New Roman"/>
        </w:rPr>
        <w:t>sum of</w:t>
      </w:r>
      <w:r w:rsidR="007D543F" w:rsidRPr="004713F0">
        <w:rPr>
          <w:rFonts w:ascii="Times New Roman" w:hAnsi="Times New Roman" w:cs="Times New Roman"/>
        </w:rPr>
        <w:t xml:space="preserve"> banks reporting that they have </w:t>
      </w:r>
      <w:r w:rsidRPr="004713F0">
        <w:rPr>
          <w:rFonts w:ascii="Times New Roman" w:hAnsi="Times New Roman" w:cs="Times New Roman"/>
        </w:rPr>
        <w:t>"</w:t>
      </w:r>
      <w:r w:rsidR="007D543F" w:rsidRPr="004713F0">
        <w:rPr>
          <w:rFonts w:ascii="Times New Roman" w:hAnsi="Times New Roman" w:cs="Times New Roman"/>
        </w:rPr>
        <w:t>e</w:t>
      </w:r>
      <w:r w:rsidRPr="004713F0">
        <w:rPr>
          <w:rFonts w:ascii="Times New Roman" w:hAnsi="Times New Roman" w:cs="Times New Roman"/>
        </w:rPr>
        <w:t>ased considerably” and "</w:t>
      </w:r>
      <w:r w:rsidR="007D543F" w:rsidRPr="004713F0">
        <w:rPr>
          <w:rFonts w:ascii="Times New Roman" w:hAnsi="Times New Roman" w:cs="Times New Roman"/>
        </w:rPr>
        <w:t>e</w:t>
      </w:r>
      <w:r w:rsidRPr="004713F0">
        <w:rPr>
          <w:rFonts w:ascii="Times New Roman" w:hAnsi="Times New Roman" w:cs="Times New Roman"/>
        </w:rPr>
        <w:t xml:space="preserve">ased somewhat", </w:t>
      </w:r>
      <w:r w:rsidR="007D543F" w:rsidRPr="004713F0">
        <w:rPr>
          <w:rFonts w:ascii="Times New Roman" w:hAnsi="Times New Roman" w:cs="Times New Roman"/>
        </w:rPr>
        <w:t xml:space="preserve">adjusted </w:t>
      </w:r>
      <w:r w:rsidRPr="004713F0">
        <w:rPr>
          <w:rFonts w:ascii="Times New Roman" w:hAnsi="Times New Roman" w:cs="Times New Roman"/>
        </w:rPr>
        <w:t xml:space="preserve">in </w:t>
      </w:r>
      <w:r w:rsidR="00C66669" w:rsidRPr="004713F0">
        <w:rPr>
          <w:rFonts w:ascii="Times New Roman" w:hAnsi="Times New Roman" w:cs="Times New Roman"/>
        </w:rPr>
        <w:t xml:space="preserve">every </w:t>
      </w:r>
      <w:r w:rsidRPr="004713F0">
        <w:rPr>
          <w:rFonts w:ascii="Times New Roman" w:hAnsi="Times New Roman" w:cs="Times New Roman"/>
        </w:rPr>
        <w:t xml:space="preserve">case by the share of each bank in </w:t>
      </w:r>
      <w:r w:rsidRPr="00E84865">
        <w:rPr>
          <w:rFonts w:ascii="Times New Roman" w:hAnsi="Times New Roman" w:cs="Times New Roman"/>
        </w:rPr>
        <w:t>that credit segment</w:t>
      </w:r>
      <w:r w:rsidRPr="004713F0">
        <w:rPr>
          <w:rFonts w:ascii="Times New Roman" w:hAnsi="Times New Roman" w:cs="Times New Roman"/>
        </w:rPr>
        <w:t xml:space="preserve">. </w:t>
      </w:r>
      <w:r w:rsidR="00E4008D" w:rsidRPr="004713F0">
        <w:rPr>
          <w:rFonts w:ascii="Times New Roman" w:hAnsi="Times New Roman" w:cs="Times New Roman"/>
        </w:rPr>
        <w:t xml:space="preserve">A negative </w:t>
      </w:r>
      <w:r w:rsidRPr="004713F0">
        <w:rPr>
          <w:rFonts w:ascii="Times New Roman" w:hAnsi="Times New Roman" w:cs="Times New Roman"/>
        </w:rPr>
        <w:t xml:space="preserve">net percentage indicates tightening of standards, and vice versa. In mathematical </w:t>
      </w:r>
      <w:r w:rsidR="00E4008D" w:rsidRPr="004713F0">
        <w:rPr>
          <w:rFonts w:ascii="Times New Roman" w:hAnsi="Times New Roman" w:cs="Times New Roman"/>
        </w:rPr>
        <w:t>terms</w:t>
      </w:r>
      <w:r w:rsidRPr="004713F0">
        <w:rPr>
          <w:rFonts w:ascii="Times New Roman" w:hAnsi="Times New Roman" w:cs="Times New Roman"/>
        </w:rPr>
        <w:t>, the calculation of the net percentage in the case of lending standards is as follows:</w:t>
      </w:r>
    </w:p>
    <w:p w14:paraId="73DCAA52" w14:textId="3D9C23BE" w:rsidR="009F38F7" w:rsidRPr="00E84865" w:rsidRDefault="00E4008D" w:rsidP="00E84865">
      <w:pPr>
        <w:spacing w:after="120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Net percentage</m:t>
          </m:r>
          <m:r>
            <w:rPr>
              <w:rFonts w:ascii="Cambria Math" w:hAnsi="Cambria Math" w:cs="Times New Roman" w:hint="eastAsia"/>
            </w:rPr>
            <m:t> </m:t>
          </m:r>
          <m:r>
            <w:rPr>
              <w:rFonts w:ascii="Cambria Math" w:hAnsi="Cambria Math" w:cs="Times New Roman"/>
            </w:rPr>
            <m:t>(standard)=</m:t>
          </m:r>
          <m:nary>
            <m:naryPr>
              <m:chr m:val="∑"/>
              <m:subHide m:val="1"/>
              <m:supHide m:val="1"/>
              <m:ctrlPr>
                <w:rPr>
                  <w:rFonts w:ascii="Cambria Math" w:hAnsi="Cambria Math" w:cs="Times New Roman"/>
                  <w:i/>
                  <w:iCs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</w:rPr>
                <m:t>Perc.</m:t>
              </m:r>
              <m:r>
                <w:rPr>
                  <w:rFonts w:ascii="Cambria Math" w:hAnsi="Cambria Math" w:cs="Times New Roman" w:hint="eastAsia"/>
                </w:rPr>
                <m:t> </m:t>
              </m:r>
              <m:r>
                <w:rPr>
                  <w:rFonts w:ascii="Cambria Math" w:hAnsi="Cambria Math" w:cs="Times New Roman"/>
                </w:rPr>
                <m:t xml:space="preserve">eased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considerably+somewhat</m:t>
                  </m:r>
                </m:e>
              </m:d>
              <m:r>
                <w:rPr>
                  <w:rFonts w:ascii="Cambria Math" w:hAnsi="Cambria Math" w:cs="Times New Roman"/>
                  <w:rtl/>
                  <w:lang w:bidi="ar-AE"/>
                </w:rPr>
                <m:t>-</m:t>
              </m:r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</w:rPr>
                    <m:t>Perc.</m:t>
                  </m:r>
                  <m:r>
                    <w:rPr>
                      <w:rFonts w:ascii="Cambria Math" w:hAnsi="Cambria Math" w:cs="Times New Roman" w:hint="eastAsia"/>
                    </w:rPr>
                    <m:t> </m:t>
                  </m:r>
                  <m:r>
                    <w:rPr>
                      <w:rFonts w:ascii="Cambria Math" w:hAnsi="Cambria Math" w:cs="Times New Roman"/>
                    </w:rPr>
                    <m:t>tightened (considerably+somewhat)</m:t>
                  </m:r>
                </m:e>
              </m:nary>
            </m:e>
          </m:nary>
        </m:oMath>
      </m:oMathPara>
    </w:p>
    <w:p w14:paraId="737F0C37" w14:textId="77777777" w:rsidR="00E4008D" w:rsidRPr="00E84865" w:rsidRDefault="00E4008D" w:rsidP="00E84865">
      <w:pPr>
        <w:spacing w:after="120"/>
        <w:jc w:val="both"/>
        <w:rPr>
          <w:rFonts w:ascii="Times New Roman" w:hAnsi="Times New Roman" w:cs="Times New Roman"/>
        </w:rPr>
      </w:pPr>
    </w:p>
    <w:p w14:paraId="6C0480B4" w14:textId="6FCE7687" w:rsidR="001040B5" w:rsidRPr="001315B8" w:rsidRDefault="009F38F7" w:rsidP="001315B8">
      <w:pPr>
        <w:spacing w:after="120"/>
        <w:jc w:val="both"/>
        <w:rPr>
          <w:rFonts w:ascii="Times New Roman" w:hAnsi="Times New Roman" w:cs="Times New Roman"/>
        </w:rPr>
      </w:pPr>
      <w:r w:rsidRPr="001315B8">
        <w:rPr>
          <w:rFonts w:ascii="Times New Roman" w:hAnsi="Times New Roman" w:cs="Times New Roman"/>
        </w:rPr>
        <w:t xml:space="preserve">In the case of credit demand, the indicator is aggregated to a single one by the difference </w:t>
      </w:r>
      <w:r w:rsidR="00C66669" w:rsidRPr="001315B8">
        <w:rPr>
          <w:rFonts w:ascii="Times New Roman" w:hAnsi="Times New Roman" w:cs="Times New Roman"/>
        </w:rPr>
        <w:t xml:space="preserve">of the sum responding </w:t>
      </w:r>
      <w:r w:rsidRPr="001315B8">
        <w:rPr>
          <w:rFonts w:ascii="Times New Roman" w:hAnsi="Times New Roman" w:cs="Times New Roman"/>
        </w:rPr>
        <w:t>"</w:t>
      </w:r>
      <w:r w:rsidR="00E4008D" w:rsidRPr="001315B8">
        <w:rPr>
          <w:rFonts w:ascii="Times New Roman" w:hAnsi="Times New Roman" w:cs="Times New Roman"/>
        </w:rPr>
        <w:t>i</w:t>
      </w:r>
      <w:r w:rsidRPr="001315B8">
        <w:rPr>
          <w:rFonts w:ascii="Times New Roman" w:hAnsi="Times New Roman" w:cs="Times New Roman"/>
        </w:rPr>
        <w:t>ncreased considerably” and "</w:t>
      </w:r>
      <w:r w:rsidR="00E4008D" w:rsidRPr="001315B8">
        <w:rPr>
          <w:rFonts w:ascii="Times New Roman" w:hAnsi="Times New Roman" w:cs="Times New Roman"/>
        </w:rPr>
        <w:t>i</w:t>
      </w:r>
      <w:r w:rsidRPr="001315B8">
        <w:rPr>
          <w:rFonts w:ascii="Times New Roman" w:hAnsi="Times New Roman" w:cs="Times New Roman"/>
        </w:rPr>
        <w:t xml:space="preserve">ncreased somewhat", with the </w:t>
      </w:r>
      <w:r w:rsidR="00C66669" w:rsidRPr="001315B8">
        <w:rPr>
          <w:rFonts w:ascii="Times New Roman" w:hAnsi="Times New Roman" w:cs="Times New Roman"/>
        </w:rPr>
        <w:t>sum of respondents</w:t>
      </w:r>
      <w:r w:rsidR="00E4008D" w:rsidRPr="001315B8">
        <w:rPr>
          <w:rFonts w:ascii="Times New Roman" w:hAnsi="Times New Roman" w:cs="Times New Roman"/>
        </w:rPr>
        <w:t xml:space="preserve"> reporting </w:t>
      </w:r>
      <w:r w:rsidRPr="001315B8">
        <w:rPr>
          <w:rFonts w:ascii="Times New Roman" w:hAnsi="Times New Roman" w:cs="Times New Roman"/>
        </w:rPr>
        <w:t>"</w:t>
      </w:r>
      <w:r w:rsidR="00E4008D" w:rsidRPr="001315B8">
        <w:rPr>
          <w:rFonts w:ascii="Times New Roman" w:hAnsi="Times New Roman" w:cs="Times New Roman"/>
        </w:rPr>
        <w:t>d</w:t>
      </w:r>
      <w:r w:rsidRPr="001315B8">
        <w:rPr>
          <w:rFonts w:ascii="Times New Roman" w:hAnsi="Times New Roman" w:cs="Times New Roman"/>
        </w:rPr>
        <w:t xml:space="preserve">ecreased considerably” and “decreased somewhat”, </w:t>
      </w:r>
      <w:r w:rsidR="00E4008D" w:rsidRPr="001315B8">
        <w:rPr>
          <w:rFonts w:ascii="Times New Roman" w:hAnsi="Times New Roman" w:cs="Times New Roman"/>
        </w:rPr>
        <w:t>adjusted</w:t>
      </w:r>
      <w:r w:rsidRPr="001315B8">
        <w:rPr>
          <w:rFonts w:ascii="Times New Roman" w:hAnsi="Times New Roman" w:cs="Times New Roman"/>
        </w:rPr>
        <w:t xml:space="preserve"> </w:t>
      </w:r>
      <w:r w:rsidR="00C66669" w:rsidRPr="001315B8">
        <w:rPr>
          <w:rFonts w:ascii="Times New Roman" w:hAnsi="Times New Roman" w:cs="Times New Roman"/>
        </w:rPr>
        <w:t xml:space="preserve">for </w:t>
      </w:r>
      <w:r w:rsidRPr="001315B8">
        <w:rPr>
          <w:rFonts w:ascii="Times New Roman" w:hAnsi="Times New Roman" w:cs="Times New Roman"/>
        </w:rPr>
        <w:t xml:space="preserve">the share of each bank in the relevant segment of credit. The mathematical form of this indicator is: </w:t>
      </w:r>
    </w:p>
    <w:p w14:paraId="03CA7ACC" w14:textId="44F5996B" w:rsidR="009D785D" w:rsidRPr="00E84865" w:rsidRDefault="009D785D" w:rsidP="00E84865">
      <w:pPr>
        <w:spacing w:after="120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Perc. net (demand)=</m:t>
          </m:r>
          <m:nary>
            <m:naryPr>
              <m:chr m:val="∑"/>
              <m:subHide m:val="1"/>
              <m:supHide m:val="1"/>
              <m:ctrlPr>
                <w:rPr>
                  <w:rFonts w:ascii="Cambria Math" w:hAnsi="Cambria Math" w:cs="Times New Roman"/>
                  <w:i/>
                  <w:iCs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</w:rPr>
                <m:t xml:space="preserve">Perc. increased </m:t>
              </m:r>
              <m:r>
                <w:rPr>
                  <w:rFonts w:ascii="Cambria Math" w:hAnsi="Cambria Math" w:cs="Times New Roman" w:hint="eastAsia"/>
                </w:rPr>
                <m:t> 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considerably+somewhat</m:t>
                  </m:r>
                </m:e>
              </m:d>
              <m:r>
                <w:rPr>
                  <w:rFonts w:ascii="Cambria Math" w:hAnsi="Cambria Math" w:cs="Times New Roman"/>
                  <w:rtl/>
                  <w:lang w:bidi="ar-AE"/>
                </w:rPr>
                <m:t>-</m:t>
              </m:r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</w:rPr>
                    <m:t>Perc. decreased</m:t>
                  </m:r>
                  <m:r>
                    <w:rPr>
                      <w:rFonts w:ascii="Cambria Math" w:hAnsi="Cambria Math" w:cs="Times New Roman" w:hint="eastAsia"/>
                    </w:rPr>
                    <m:t> 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considerably+somewhat</m:t>
                      </m:r>
                    </m:e>
                  </m:d>
                </m:e>
              </m:nary>
            </m:e>
          </m:nary>
        </m:oMath>
      </m:oMathPara>
    </w:p>
    <w:p w14:paraId="09D58BE6" w14:textId="77777777" w:rsidR="00141D53" w:rsidRPr="00E84865" w:rsidRDefault="00C103FA" w:rsidP="00E84865">
      <w:pPr>
        <w:spacing w:after="120"/>
        <w:jc w:val="both"/>
        <w:rPr>
          <w:rFonts w:ascii="Times New Roman" w:hAnsi="Times New Roman" w:cs="Times New Roman"/>
        </w:rPr>
      </w:pPr>
      <w:r w:rsidRPr="00E84865">
        <w:rPr>
          <w:rFonts w:ascii="Times New Roman" w:hAnsi="Times New Roman" w:cs="Times New Roman"/>
        </w:rPr>
        <w:t xml:space="preserve">The positive result is interpreted as an increase in demand for loans and vice versa. </w:t>
      </w:r>
    </w:p>
    <w:p w14:paraId="6064BB56" w14:textId="304B3FB8" w:rsidR="00141D53" w:rsidRPr="001315B8" w:rsidRDefault="009D3AF2" w:rsidP="001315B8">
      <w:pPr>
        <w:spacing w:after="120"/>
        <w:jc w:val="both"/>
        <w:rPr>
          <w:rFonts w:ascii="Times New Roman" w:hAnsi="Times New Roman" w:cs="Times New Roman"/>
        </w:rPr>
      </w:pPr>
      <w:r w:rsidRPr="001315B8">
        <w:rPr>
          <w:rFonts w:ascii="Times New Roman" w:hAnsi="Times New Roman" w:cs="Times New Roman"/>
        </w:rPr>
        <w:t>It should be noted that by agg</w:t>
      </w:r>
      <w:bookmarkStart w:id="0" w:name="_GoBack"/>
      <w:bookmarkEnd w:id="0"/>
      <w:r w:rsidRPr="001315B8">
        <w:rPr>
          <w:rFonts w:ascii="Times New Roman" w:hAnsi="Times New Roman" w:cs="Times New Roman"/>
        </w:rPr>
        <w:t>regating banks' responses, qualitative indicators are obtained</w:t>
      </w:r>
      <w:r w:rsidR="00325E73" w:rsidRPr="001315B8">
        <w:rPr>
          <w:rFonts w:ascii="Times New Roman" w:hAnsi="Times New Roman" w:cs="Times New Roman"/>
        </w:rPr>
        <w:t>, not quantitative</w:t>
      </w:r>
      <w:r w:rsidR="009A6BE2">
        <w:rPr>
          <w:rFonts w:ascii="Times New Roman" w:hAnsi="Times New Roman" w:cs="Times New Roman"/>
        </w:rPr>
        <w:t xml:space="preserve"> ones</w:t>
      </w:r>
      <w:r w:rsidRPr="001315B8">
        <w:rPr>
          <w:rFonts w:ascii="Times New Roman" w:hAnsi="Times New Roman" w:cs="Times New Roman"/>
        </w:rPr>
        <w:t xml:space="preserve">. As such, </w:t>
      </w:r>
      <w:r w:rsidR="00FC52EC" w:rsidRPr="001315B8">
        <w:rPr>
          <w:rFonts w:ascii="Times New Roman" w:hAnsi="Times New Roman" w:cs="Times New Roman"/>
        </w:rPr>
        <w:t xml:space="preserve">interpreting the results </w:t>
      </w:r>
      <w:r w:rsidR="009A6BE2">
        <w:rPr>
          <w:rFonts w:ascii="Times New Roman" w:hAnsi="Times New Roman" w:cs="Times New Roman"/>
        </w:rPr>
        <w:t xml:space="preserve">will not follow </w:t>
      </w:r>
      <w:r w:rsidR="009A6BE2" w:rsidRPr="005458A9">
        <w:rPr>
          <w:rFonts w:ascii="Times New Roman" w:hAnsi="Times New Roman" w:cs="Times New Roman"/>
        </w:rPr>
        <w:t xml:space="preserve">the classic </w:t>
      </w:r>
      <w:r w:rsidR="009A6BE2">
        <w:rPr>
          <w:rFonts w:ascii="Times New Roman" w:hAnsi="Times New Roman" w:cs="Times New Roman"/>
        </w:rPr>
        <w:t xml:space="preserve">data </w:t>
      </w:r>
      <w:r w:rsidR="00FC52EC" w:rsidRPr="001315B8">
        <w:rPr>
          <w:rFonts w:ascii="Times New Roman" w:hAnsi="Times New Roman" w:cs="Times New Roman"/>
        </w:rPr>
        <w:t>requirements</w:t>
      </w:r>
      <w:r w:rsidR="009A6BE2">
        <w:rPr>
          <w:rFonts w:ascii="Times New Roman" w:hAnsi="Times New Roman" w:cs="Times New Roman"/>
        </w:rPr>
        <w:t>, the la</w:t>
      </w:r>
      <w:r w:rsidR="00B374C3">
        <w:rPr>
          <w:rFonts w:ascii="Times New Roman" w:hAnsi="Times New Roman" w:cs="Times New Roman"/>
        </w:rPr>
        <w:t>t</w:t>
      </w:r>
      <w:r w:rsidR="009A6BE2">
        <w:rPr>
          <w:rFonts w:ascii="Times New Roman" w:hAnsi="Times New Roman" w:cs="Times New Roman"/>
        </w:rPr>
        <w:t xml:space="preserve">ter being the </w:t>
      </w:r>
      <w:r w:rsidRPr="001315B8">
        <w:rPr>
          <w:rFonts w:ascii="Times New Roman" w:hAnsi="Times New Roman" w:cs="Times New Roman"/>
        </w:rPr>
        <w:t xml:space="preserve">quantitative data generated by the statistical office, which collect quantitative information at a regular frequency for a given range of indicators. Qualitative indicators obtained from the </w:t>
      </w:r>
      <w:r w:rsidR="00E4008D" w:rsidRPr="001315B8">
        <w:rPr>
          <w:rFonts w:ascii="Times New Roman" w:hAnsi="Times New Roman" w:cs="Times New Roman"/>
        </w:rPr>
        <w:t xml:space="preserve">BLS </w:t>
      </w:r>
      <w:r w:rsidRPr="001315B8">
        <w:rPr>
          <w:rFonts w:ascii="Times New Roman" w:hAnsi="Times New Roman" w:cs="Times New Roman"/>
        </w:rPr>
        <w:t>serve to understand</w:t>
      </w:r>
      <w:r w:rsidR="00B374C3">
        <w:rPr>
          <w:rFonts w:ascii="Times New Roman" w:hAnsi="Times New Roman" w:cs="Times New Roman"/>
        </w:rPr>
        <w:t xml:space="preserve"> in </w:t>
      </w:r>
      <w:r w:rsidR="001315B8">
        <w:rPr>
          <w:rFonts w:ascii="Times New Roman" w:hAnsi="Times New Roman" w:cs="Times New Roman"/>
        </w:rPr>
        <w:t>greater</w:t>
      </w:r>
      <w:r w:rsidR="00B374C3">
        <w:rPr>
          <w:rFonts w:ascii="Times New Roman" w:hAnsi="Times New Roman" w:cs="Times New Roman"/>
        </w:rPr>
        <w:t xml:space="preserve"> details </w:t>
      </w:r>
      <w:r w:rsidRPr="001315B8">
        <w:rPr>
          <w:rFonts w:ascii="Times New Roman" w:hAnsi="Times New Roman" w:cs="Times New Roman"/>
        </w:rPr>
        <w:t xml:space="preserve">the developments in the credit </w:t>
      </w:r>
      <w:r w:rsidR="00B374C3" w:rsidRPr="00B374C3">
        <w:rPr>
          <w:rFonts w:ascii="Times New Roman" w:hAnsi="Times New Roman" w:cs="Times New Roman"/>
        </w:rPr>
        <w:t>market</w:t>
      </w:r>
      <w:r w:rsidR="00B374C3">
        <w:rPr>
          <w:rFonts w:ascii="Times New Roman" w:hAnsi="Times New Roman" w:cs="Times New Roman"/>
        </w:rPr>
        <w:t>,</w:t>
      </w:r>
      <w:r w:rsidR="00B374C3" w:rsidRPr="00B374C3">
        <w:rPr>
          <w:rFonts w:ascii="Times New Roman" w:hAnsi="Times New Roman" w:cs="Times New Roman"/>
        </w:rPr>
        <w:t xml:space="preserve"> complementing</w:t>
      </w:r>
      <w:r w:rsidR="00B374C3">
        <w:rPr>
          <w:rFonts w:ascii="Times New Roman" w:hAnsi="Times New Roman" w:cs="Times New Roman"/>
        </w:rPr>
        <w:t xml:space="preserve"> thus</w:t>
      </w:r>
      <w:r w:rsidRPr="001315B8">
        <w:rPr>
          <w:rFonts w:ascii="Times New Roman" w:hAnsi="Times New Roman" w:cs="Times New Roman"/>
        </w:rPr>
        <w:t xml:space="preserve"> the </w:t>
      </w:r>
      <w:r w:rsidR="00B374C3">
        <w:rPr>
          <w:rFonts w:ascii="Times New Roman" w:hAnsi="Times New Roman" w:cs="Times New Roman"/>
        </w:rPr>
        <w:t xml:space="preserve">reported </w:t>
      </w:r>
      <w:r w:rsidRPr="001315B8">
        <w:rPr>
          <w:rFonts w:ascii="Times New Roman" w:hAnsi="Times New Roman" w:cs="Times New Roman"/>
        </w:rPr>
        <w:t xml:space="preserve">information from </w:t>
      </w:r>
      <w:r w:rsidR="00B374C3" w:rsidRPr="00A14462">
        <w:rPr>
          <w:rFonts w:ascii="Times New Roman" w:hAnsi="Times New Roman" w:cs="Times New Roman"/>
        </w:rPr>
        <w:t>banks’ balance sheets</w:t>
      </w:r>
      <w:r w:rsidR="00B374C3" w:rsidRPr="00B374C3">
        <w:rPr>
          <w:rFonts w:ascii="Times New Roman" w:hAnsi="Times New Roman" w:cs="Times New Roman"/>
        </w:rPr>
        <w:t xml:space="preserve"> </w:t>
      </w:r>
      <w:r w:rsidR="00B374C3">
        <w:rPr>
          <w:rFonts w:ascii="Times New Roman" w:hAnsi="Times New Roman" w:cs="Times New Roman"/>
        </w:rPr>
        <w:t xml:space="preserve">with perceptions and expectations from </w:t>
      </w:r>
      <w:r w:rsidR="00AF6A44">
        <w:rPr>
          <w:rFonts w:ascii="Times New Roman" w:hAnsi="Times New Roman" w:cs="Times New Roman"/>
        </w:rPr>
        <w:t>senior loan officers.</w:t>
      </w:r>
    </w:p>
    <w:sectPr w:rsidR="00141D53" w:rsidRPr="00131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2D124" w14:textId="77777777" w:rsidR="0034164B" w:rsidRDefault="0034164B" w:rsidP="00065E37">
      <w:pPr>
        <w:spacing w:after="0" w:line="240" w:lineRule="auto"/>
      </w:pPr>
      <w:r>
        <w:separator/>
      </w:r>
    </w:p>
  </w:endnote>
  <w:endnote w:type="continuationSeparator" w:id="0">
    <w:p w14:paraId="6A8496A9" w14:textId="77777777" w:rsidR="0034164B" w:rsidRDefault="0034164B" w:rsidP="0006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145D0" w14:textId="77777777" w:rsidR="0034164B" w:rsidRDefault="0034164B" w:rsidP="00065E37">
      <w:pPr>
        <w:spacing w:after="0" w:line="240" w:lineRule="auto"/>
      </w:pPr>
      <w:r>
        <w:separator/>
      </w:r>
    </w:p>
  </w:footnote>
  <w:footnote w:type="continuationSeparator" w:id="0">
    <w:p w14:paraId="6B724DAF" w14:textId="77777777" w:rsidR="0034164B" w:rsidRDefault="0034164B" w:rsidP="00065E37">
      <w:pPr>
        <w:spacing w:after="0" w:line="240" w:lineRule="auto"/>
      </w:pPr>
      <w:r>
        <w:continuationSeparator/>
      </w:r>
    </w:p>
  </w:footnote>
  <w:footnote w:id="1">
    <w:p w14:paraId="1A03B823" w14:textId="63A0CCBE" w:rsidR="00944F89" w:rsidRPr="004713F0" w:rsidRDefault="00944F89" w:rsidP="00944F89">
      <w:pPr>
        <w:pStyle w:val="FootnoteText"/>
        <w:jc w:val="both"/>
        <w:rPr>
          <w:rFonts w:ascii="Times New Roman" w:hAnsi="Times New Roman" w:cs="Times New Roman"/>
          <w:sz w:val="18"/>
        </w:rPr>
      </w:pPr>
      <w:r w:rsidRPr="004713F0">
        <w:rPr>
          <w:rStyle w:val="FootnoteReference"/>
          <w:rFonts w:ascii="Times New Roman" w:hAnsi="Times New Roman" w:cs="Times New Roman"/>
          <w:sz w:val="18"/>
        </w:rPr>
        <w:footnoteRef/>
      </w:r>
      <w:r w:rsidRPr="004713F0">
        <w:rPr>
          <w:rFonts w:ascii="Times New Roman" w:hAnsi="Times New Roman" w:cs="Times New Roman"/>
          <w:sz w:val="18"/>
        </w:rPr>
        <w:t xml:space="preserve"> Depending on the organizational structure of banks, the loan officers may be part of</w:t>
      </w:r>
      <w:r w:rsidR="004713F0">
        <w:rPr>
          <w:rFonts w:ascii="Times New Roman" w:hAnsi="Times New Roman" w:cs="Times New Roman"/>
          <w:sz w:val="18"/>
        </w:rPr>
        <w:t xml:space="preserve"> the</w:t>
      </w:r>
      <w:r w:rsidRPr="004713F0">
        <w:rPr>
          <w:rFonts w:ascii="Times New Roman" w:hAnsi="Times New Roman" w:cs="Times New Roman"/>
          <w:sz w:val="18"/>
        </w:rPr>
        <w:t xml:space="preserve"> credit/ risk department, etc. and are responsible for in</w:t>
      </w:r>
      <w:r w:rsidR="004713F0">
        <w:rPr>
          <w:rFonts w:ascii="Times New Roman" w:hAnsi="Times New Roman" w:cs="Times New Roman"/>
          <w:sz w:val="18"/>
        </w:rPr>
        <w:t>-</w:t>
      </w:r>
      <w:r w:rsidRPr="004713F0">
        <w:rPr>
          <w:rFonts w:ascii="Times New Roman" w:hAnsi="Times New Roman" w:cs="Times New Roman"/>
          <w:sz w:val="18"/>
        </w:rPr>
        <w:t>depth monitor</w:t>
      </w:r>
      <w:r w:rsidR="004713F0">
        <w:rPr>
          <w:rFonts w:ascii="Times New Roman" w:hAnsi="Times New Roman" w:cs="Times New Roman"/>
          <w:sz w:val="18"/>
        </w:rPr>
        <w:t>ing</w:t>
      </w:r>
      <w:r w:rsidRPr="004713F0">
        <w:rPr>
          <w:rFonts w:ascii="Times New Roman" w:hAnsi="Times New Roman" w:cs="Times New Roman"/>
          <w:sz w:val="18"/>
        </w:rPr>
        <w:t xml:space="preserve"> of credit developments. </w:t>
      </w:r>
    </w:p>
  </w:footnote>
  <w:footnote w:id="2">
    <w:p w14:paraId="2BA83C41" w14:textId="3D4B7C7A" w:rsidR="00C66669" w:rsidRDefault="00C66669" w:rsidP="001315B8">
      <w:pPr>
        <w:pStyle w:val="FootnoteText"/>
        <w:jc w:val="both"/>
      </w:pPr>
      <w:r w:rsidRPr="001315B8">
        <w:rPr>
          <w:rStyle w:val="FootnoteReference"/>
          <w:rFonts w:ascii="Times New Roman" w:hAnsi="Times New Roman" w:cs="Times New Roman"/>
          <w:sz w:val="18"/>
        </w:rPr>
        <w:footnoteRef/>
      </w:r>
      <w:r w:rsidRPr="001315B8">
        <w:rPr>
          <w:rFonts w:ascii="Times New Roman" w:hAnsi="Times New Roman" w:cs="Times New Roman"/>
          <w:sz w:val="18"/>
        </w:rPr>
        <w:t xml:space="preserve"> In calculating “net percentage”, responses are weighted according to their notation: where “considerably” corresponds to 1, and somewhat to 0.5. In each response</w:t>
      </w:r>
      <w:r w:rsidR="001315B8">
        <w:rPr>
          <w:rFonts w:ascii="Times New Roman" w:hAnsi="Times New Roman" w:cs="Times New Roman"/>
          <w:sz w:val="18"/>
        </w:rPr>
        <w:t>,</w:t>
      </w:r>
      <w:r w:rsidRPr="001315B8">
        <w:rPr>
          <w:rFonts w:ascii="Times New Roman" w:hAnsi="Times New Roman" w:cs="Times New Roman"/>
          <w:sz w:val="18"/>
        </w:rPr>
        <w:t xml:space="preserve"> the market share of the respondent bank is also taken into account.</w:t>
      </w:r>
      <w:r w:rsidRPr="001315B8">
        <w:rPr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E788E"/>
    <w:multiLevelType w:val="hybridMultilevel"/>
    <w:tmpl w:val="4C04BB5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06ED9"/>
    <w:multiLevelType w:val="hybridMultilevel"/>
    <w:tmpl w:val="7B7E21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25"/>
    <w:rsid w:val="00007D46"/>
    <w:rsid w:val="00013324"/>
    <w:rsid w:val="00014C26"/>
    <w:rsid w:val="000179EA"/>
    <w:rsid w:val="00045542"/>
    <w:rsid w:val="00065E37"/>
    <w:rsid w:val="00067192"/>
    <w:rsid w:val="00081E1B"/>
    <w:rsid w:val="000C7F47"/>
    <w:rsid w:val="000E50BC"/>
    <w:rsid w:val="000F0207"/>
    <w:rsid w:val="000F1479"/>
    <w:rsid w:val="001040B5"/>
    <w:rsid w:val="00105DF5"/>
    <w:rsid w:val="00107E03"/>
    <w:rsid w:val="00111381"/>
    <w:rsid w:val="00115FF7"/>
    <w:rsid w:val="001315B8"/>
    <w:rsid w:val="00141D53"/>
    <w:rsid w:val="00142C62"/>
    <w:rsid w:val="001437CF"/>
    <w:rsid w:val="00144E72"/>
    <w:rsid w:val="00167C16"/>
    <w:rsid w:val="00180ED3"/>
    <w:rsid w:val="00181107"/>
    <w:rsid w:val="00184B3F"/>
    <w:rsid w:val="001A2D6F"/>
    <w:rsid w:val="001A4EC0"/>
    <w:rsid w:val="001C7B76"/>
    <w:rsid w:val="001F4B8C"/>
    <w:rsid w:val="00211ABF"/>
    <w:rsid w:val="00212D1A"/>
    <w:rsid w:val="00224F5F"/>
    <w:rsid w:val="0023218D"/>
    <w:rsid w:val="002433AD"/>
    <w:rsid w:val="002436AE"/>
    <w:rsid w:val="002460A1"/>
    <w:rsid w:val="00262DDB"/>
    <w:rsid w:val="0026592B"/>
    <w:rsid w:val="00266DBE"/>
    <w:rsid w:val="00281436"/>
    <w:rsid w:val="002F74CB"/>
    <w:rsid w:val="00300120"/>
    <w:rsid w:val="0030587C"/>
    <w:rsid w:val="00325E73"/>
    <w:rsid w:val="00340BB6"/>
    <w:rsid w:val="0034164B"/>
    <w:rsid w:val="003445F3"/>
    <w:rsid w:val="00377700"/>
    <w:rsid w:val="00382494"/>
    <w:rsid w:val="00396614"/>
    <w:rsid w:val="003B3FFE"/>
    <w:rsid w:val="003B4DD5"/>
    <w:rsid w:val="003C1850"/>
    <w:rsid w:val="003C5390"/>
    <w:rsid w:val="003C78B2"/>
    <w:rsid w:val="003D3078"/>
    <w:rsid w:val="003F55B6"/>
    <w:rsid w:val="0042448C"/>
    <w:rsid w:val="00427E8A"/>
    <w:rsid w:val="004336BA"/>
    <w:rsid w:val="00435CC4"/>
    <w:rsid w:val="0046082C"/>
    <w:rsid w:val="00461A78"/>
    <w:rsid w:val="004713F0"/>
    <w:rsid w:val="004718A5"/>
    <w:rsid w:val="004A15DC"/>
    <w:rsid w:val="004B131E"/>
    <w:rsid w:val="004B2580"/>
    <w:rsid w:val="004E3305"/>
    <w:rsid w:val="00513F3D"/>
    <w:rsid w:val="00522592"/>
    <w:rsid w:val="00525783"/>
    <w:rsid w:val="00525EAD"/>
    <w:rsid w:val="00530B23"/>
    <w:rsid w:val="00532DA3"/>
    <w:rsid w:val="005342F4"/>
    <w:rsid w:val="005463B7"/>
    <w:rsid w:val="005670A1"/>
    <w:rsid w:val="005809D8"/>
    <w:rsid w:val="00582595"/>
    <w:rsid w:val="00583318"/>
    <w:rsid w:val="00593635"/>
    <w:rsid w:val="00596DCE"/>
    <w:rsid w:val="005A48C3"/>
    <w:rsid w:val="005A60D0"/>
    <w:rsid w:val="00611DDE"/>
    <w:rsid w:val="00615113"/>
    <w:rsid w:val="00617106"/>
    <w:rsid w:val="0062577C"/>
    <w:rsid w:val="00661647"/>
    <w:rsid w:val="00663318"/>
    <w:rsid w:val="006A1B2A"/>
    <w:rsid w:val="006D1F92"/>
    <w:rsid w:val="006D4A65"/>
    <w:rsid w:val="006E2417"/>
    <w:rsid w:val="006F35C2"/>
    <w:rsid w:val="006F7466"/>
    <w:rsid w:val="00707C2B"/>
    <w:rsid w:val="00712A0C"/>
    <w:rsid w:val="007164F4"/>
    <w:rsid w:val="00721008"/>
    <w:rsid w:val="007223CB"/>
    <w:rsid w:val="007246FC"/>
    <w:rsid w:val="007432A5"/>
    <w:rsid w:val="0075182D"/>
    <w:rsid w:val="00766C98"/>
    <w:rsid w:val="00782977"/>
    <w:rsid w:val="007872DA"/>
    <w:rsid w:val="00795462"/>
    <w:rsid w:val="007A1662"/>
    <w:rsid w:val="007B1725"/>
    <w:rsid w:val="007B6F9A"/>
    <w:rsid w:val="007D5044"/>
    <w:rsid w:val="007D543F"/>
    <w:rsid w:val="007F52AB"/>
    <w:rsid w:val="00800337"/>
    <w:rsid w:val="008430BA"/>
    <w:rsid w:val="00845016"/>
    <w:rsid w:val="008473A2"/>
    <w:rsid w:val="00866B96"/>
    <w:rsid w:val="00872178"/>
    <w:rsid w:val="008762FB"/>
    <w:rsid w:val="00892FD2"/>
    <w:rsid w:val="008A4829"/>
    <w:rsid w:val="008B41C9"/>
    <w:rsid w:val="008B6130"/>
    <w:rsid w:val="008D4AB4"/>
    <w:rsid w:val="008F4407"/>
    <w:rsid w:val="008F6C1A"/>
    <w:rsid w:val="00903AF6"/>
    <w:rsid w:val="009125B8"/>
    <w:rsid w:val="009226B1"/>
    <w:rsid w:val="009334E7"/>
    <w:rsid w:val="00944F89"/>
    <w:rsid w:val="00953C65"/>
    <w:rsid w:val="009A6BE2"/>
    <w:rsid w:val="009A76C7"/>
    <w:rsid w:val="009B645E"/>
    <w:rsid w:val="009B6FFF"/>
    <w:rsid w:val="009C65F4"/>
    <w:rsid w:val="009D3AF2"/>
    <w:rsid w:val="009D785D"/>
    <w:rsid w:val="009E753A"/>
    <w:rsid w:val="009F15C6"/>
    <w:rsid w:val="009F38F7"/>
    <w:rsid w:val="00A14522"/>
    <w:rsid w:val="00A16DFA"/>
    <w:rsid w:val="00A3565C"/>
    <w:rsid w:val="00A36981"/>
    <w:rsid w:val="00A60E39"/>
    <w:rsid w:val="00A62D8D"/>
    <w:rsid w:val="00A63DE1"/>
    <w:rsid w:val="00A66931"/>
    <w:rsid w:val="00A74889"/>
    <w:rsid w:val="00A80A74"/>
    <w:rsid w:val="00A81698"/>
    <w:rsid w:val="00A82CC2"/>
    <w:rsid w:val="00A870C1"/>
    <w:rsid w:val="00A93A74"/>
    <w:rsid w:val="00A93EB8"/>
    <w:rsid w:val="00A959CF"/>
    <w:rsid w:val="00A95C6B"/>
    <w:rsid w:val="00AA1D6C"/>
    <w:rsid w:val="00AA29ED"/>
    <w:rsid w:val="00AA2CF7"/>
    <w:rsid w:val="00AA546A"/>
    <w:rsid w:val="00AB0F08"/>
    <w:rsid w:val="00AB2846"/>
    <w:rsid w:val="00AB2AA8"/>
    <w:rsid w:val="00AC4D69"/>
    <w:rsid w:val="00AC4DAC"/>
    <w:rsid w:val="00AF2883"/>
    <w:rsid w:val="00AF3BC3"/>
    <w:rsid w:val="00AF6322"/>
    <w:rsid w:val="00AF6A44"/>
    <w:rsid w:val="00B01A5C"/>
    <w:rsid w:val="00B0538C"/>
    <w:rsid w:val="00B21790"/>
    <w:rsid w:val="00B23A33"/>
    <w:rsid w:val="00B320D2"/>
    <w:rsid w:val="00B32452"/>
    <w:rsid w:val="00B374C3"/>
    <w:rsid w:val="00B57B8A"/>
    <w:rsid w:val="00B95EA2"/>
    <w:rsid w:val="00BA5C31"/>
    <w:rsid w:val="00BA7A03"/>
    <w:rsid w:val="00BB1325"/>
    <w:rsid w:val="00BB4F28"/>
    <w:rsid w:val="00BC3511"/>
    <w:rsid w:val="00BC7E0D"/>
    <w:rsid w:val="00BD662B"/>
    <w:rsid w:val="00BE0104"/>
    <w:rsid w:val="00BE541F"/>
    <w:rsid w:val="00BF7383"/>
    <w:rsid w:val="00C06B7B"/>
    <w:rsid w:val="00C103FA"/>
    <w:rsid w:val="00C14B7B"/>
    <w:rsid w:val="00C14BDB"/>
    <w:rsid w:val="00C41462"/>
    <w:rsid w:val="00C53B6A"/>
    <w:rsid w:val="00C54F00"/>
    <w:rsid w:val="00C66669"/>
    <w:rsid w:val="00C7305C"/>
    <w:rsid w:val="00C73941"/>
    <w:rsid w:val="00C90A5D"/>
    <w:rsid w:val="00CA2C7C"/>
    <w:rsid w:val="00CB02E7"/>
    <w:rsid w:val="00CB1E11"/>
    <w:rsid w:val="00CD31B6"/>
    <w:rsid w:val="00CD48AA"/>
    <w:rsid w:val="00D07DB3"/>
    <w:rsid w:val="00D1168F"/>
    <w:rsid w:val="00D2278D"/>
    <w:rsid w:val="00D331B7"/>
    <w:rsid w:val="00D4368C"/>
    <w:rsid w:val="00D47F27"/>
    <w:rsid w:val="00D54B1E"/>
    <w:rsid w:val="00D774E2"/>
    <w:rsid w:val="00D779DB"/>
    <w:rsid w:val="00D950D2"/>
    <w:rsid w:val="00D9541B"/>
    <w:rsid w:val="00D968B3"/>
    <w:rsid w:val="00DC1C85"/>
    <w:rsid w:val="00DC1E25"/>
    <w:rsid w:val="00DD5B7B"/>
    <w:rsid w:val="00DE4096"/>
    <w:rsid w:val="00DE5EB9"/>
    <w:rsid w:val="00E4008D"/>
    <w:rsid w:val="00E4550C"/>
    <w:rsid w:val="00E53FD3"/>
    <w:rsid w:val="00E8169E"/>
    <w:rsid w:val="00E84865"/>
    <w:rsid w:val="00E903D0"/>
    <w:rsid w:val="00EA11AA"/>
    <w:rsid w:val="00EC5594"/>
    <w:rsid w:val="00EF43DD"/>
    <w:rsid w:val="00EF664A"/>
    <w:rsid w:val="00EF6F50"/>
    <w:rsid w:val="00F30590"/>
    <w:rsid w:val="00F4412D"/>
    <w:rsid w:val="00F54EC4"/>
    <w:rsid w:val="00F61355"/>
    <w:rsid w:val="00F7051E"/>
    <w:rsid w:val="00F9170F"/>
    <w:rsid w:val="00FB18F9"/>
    <w:rsid w:val="00FB7EFE"/>
    <w:rsid w:val="00FC52EC"/>
    <w:rsid w:val="00FC54B8"/>
    <w:rsid w:val="00FC5593"/>
    <w:rsid w:val="00FD6CF9"/>
    <w:rsid w:val="00FE009C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D588"/>
  <w15:docId w15:val="{CE5EFAD3-A7F3-4369-BF66-EEAA0886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65E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5E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5E3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334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9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7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1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1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192"/>
    <w:rPr>
      <w:b/>
      <w:bCs/>
      <w:sz w:val="20"/>
      <w:szCs w:val="20"/>
    </w:rPr>
  </w:style>
  <w:style w:type="paragraph" w:customStyle="1" w:styleId="Default">
    <w:name w:val="Default"/>
    <w:rsid w:val="007D54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38D82-D6B4-4AFF-8F7D-00F76C03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Anjeza Gazidede</dc:creator>
  <cp:lastModifiedBy>Arlinda Koleniço</cp:lastModifiedBy>
  <cp:revision>7</cp:revision>
  <cp:lastPrinted>2018-07-19T12:55:00Z</cp:lastPrinted>
  <dcterms:created xsi:type="dcterms:W3CDTF">2018-08-08T06:29:00Z</dcterms:created>
  <dcterms:modified xsi:type="dcterms:W3CDTF">2018-08-08T12:56:00Z</dcterms:modified>
</cp:coreProperties>
</file>