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2DD9D" w14:textId="77777777" w:rsidR="00C91407" w:rsidRPr="003B0B7D" w:rsidRDefault="00C91407" w:rsidP="00BA7B74">
      <w:pPr>
        <w:pStyle w:val="Heading8"/>
        <w:numPr>
          <w:ilvl w:val="0"/>
          <w:numId w:val="0"/>
        </w:numPr>
        <w:jc w:val="center"/>
      </w:pPr>
      <w:bookmarkStart w:id="0" w:name="_Toc173231319"/>
      <w:bookmarkStart w:id="1" w:name="_Toc173231601"/>
      <w:bookmarkStart w:id="2" w:name="_Toc173318942"/>
    </w:p>
    <w:p w14:paraId="377C90A0" w14:textId="77777777" w:rsidR="00DE1D10" w:rsidRPr="0038045B" w:rsidRDefault="00D60C41" w:rsidP="00D4605E">
      <w:pPr>
        <w:spacing w:line="360" w:lineRule="auto"/>
        <w:ind w:right="-540"/>
        <w:jc w:val="center"/>
        <w:rPr>
          <w:b/>
          <w:sz w:val="36"/>
          <w:szCs w:val="36"/>
        </w:rPr>
      </w:pPr>
      <w:bookmarkStart w:id="3" w:name="OLE_LINK3"/>
      <w:bookmarkStart w:id="4" w:name="OLE_LINK4"/>
      <w:r w:rsidRPr="0038045B">
        <w:rPr>
          <w:noProof/>
          <w:lang w:eastAsia="en-US"/>
        </w:rPr>
        <w:drawing>
          <wp:anchor distT="0" distB="0" distL="114300" distR="114300" simplePos="0" relativeHeight="251659264" behindDoc="0" locked="0" layoutInCell="1" allowOverlap="1" wp14:anchorId="6F5BB5CF" wp14:editId="2C5AB2EC">
            <wp:simplePos x="0" y="0"/>
            <wp:positionH relativeFrom="column">
              <wp:posOffset>1871331</wp:posOffset>
            </wp:positionH>
            <wp:positionV relativeFrom="paragraph">
              <wp:posOffset>98233</wp:posOffset>
            </wp:positionV>
            <wp:extent cx="2166620" cy="432435"/>
            <wp:effectExtent l="0" t="0" r="0" b="0"/>
            <wp:wrapThrough wrapText="bothSides">
              <wp:wrapPolygon edited="0">
                <wp:start x="760" y="0"/>
                <wp:lineTo x="0" y="3806"/>
                <wp:lineTo x="0" y="17128"/>
                <wp:lineTo x="760" y="20934"/>
                <wp:lineTo x="3229" y="20934"/>
                <wp:lineTo x="18992" y="18079"/>
                <wp:lineTo x="21461" y="12370"/>
                <wp:lineTo x="21461" y="2855"/>
                <wp:lineTo x="3419" y="0"/>
                <wp:lineTo x="76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620" cy="432435"/>
                    </a:xfrm>
                    <a:prstGeom prst="rect">
                      <a:avLst/>
                    </a:prstGeom>
                    <a:noFill/>
                    <a:ln>
                      <a:noFill/>
                    </a:ln>
                  </pic:spPr>
                </pic:pic>
              </a:graphicData>
            </a:graphic>
          </wp:anchor>
        </w:drawing>
      </w:r>
    </w:p>
    <w:p w14:paraId="40C513A2" w14:textId="77777777" w:rsidR="00C46D9B" w:rsidRPr="0038045B" w:rsidRDefault="00C46D9B" w:rsidP="00D4605E">
      <w:pPr>
        <w:spacing w:line="360" w:lineRule="auto"/>
        <w:ind w:right="-540"/>
        <w:jc w:val="center"/>
        <w:rPr>
          <w:b/>
          <w:sz w:val="36"/>
          <w:szCs w:val="36"/>
        </w:rPr>
      </w:pPr>
    </w:p>
    <w:p w14:paraId="638EF40F" w14:textId="77777777" w:rsidR="00D60C41" w:rsidRPr="0038045B" w:rsidRDefault="00D60C41" w:rsidP="00112C4B">
      <w:pPr>
        <w:spacing w:line="360" w:lineRule="auto"/>
        <w:ind w:right="-540"/>
        <w:jc w:val="center"/>
        <w:rPr>
          <w:b/>
          <w:sz w:val="36"/>
          <w:szCs w:val="36"/>
        </w:rPr>
      </w:pPr>
      <w:bookmarkStart w:id="5" w:name="_Toc475122295"/>
      <w:bookmarkStart w:id="6" w:name="_Toc476239692"/>
    </w:p>
    <w:p w14:paraId="7E35C4DA" w14:textId="77777777" w:rsidR="00D60C41" w:rsidRPr="0038045B" w:rsidRDefault="00D60C41" w:rsidP="00112C4B">
      <w:pPr>
        <w:spacing w:line="360" w:lineRule="auto"/>
        <w:ind w:right="-540"/>
        <w:jc w:val="center"/>
        <w:rPr>
          <w:b/>
          <w:sz w:val="36"/>
          <w:szCs w:val="36"/>
        </w:rPr>
      </w:pPr>
    </w:p>
    <w:p w14:paraId="6FCDE47D" w14:textId="77777777" w:rsidR="00D60C41" w:rsidRPr="0038045B" w:rsidRDefault="00D60C41" w:rsidP="00112C4B">
      <w:pPr>
        <w:spacing w:line="360" w:lineRule="auto"/>
        <w:ind w:right="-540"/>
        <w:jc w:val="center"/>
        <w:rPr>
          <w:b/>
          <w:sz w:val="36"/>
          <w:szCs w:val="36"/>
        </w:rPr>
      </w:pPr>
    </w:p>
    <w:p w14:paraId="48C39502" w14:textId="77777777" w:rsidR="00D60C41" w:rsidRPr="0038045B" w:rsidRDefault="00D60C41" w:rsidP="00112C4B">
      <w:pPr>
        <w:spacing w:line="360" w:lineRule="auto"/>
        <w:ind w:right="-540"/>
        <w:jc w:val="center"/>
        <w:rPr>
          <w:b/>
          <w:sz w:val="36"/>
          <w:szCs w:val="36"/>
        </w:rPr>
      </w:pPr>
    </w:p>
    <w:p w14:paraId="12384279" w14:textId="77777777" w:rsidR="00D60C41" w:rsidRPr="0038045B" w:rsidRDefault="00D60C41" w:rsidP="00112C4B">
      <w:pPr>
        <w:spacing w:line="360" w:lineRule="auto"/>
        <w:ind w:right="-540"/>
        <w:jc w:val="center"/>
        <w:rPr>
          <w:b/>
          <w:sz w:val="36"/>
          <w:szCs w:val="36"/>
        </w:rPr>
      </w:pPr>
    </w:p>
    <w:p w14:paraId="135AE025" w14:textId="77777777" w:rsidR="00D60C41" w:rsidRPr="0038045B" w:rsidRDefault="00D60C41" w:rsidP="00112C4B">
      <w:pPr>
        <w:spacing w:line="360" w:lineRule="auto"/>
        <w:ind w:right="-540"/>
        <w:jc w:val="center"/>
        <w:rPr>
          <w:b/>
          <w:sz w:val="36"/>
          <w:szCs w:val="36"/>
        </w:rPr>
      </w:pPr>
    </w:p>
    <w:p w14:paraId="2055AA29" w14:textId="77777777" w:rsidR="00C46D9B" w:rsidRPr="0038045B" w:rsidRDefault="00C46D9B" w:rsidP="00BB3C66">
      <w:pPr>
        <w:keepNext/>
        <w:spacing w:before="120" w:line="312" w:lineRule="auto"/>
        <w:jc w:val="center"/>
        <w:outlineLvl w:val="1"/>
        <w:rPr>
          <w:smallCaps/>
          <w:sz w:val="48"/>
          <w:szCs w:val="48"/>
          <w:lang w:eastAsia="en-US"/>
        </w:rPr>
      </w:pPr>
      <w:r w:rsidRPr="0038045B">
        <w:rPr>
          <w:smallCaps/>
          <w:sz w:val="48"/>
          <w:szCs w:val="48"/>
          <w:lang w:eastAsia="en-US"/>
        </w:rPr>
        <w:t>ACHIEVING EF</w:t>
      </w:r>
      <w:r w:rsidR="00F95D16" w:rsidRPr="0038045B">
        <w:rPr>
          <w:smallCaps/>
          <w:sz w:val="48"/>
          <w:szCs w:val="48"/>
          <w:lang w:eastAsia="en-US"/>
        </w:rPr>
        <w:t>F</w:t>
      </w:r>
      <w:r w:rsidRPr="0038045B">
        <w:rPr>
          <w:smallCaps/>
          <w:sz w:val="48"/>
          <w:szCs w:val="48"/>
          <w:lang w:eastAsia="en-US"/>
        </w:rPr>
        <w:t xml:space="preserve">ECTIVE FINANCIAL INCLUSION IN </w:t>
      </w:r>
      <w:r w:rsidR="005A3769" w:rsidRPr="0038045B">
        <w:rPr>
          <w:smallCaps/>
          <w:sz w:val="48"/>
          <w:szCs w:val="48"/>
          <w:lang w:eastAsia="en-US"/>
        </w:rPr>
        <w:t>ALBANIA</w:t>
      </w:r>
      <w:r w:rsidRPr="0038045B">
        <w:rPr>
          <w:smallCaps/>
          <w:sz w:val="48"/>
          <w:szCs w:val="48"/>
          <w:lang w:eastAsia="en-US"/>
        </w:rPr>
        <w:t xml:space="preserve">: </w:t>
      </w:r>
      <w:r w:rsidR="00BB3C66" w:rsidRPr="0038045B">
        <w:rPr>
          <w:smallCaps/>
          <w:sz w:val="48"/>
          <w:szCs w:val="48"/>
          <w:lang w:eastAsia="en-US"/>
        </w:rPr>
        <w:br/>
      </w:r>
      <w:r w:rsidRPr="0038045B">
        <w:rPr>
          <w:smallCaps/>
          <w:sz w:val="48"/>
          <w:szCs w:val="48"/>
          <w:lang w:eastAsia="en-US"/>
        </w:rPr>
        <w:t>A PAYMENTS PERSPECTIVE</w:t>
      </w:r>
      <w:bookmarkEnd w:id="5"/>
      <w:bookmarkEnd w:id="6"/>
    </w:p>
    <w:p w14:paraId="116D9BA6" w14:textId="77777777" w:rsidR="00277842" w:rsidRPr="0038045B" w:rsidRDefault="00277842" w:rsidP="00D4605E">
      <w:pPr>
        <w:spacing w:line="360" w:lineRule="auto"/>
        <w:ind w:right="-540"/>
        <w:jc w:val="center"/>
        <w:rPr>
          <w:b/>
          <w:sz w:val="36"/>
          <w:szCs w:val="36"/>
        </w:rPr>
      </w:pPr>
    </w:p>
    <w:p w14:paraId="34F8DDFC" w14:textId="77777777" w:rsidR="00BB3C66" w:rsidRPr="0038045B" w:rsidRDefault="00BB3C66" w:rsidP="00D4605E">
      <w:pPr>
        <w:spacing w:line="360" w:lineRule="auto"/>
        <w:ind w:right="-540"/>
        <w:jc w:val="center"/>
        <w:rPr>
          <w:b/>
          <w:sz w:val="36"/>
          <w:szCs w:val="36"/>
        </w:rPr>
      </w:pPr>
    </w:p>
    <w:p w14:paraId="4A68EC9B" w14:textId="77777777" w:rsidR="00277842" w:rsidRPr="0038045B" w:rsidRDefault="00396610" w:rsidP="00BB3C66">
      <w:pPr>
        <w:keepNext/>
        <w:spacing w:before="120"/>
        <w:jc w:val="center"/>
        <w:outlineLvl w:val="2"/>
        <w:rPr>
          <w:smallCaps/>
          <w:sz w:val="36"/>
          <w:lang w:eastAsia="en-US"/>
        </w:rPr>
      </w:pPr>
      <w:bookmarkStart w:id="7" w:name="_Toc475122296"/>
      <w:bookmarkStart w:id="8" w:name="_Toc476239693"/>
      <w:r w:rsidRPr="0038045B">
        <w:rPr>
          <w:smallCaps/>
          <w:sz w:val="36"/>
          <w:lang w:eastAsia="en-US"/>
        </w:rPr>
        <w:t>March 2017</w:t>
      </w:r>
      <w:bookmarkEnd w:id="7"/>
      <w:bookmarkEnd w:id="8"/>
    </w:p>
    <w:p w14:paraId="3649CAE7" w14:textId="77777777" w:rsidR="00277842" w:rsidRPr="0038045B" w:rsidRDefault="00277842" w:rsidP="00D4605E">
      <w:pPr>
        <w:spacing w:line="360" w:lineRule="auto"/>
        <w:ind w:right="-540"/>
        <w:jc w:val="center"/>
        <w:rPr>
          <w:b/>
          <w:sz w:val="36"/>
          <w:szCs w:val="36"/>
        </w:rPr>
      </w:pPr>
    </w:p>
    <w:p w14:paraId="47F9DC87" w14:textId="77777777" w:rsidR="00277842" w:rsidRPr="0038045B" w:rsidRDefault="00277842" w:rsidP="00D4605E">
      <w:pPr>
        <w:spacing w:line="360" w:lineRule="auto"/>
        <w:ind w:right="-540"/>
        <w:jc w:val="center"/>
        <w:rPr>
          <w:b/>
          <w:sz w:val="36"/>
          <w:szCs w:val="36"/>
        </w:rPr>
      </w:pPr>
    </w:p>
    <w:p w14:paraId="578E145D" w14:textId="77777777" w:rsidR="00277842" w:rsidRPr="0038045B" w:rsidRDefault="00277842" w:rsidP="00D4605E">
      <w:pPr>
        <w:spacing w:line="360" w:lineRule="auto"/>
        <w:ind w:right="-540"/>
        <w:jc w:val="center"/>
        <w:rPr>
          <w:b/>
          <w:sz w:val="36"/>
          <w:szCs w:val="36"/>
        </w:rPr>
      </w:pPr>
    </w:p>
    <w:p w14:paraId="00B00E27" w14:textId="77777777" w:rsidR="00277842" w:rsidRPr="0038045B" w:rsidRDefault="00277842" w:rsidP="00D4605E">
      <w:pPr>
        <w:spacing w:line="360" w:lineRule="auto"/>
        <w:ind w:right="-540"/>
        <w:jc w:val="center"/>
        <w:rPr>
          <w:b/>
          <w:sz w:val="36"/>
          <w:szCs w:val="36"/>
        </w:rPr>
      </w:pPr>
    </w:p>
    <w:bookmarkEnd w:id="3"/>
    <w:bookmarkEnd w:id="4"/>
    <w:p w14:paraId="7D1BA3E3" w14:textId="77777777" w:rsidR="00E74EEE" w:rsidRPr="0038045B" w:rsidRDefault="00E74EEE" w:rsidP="00D4605E">
      <w:pPr>
        <w:spacing w:line="360" w:lineRule="auto"/>
        <w:ind w:right="-540"/>
        <w:jc w:val="center"/>
        <w:rPr>
          <w:b/>
          <w:sz w:val="32"/>
          <w:szCs w:val="32"/>
        </w:rPr>
      </w:pPr>
    </w:p>
    <w:p w14:paraId="286B44BD" w14:textId="77777777" w:rsidR="00D81974" w:rsidRPr="0038045B" w:rsidRDefault="00D81974" w:rsidP="00D4605E">
      <w:pPr>
        <w:spacing w:line="360" w:lineRule="auto"/>
        <w:jc w:val="center"/>
        <w:sectPr w:rsidR="00D81974" w:rsidRPr="0038045B" w:rsidSect="00D13CD7">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docGrid w:linePitch="326"/>
        </w:sectPr>
      </w:pPr>
    </w:p>
    <w:p w14:paraId="3638BCAF" w14:textId="77777777" w:rsidR="00D81974" w:rsidRPr="0038045B" w:rsidRDefault="00D81974" w:rsidP="00D4605E">
      <w:pPr>
        <w:pStyle w:val="BodyText3"/>
        <w:jc w:val="center"/>
        <w:rPr>
          <w:b/>
          <w:sz w:val="28"/>
        </w:rPr>
      </w:pPr>
    </w:p>
    <w:p w14:paraId="39AB5DFE" w14:textId="77777777" w:rsidR="00D81974" w:rsidRPr="0038045B" w:rsidRDefault="00D81974" w:rsidP="00D4605E">
      <w:pPr>
        <w:pStyle w:val="BodyText3"/>
        <w:jc w:val="center"/>
        <w:rPr>
          <w:b/>
          <w:sz w:val="28"/>
        </w:rPr>
      </w:pPr>
      <w:r w:rsidRPr="0038045B">
        <w:rPr>
          <w:b/>
          <w:sz w:val="28"/>
        </w:rPr>
        <w:t>TABLE OF CONTENTS</w:t>
      </w:r>
    </w:p>
    <w:p w14:paraId="7E4199A2" w14:textId="77777777" w:rsidR="00D81974" w:rsidRPr="0038045B" w:rsidRDefault="00D81974" w:rsidP="00D4605E">
      <w:pPr>
        <w:pStyle w:val="Body"/>
        <w:spacing w:line="360" w:lineRule="auto"/>
        <w:ind w:firstLine="0"/>
        <w:jc w:val="center"/>
        <w:rPr>
          <w:b/>
          <w:bCs/>
          <w:sz w:val="28"/>
          <w:szCs w:val="28"/>
          <w:lang w:val="en-US"/>
        </w:rPr>
      </w:pPr>
    </w:p>
    <w:sdt>
      <w:sdtPr>
        <w:rPr>
          <w:sz w:val="24"/>
        </w:rPr>
        <w:id w:val="-2105104347"/>
        <w:docPartObj>
          <w:docPartGallery w:val="Table of Contents"/>
          <w:docPartUnique/>
        </w:docPartObj>
      </w:sdtPr>
      <w:sdtEndPr>
        <w:rPr>
          <w:b/>
          <w:bCs/>
          <w:sz w:val="22"/>
          <w:szCs w:val="22"/>
        </w:rPr>
      </w:sdtEndPr>
      <w:sdtContent>
        <w:p w14:paraId="35AFDD2E" w14:textId="77777777" w:rsidR="000307EC" w:rsidRPr="0038045B" w:rsidRDefault="003C3490">
          <w:pPr>
            <w:pStyle w:val="TOC2"/>
            <w:rPr>
              <w:rFonts w:eastAsiaTheme="minorEastAsia"/>
              <w:noProof/>
              <w:szCs w:val="22"/>
              <w:lang w:eastAsia="en-US"/>
            </w:rPr>
          </w:pPr>
          <w:r w:rsidRPr="0038045B">
            <w:rPr>
              <w:szCs w:val="22"/>
            </w:rPr>
            <w:fldChar w:fldCharType="begin"/>
          </w:r>
          <w:r w:rsidRPr="0038045B">
            <w:rPr>
              <w:szCs w:val="22"/>
            </w:rPr>
            <w:instrText xml:space="preserve"> TOC \o "1-3" \h \z \u </w:instrText>
          </w:r>
          <w:r w:rsidRPr="0038045B">
            <w:rPr>
              <w:szCs w:val="22"/>
            </w:rPr>
            <w:fldChar w:fldCharType="separate"/>
          </w:r>
          <w:hyperlink w:anchor="_Toc476239692" w:history="1">
            <w:r w:rsidR="000307EC" w:rsidRPr="0038045B">
              <w:rPr>
                <w:rStyle w:val="Hyperlink"/>
                <w:smallCaps/>
                <w:noProof/>
                <w:szCs w:val="22"/>
                <w:lang w:eastAsia="en-US"/>
              </w:rPr>
              <w:t>ACHIEVING EFFECTIVE FINANCIAL INCLUSION IN ALBANIA:  A PAYMENTS PERSPECTIVE</w:t>
            </w:r>
            <w:r w:rsidR="000307EC" w:rsidRPr="0038045B">
              <w:rPr>
                <w:noProof/>
                <w:webHidden/>
                <w:szCs w:val="22"/>
              </w:rPr>
              <w:tab/>
            </w:r>
            <w:r w:rsidR="000307EC" w:rsidRPr="0038045B">
              <w:rPr>
                <w:noProof/>
                <w:webHidden/>
                <w:szCs w:val="22"/>
              </w:rPr>
              <w:fldChar w:fldCharType="begin"/>
            </w:r>
            <w:r w:rsidR="000307EC" w:rsidRPr="0038045B">
              <w:rPr>
                <w:noProof/>
                <w:webHidden/>
                <w:szCs w:val="22"/>
              </w:rPr>
              <w:instrText xml:space="preserve"> PAGEREF _Toc476239692 \h </w:instrText>
            </w:r>
            <w:r w:rsidR="000307EC" w:rsidRPr="0038045B">
              <w:rPr>
                <w:noProof/>
                <w:webHidden/>
                <w:szCs w:val="22"/>
              </w:rPr>
            </w:r>
            <w:r w:rsidR="000307EC" w:rsidRPr="0038045B">
              <w:rPr>
                <w:noProof/>
                <w:webHidden/>
                <w:szCs w:val="22"/>
              </w:rPr>
              <w:fldChar w:fldCharType="separate"/>
            </w:r>
            <w:r w:rsidR="005032F9">
              <w:rPr>
                <w:noProof/>
                <w:webHidden/>
                <w:szCs w:val="22"/>
              </w:rPr>
              <w:t>1</w:t>
            </w:r>
            <w:r w:rsidR="000307EC" w:rsidRPr="0038045B">
              <w:rPr>
                <w:noProof/>
                <w:webHidden/>
                <w:szCs w:val="22"/>
              </w:rPr>
              <w:fldChar w:fldCharType="end"/>
            </w:r>
          </w:hyperlink>
        </w:p>
        <w:p w14:paraId="36C4F4F8" w14:textId="77777777" w:rsidR="000307EC" w:rsidRPr="0038045B" w:rsidRDefault="00267829">
          <w:pPr>
            <w:pStyle w:val="TOC3"/>
            <w:tabs>
              <w:tab w:val="right" w:leader="dot" w:pos="8630"/>
            </w:tabs>
            <w:rPr>
              <w:rFonts w:eastAsiaTheme="minorEastAsia"/>
              <w:noProof/>
              <w:sz w:val="22"/>
              <w:szCs w:val="22"/>
              <w:lang w:eastAsia="en-US"/>
            </w:rPr>
          </w:pPr>
          <w:hyperlink w:anchor="_Toc476239693" w:history="1">
            <w:r w:rsidR="000307EC" w:rsidRPr="0038045B">
              <w:rPr>
                <w:rStyle w:val="Hyperlink"/>
                <w:smallCaps/>
                <w:noProof/>
                <w:sz w:val="22"/>
                <w:szCs w:val="22"/>
                <w:lang w:eastAsia="en-US"/>
              </w:rPr>
              <w:t>March 2017</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_Toc476239693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1</w:t>
            </w:r>
            <w:r w:rsidR="000307EC" w:rsidRPr="0038045B">
              <w:rPr>
                <w:noProof/>
                <w:webHidden/>
                <w:sz w:val="22"/>
                <w:szCs w:val="22"/>
              </w:rPr>
              <w:fldChar w:fldCharType="end"/>
            </w:r>
          </w:hyperlink>
        </w:p>
        <w:p w14:paraId="3CF69DF8" w14:textId="77777777" w:rsidR="000307EC" w:rsidRPr="0038045B" w:rsidRDefault="00267829">
          <w:pPr>
            <w:pStyle w:val="TOC1"/>
            <w:rPr>
              <w:rFonts w:eastAsiaTheme="minorEastAsia"/>
              <w:b w:val="0"/>
              <w:szCs w:val="22"/>
              <w:lang w:eastAsia="en-US"/>
            </w:rPr>
          </w:pPr>
          <w:hyperlink w:anchor="_Toc476239694" w:history="1">
            <w:r w:rsidR="000307EC" w:rsidRPr="0038045B">
              <w:rPr>
                <w:rStyle w:val="Hyperlink"/>
                <w:szCs w:val="22"/>
              </w:rPr>
              <w:t>ACRONYMS AND ABBREVIATIONS</w:t>
            </w:r>
            <w:r w:rsidR="000307EC" w:rsidRPr="0038045B">
              <w:rPr>
                <w:webHidden/>
                <w:szCs w:val="22"/>
              </w:rPr>
              <w:tab/>
            </w:r>
            <w:r w:rsidR="000307EC" w:rsidRPr="0038045B">
              <w:rPr>
                <w:webHidden/>
                <w:szCs w:val="22"/>
              </w:rPr>
              <w:fldChar w:fldCharType="begin"/>
            </w:r>
            <w:r w:rsidR="000307EC" w:rsidRPr="0038045B">
              <w:rPr>
                <w:webHidden/>
                <w:szCs w:val="22"/>
              </w:rPr>
              <w:instrText xml:space="preserve"> PAGEREF _Toc476239694 \h </w:instrText>
            </w:r>
            <w:r w:rsidR="000307EC" w:rsidRPr="0038045B">
              <w:rPr>
                <w:webHidden/>
                <w:szCs w:val="22"/>
              </w:rPr>
            </w:r>
            <w:r w:rsidR="000307EC" w:rsidRPr="0038045B">
              <w:rPr>
                <w:webHidden/>
                <w:szCs w:val="22"/>
              </w:rPr>
              <w:fldChar w:fldCharType="separate"/>
            </w:r>
            <w:r w:rsidR="005032F9">
              <w:rPr>
                <w:webHidden/>
                <w:szCs w:val="22"/>
              </w:rPr>
              <w:t>3</w:t>
            </w:r>
            <w:r w:rsidR="000307EC" w:rsidRPr="0038045B">
              <w:rPr>
                <w:webHidden/>
                <w:szCs w:val="22"/>
              </w:rPr>
              <w:fldChar w:fldCharType="end"/>
            </w:r>
          </w:hyperlink>
        </w:p>
        <w:p w14:paraId="5C16FEB2" w14:textId="77777777" w:rsidR="000307EC" w:rsidRPr="0038045B" w:rsidRDefault="00267829">
          <w:pPr>
            <w:pStyle w:val="TOC1"/>
            <w:rPr>
              <w:rFonts w:eastAsiaTheme="minorEastAsia"/>
              <w:b w:val="0"/>
              <w:szCs w:val="22"/>
              <w:lang w:eastAsia="en-US"/>
            </w:rPr>
          </w:pPr>
          <w:hyperlink w:anchor="_Toc476239695" w:history="1">
            <w:r w:rsidR="000307EC" w:rsidRPr="0038045B">
              <w:rPr>
                <w:rStyle w:val="Hyperlink"/>
                <w:szCs w:val="22"/>
              </w:rPr>
              <w:t>EXECUTIVE SUMMARY</w:t>
            </w:r>
            <w:r w:rsidR="000307EC" w:rsidRPr="0038045B">
              <w:rPr>
                <w:webHidden/>
                <w:szCs w:val="22"/>
              </w:rPr>
              <w:tab/>
            </w:r>
            <w:r w:rsidR="000307EC" w:rsidRPr="0038045B">
              <w:rPr>
                <w:webHidden/>
                <w:szCs w:val="22"/>
              </w:rPr>
              <w:fldChar w:fldCharType="begin"/>
            </w:r>
            <w:r w:rsidR="000307EC" w:rsidRPr="0038045B">
              <w:rPr>
                <w:webHidden/>
                <w:szCs w:val="22"/>
              </w:rPr>
              <w:instrText xml:space="preserve"> PAGEREF _Toc476239695 \h </w:instrText>
            </w:r>
            <w:r w:rsidR="000307EC" w:rsidRPr="0038045B">
              <w:rPr>
                <w:webHidden/>
                <w:szCs w:val="22"/>
              </w:rPr>
            </w:r>
            <w:r w:rsidR="000307EC" w:rsidRPr="0038045B">
              <w:rPr>
                <w:webHidden/>
                <w:szCs w:val="22"/>
              </w:rPr>
              <w:fldChar w:fldCharType="separate"/>
            </w:r>
            <w:r w:rsidR="005032F9">
              <w:rPr>
                <w:webHidden/>
                <w:szCs w:val="22"/>
              </w:rPr>
              <w:t>5</w:t>
            </w:r>
            <w:r w:rsidR="000307EC" w:rsidRPr="0038045B">
              <w:rPr>
                <w:webHidden/>
                <w:szCs w:val="22"/>
              </w:rPr>
              <w:fldChar w:fldCharType="end"/>
            </w:r>
          </w:hyperlink>
        </w:p>
        <w:p w14:paraId="7935D711" w14:textId="77777777" w:rsidR="000307EC" w:rsidRPr="0038045B" w:rsidRDefault="00267829">
          <w:pPr>
            <w:pStyle w:val="TOC1"/>
            <w:rPr>
              <w:rFonts w:eastAsiaTheme="minorEastAsia"/>
              <w:b w:val="0"/>
              <w:szCs w:val="22"/>
              <w:lang w:eastAsia="en-US"/>
            </w:rPr>
          </w:pPr>
          <w:hyperlink w:anchor="_Toc476239696" w:history="1">
            <w:r w:rsidR="000307EC" w:rsidRPr="0038045B">
              <w:rPr>
                <w:rStyle w:val="Hyperlink"/>
                <w:szCs w:val="22"/>
              </w:rPr>
              <w:t>PAFI ASSESSMENT REPORT</w:t>
            </w:r>
            <w:r w:rsidR="000307EC" w:rsidRPr="0038045B">
              <w:rPr>
                <w:webHidden/>
                <w:szCs w:val="22"/>
              </w:rPr>
              <w:tab/>
            </w:r>
            <w:r w:rsidR="000307EC" w:rsidRPr="0038045B">
              <w:rPr>
                <w:webHidden/>
                <w:szCs w:val="22"/>
              </w:rPr>
              <w:fldChar w:fldCharType="begin"/>
            </w:r>
            <w:r w:rsidR="000307EC" w:rsidRPr="0038045B">
              <w:rPr>
                <w:webHidden/>
                <w:szCs w:val="22"/>
              </w:rPr>
              <w:instrText xml:space="preserve"> PAGEREF _Toc476239696 \h </w:instrText>
            </w:r>
            <w:r w:rsidR="000307EC" w:rsidRPr="0038045B">
              <w:rPr>
                <w:webHidden/>
                <w:szCs w:val="22"/>
              </w:rPr>
            </w:r>
            <w:r w:rsidR="000307EC" w:rsidRPr="0038045B">
              <w:rPr>
                <w:webHidden/>
                <w:szCs w:val="22"/>
              </w:rPr>
              <w:fldChar w:fldCharType="separate"/>
            </w:r>
            <w:r w:rsidR="005032F9">
              <w:rPr>
                <w:webHidden/>
                <w:szCs w:val="22"/>
              </w:rPr>
              <w:t>12</w:t>
            </w:r>
            <w:r w:rsidR="000307EC" w:rsidRPr="0038045B">
              <w:rPr>
                <w:webHidden/>
                <w:szCs w:val="22"/>
              </w:rPr>
              <w:fldChar w:fldCharType="end"/>
            </w:r>
          </w:hyperlink>
        </w:p>
        <w:p w14:paraId="2188904D" w14:textId="77777777" w:rsidR="000307EC" w:rsidRPr="0038045B" w:rsidRDefault="00267829">
          <w:pPr>
            <w:pStyle w:val="TOC1"/>
            <w:rPr>
              <w:rFonts w:eastAsiaTheme="minorEastAsia"/>
              <w:b w:val="0"/>
              <w:szCs w:val="22"/>
              <w:lang w:eastAsia="en-US"/>
            </w:rPr>
          </w:pPr>
          <w:hyperlink w:anchor="_Toc476239697" w:history="1">
            <w:r w:rsidR="000307EC" w:rsidRPr="0038045B">
              <w:rPr>
                <w:rStyle w:val="Hyperlink"/>
                <w:szCs w:val="22"/>
              </w:rPr>
              <w:t>1</w:t>
            </w:r>
            <w:r w:rsidR="000307EC" w:rsidRPr="0038045B">
              <w:rPr>
                <w:rFonts w:eastAsiaTheme="minorEastAsia"/>
                <w:b w:val="0"/>
                <w:szCs w:val="22"/>
                <w:lang w:eastAsia="en-US"/>
              </w:rPr>
              <w:tab/>
            </w:r>
            <w:r w:rsidR="000307EC" w:rsidRPr="0038045B">
              <w:rPr>
                <w:rStyle w:val="Hyperlink"/>
                <w:szCs w:val="22"/>
              </w:rPr>
              <w:t>INTRODUCTION</w:t>
            </w:r>
            <w:r w:rsidR="000307EC" w:rsidRPr="0038045B">
              <w:rPr>
                <w:webHidden/>
                <w:szCs w:val="22"/>
              </w:rPr>
              <w:tab/>
            </w:r>
            <w:r w:rsidR="000307EC" w:rsidRPr="0038045B">
              <w:rPr>
                <w:webHidden/>
                <w:szCs w:val="22"/>
              </w:rPr>
              <w:fldChar w:fldCharType="begin"/>
            </w:r>
            <w:r w:rsidR="000307EC" w:rsidRPr="0038045B">
              <w:rPr>
                <w:webHidden/>
                <w:szCs w:val="22"/>
              </w:rPr>
              <w:instrText xml:space="preserve"> PAGEREF _Toc476239697 \h </w:instrText>
            </w:r>
            <w:r w:rsidR="000307EC" w:rsidRPr="0038045B">
              <w:rPr>
                <w:webHidden/>
                <w:szCs w:val="22"/>
              </w:rPr>
            </w:r>
            <w:r w:rsidR="000307EC" w:rsidRPr="0038045B">
              <w:rPr>
                <w:webHidden/>
                <w:szCs w:val="22"/>
              </w:rPr>
              <w:fldChar w:fldCharType="separate"/>
            </w:r>
            <w:r w:rsidR="005032F9">
              <w:rPr>
                <w:webHidden/>
                <w:szCs w:val="22"/>
              </w:rPr>
              <w:t>12</w:t>
            </w:r>
            <w:r w:rsidR="000307EC" w:rsidRPr="0038045B">
              <w:rPr>
                <w:webHidden/>
                <w:szCs w:val="22"/>
              </w:rPr>
              <w:fldChar w:fldCharType="end"/>
            </w:r>
          </w:hyperlink>
        </w:p>
        <w:p w14:paraId="0F14ADD2" w14:textId="77777777" w:rsidR="000307EC" w:rsidRPr="0038045B" w:rsidRDefault="00267829">
          <w:pPr>
            <w:pStyle w:val="TOC1"/>
            <w:rPr>
              <w:rFonts w:eastAsiaTheme="minorEastAsia"/>
              <w:b w:val="0"/>
              <w:szCs w:val="22"/>
              <w:lang w:eastAsia="en-US"/>
            </w:rPr>
          </w:pPr>
          <w:hyperlink w:anchor="_Toc476239698" w:history="1">
            <w:r w:rsidR="000307EC" w:rsidRPr="0038045B">
              <w:rPr>
                <w:rStyle w:val="Hyperlink"/>
                <w:szCs w:val="22"/>
              </w:rPr>
              <w:t>2</w:t>
            </w:r>
            <w:r w:rsidR="000307EC" w:rsidRPr="0038045B">
              <w:rPr>
                <w:rFonts w:eastAsiaTheme="minorEastAsia"/>
                <w:b w:val="0"/>
                <w:szCs w:val="22"/>
                <w:lang w:eastAsia="en-US"/>
              </w:rPr>
              <w:tab/>
            </w:r>
            <w:r w:rsidR="000307EC" w:rsidRPr="0038045B">
              <w:rPr>
                <w:rStyle w:val="Hyperlink"/>
                <w:szCs w:val="22"/>
              </w:rPr>
              <w:t>CONTEXT</w:t>
            </w:r>
            <w:r w:rsidR="000307EC" w:rsidRPr="0038045B">
              <w:rPr>
                <w:webHidden/>
                <w:szCs w:val="22"/>
              </w:rPr>
              <w:tab/>
            </w:r>
            <w:r w:rsidR="000307EC" w:rsidRPr="0038045B">
              <w:rPr>
                <w:webHidden/>
                <w:szCs w:val="22"/>
              </w:rPr>
              <w:fldChar w:fldCharType="begin"/>
            </w:r>
            <w:r w:rsidR="000307EC" w:rsidRPr="0038045B">
              <w:rPr>
                <w:webHidden/>
                <w:szCs w:val="22"/>
              </w:rPr>
              <w:instrText xml:space="preserve"> PAGEREF _Toc476239698 \h </w:instrText>
            </w:r>
            <w:r w:rsidR="000307EC" w:rsidRPr="0038045B">
              <w:rPr>
                <w:webHidden/>
                <w:szCs w:val="22"/>
              </w:rPr>
            </w:r>
            <w:r w:rsidR="000307EC" w:rsidRPr="0038045B">
              <w:rPr>
                <w:webHidden/>
                <w:szCs w:val="22"/>
              </w:rPr>
              <w:fldChar w:fldCharType="separate"/>
            </w:r>
            <w:r w:rsidR="005032F9">
              <w:rPr>
                <w:webHidden/>
                <w:szCs w:val="22"/>
              </w:rPr>
              <w:t>14</w:t>
            </w:r>
            <w:r w:rsidR="000307EC" w:rsidRPr="0038045B">
              <w:rPr>
                <w:webHidden/>
                <w:szCs w:val="22"/>
              </w:rPr>
              <w:fldChar w:fldCharType="end"/>
            </w:r>
          </w:hyperlink>
        </w:p>
        <w:p w14:paraId="275D0E95" w14:textId="77777777" w:rsidR="000307EC" w:rsidRPr="0038045B" w:rsidRDefault="00267829">
          <w:pPr>
            <w:pStyle w:val="TOC2"/>
            <w:rPr>
              <w:rFonts w:eastAsiaTheme="minorEastAsia"/>
              <w:noProof/>
              <w:szCs w:val="22"/>
              <w:lang w:eastAsia="en-US"/>
            </w:rPr>
          </w:pPr>
          <w:hyperlink w:anchor="_Toc476239699" w:history="1">
            <w:r w:rsidR="000307EC" w:rsidRPr="0038045B">
              <w:rPr>
                <w:rStyle w:val="Hyperlink"/>
                <w:b/>
                <w:smallCaps/>
                <w:noProof/>
                <w:szCs w:val="22"/>
              </w:rPr>
              <w:t>2.1</w:t>
            </w:r>
            <w:r w:rsidR="000307EC" w:rsidRPr="0038045B">
              <w:rPr>
                <w:rFonts w:eastAsiaTheme="minorEastAsia"/>
                <w:noProof/>
                <w:szCs w:val="22"/>
                <w:lang w:eastAsia="en-US"/>
              </w:rPr>
              <w:tab/>
            </w:r>
            <w:r w:rsidR="000307EC" w:rsidRPr="0038045B">
              <w:rPr>
                <w:rStyle w:val="Hyperlink"/>
                <w:b/>
                <w:smallCaps/>
                <w:noProof/>
                <w:szCs w:val="22"/>
              </w:rPr>
              <w:t>General economic and socio-demographic context</w:t>
            </w:r>
            <w:r w:rsidR="000307EC" w:rsidRPr="0038045B">
              <w:rPr>
                <w:noProof/>
                <w:webHidden/>
                <w:szCs w:val="22"/>
              </w:rPr>
              <w:tab/>
            </w:r>
            <w:r w:rsidR="000307EC" w:rsidRPr="0038045B">
              <w:rPr>
                <w:noProof/>
                <w:webHidden/>
                <w:szCs w:val="22"/>
              </w:rPr>
              <w:fldChar w:fldCharType="begin"/>
            </w:r>
            <w:r w:rsidR="000307EC" w:rsidRPr="0038045B">
              <w:rPr>
                <w:noProof/>
                <w:webHidden/>
                <w:szCs w:val="22"/>
              </w:rPr>
              <w:instrText xml:space="preserve"> PAGEREF _Toc476239699 \h </w:instrText>
            </w:r>
            <w:r w:rsidR="000307EC" w:rsidRPr="0038045B">
              <w:rPr>
                <w:noProof/>
                <w:webHidden/>
                <w:szCs w:val="22"/>
              </w:rPr>
            </w:r>
            <w:r w:rsidR="000307EC" w:rsidRPr="0038045B">
              <w:rPr>
                <w:noProof/>
                <w:webHidden/>
                <w:szCs w:val="22"/>
              </w:rPr>
              <w:fldChar w:fldCharType="separate"/>
            </w:r>
            <w:r w:rsidR="005032F9">
              <w:rPr>
                <w:noProof/>
                <w:webHidden/>
                <w:szCs w:val="22"/>
              </w:rPr>
              <w:t>14</w:t>
            </w:r>
            <w:r w:rsidR="000307EC" w:rsidRPr="0038045B">
              <w:rPr>
                <w:noProof/>
                <w:webHidden/>
                <w:szCs w:val="22"/>
              </w:rPr>
              <w:fldChar w:fldCharType="end"/>
            </w:r>
          </w:hyperlink>
        </w:p>
        <w:p w14:paraId="380533EF" w14:textId="77777777" w:rsidR="000307EC" w:rsidRPr="0038045B" w:rsidRDefault="00267829">
          <w:pPr>
            <w:pStyle w:val="TOC2"/>
            <w:rPr>
              <w:rFonts w:eastAsiaTheme="minorEastAsia"/>
              <w:noProof/>
              <w:szCs w:val="22"/>
              <w:lang w:eastAsia="en-US"/>
            </w:rPr>
          </w:pPr>
          <w:hyperlink w:anchor="_Toc476239700" w:history="1">
            <w:r w:rsidR="000307EC" w:rsidRPr="0038045B">
              <w:rPr>
                <w:rStyle w:val="Hyperlink"/>
                <w:b/>
                <w:smallCaps/>
                <w:noProof/>
                <w:szCs w:val="22"/>
              </w:rPr>
              <w:t>2.2</w:t>
            </w:r>
            <w:r w:rsidR="000307EC" w:rsidRPr="0038045B">
              <w:rPr>
                <w:rFonts w:eastAsiaTheme="minorEastAsia"/>
                <w:noProof/>
                <w:szCs w:val="22"/>
                <w:lang w:eastAsia="en-US"/>
              </w:rPr>
              <w:tab/>
            </w:r>
            <w:r w:rsidR="000307EC" w:rsidRPr="0038045B">
              <w:rPr>
                <w:rStyle w:val="Hyperlink"/>
                <w:b/>
                <w:smallCaps/>
                <w:noProof/>
                <w:szCs w:val="22"/>
              </w:rPr>
              <w:t>Financial sector overview</w:t>
            </w:r>
            <w:r w:rsidR="000307EC" w:rsidRPr="0038045B">
              <w:rPr>
                <w:noProof/>
                <w:webHidden/>
                <w:szCs w:val="22"/>
              </w:rPr>
              <w:tab/>
            </w:r>
            <w:r w:rsidR="000307EC" w:rsidRPr="0038045B">
              <w:rPr>
                <w:noProof/>
                <w:webHidden/>
                <w:szCs w:val="22"/>
              </w:rPr>
              <w:fldChar w:fldCharType="begin"/>
            </w:r>
            <w:r w:rsidR="000307EC" w:rsidRPr="0038045B">
              <w:rPr>
                <w:noProof/>
                <w:webHidden/>
                <w:szCs w:val="22"/>
              </w:rPr>
              <w:instrText xml:space="preserve"> PAGEREF _Toc476239700 \h </w:instrText>
            </w:r>
            <w:r w:rsidR="000307EC" w:rsidRPr="0038045B">
              <w:rPr>
                <w:noProof/>
                <w:webHidden/>
                <w:szCs w:val="22"/>
              </w:rPr>
            </w:r>
            <w:r w:rsidR="000307EC" w:rsidRPr="0038045B">
              <w:rPr>
                <w:noProof/>
                <w:webHidden/>
                <w:szCs w:val="22"/>
              </w:rPr>
              <w:fldChar w:fldCharType="separate"/>
            </w:r>
            <w:r w:rsidR="005032F9">
              <w:rPr>
                <w:noProof/>
                <w:webHidden/>
                <w:szCs w:val="22"/>
              </w:rPr>
              <w:t>15</w:t>
            </w:r>
            <w:r w:rsidR="000307EC" w:rsidRPr="0038045B">
              <w:rPr>
                <w:noProof/>
                <w:webHidden/>
                <w:szCs w:val="22"/>
              </w:rPr>
              <w:fldChar w:fldCharType="end"/>
            </w:r>
          </w:hyperlink>
        </w:p>
        <w:p w14:paraId="3AA62E71" w14:textId="77777777" w:rsidR="000307EC" w:rsidRPr="0038045B" w:rsidRDefault="00267829">
          <w:pPr>
            <w:pStyle w:val="TOC2"/>
            <w:rPr>
              <w:rFonts w:eastAsiaTheme="minorEastAsia"/>
              <w:noProof/>
              <w:szCs w:val="22"/>
              <w:lang w:eastAsia="en-US"/>
            </w:rPr>
          </w:pPr>
          <w:hyperlink w:anchor="_Toc476239701" w:history="1">
            <w:r w:rsidR="000307EC" w:rsidRPr="0038045B">
              <w:rPr>
                <w:rStyle w:val="Hyperlink"/>
                <w:b/>
                <w:smallCaps/>
                <w:noProof/>
                <w:szCs w:val="22"/>
              </w:rPr>
              <w:t>2.3</w:t>
            </w:r>
            <w:r w:rsidR="000307EC" w:rsidRPr="0038045B">
              <w:rPr>
                <w:rFonts w:eastAsiaTheme="minorEastAsia"/>
                <w:noProof/>
                <w:szCs w:val="22"/>
                <w:lang w:eastAsia="en-US"/>
              </w:rPr>
              <w:tab/>
            </w:r>
            <w:r w:rsidR="000307EC" w:rsidRPr="0038045B">
              <w:rPr>
                <w:rStyle w:val="Hyperlink"/>
                <w:b/>
                <w:smallCaps/>
                <w:noProof/>
                <w:szCs w:val="22"/>
              </w:rPr>
              <w:t>State of financial inclusion in Albania from a payments perspective and compared to select peer countries</w:t>
            </w:r>
            <w:r w:rsidR="000307EC" w:rsidRPr="0038045B">
              <w:rPr>
                <w:noProof/>
                <w:webHidden/>
                <w:szCs w:val="22"/>
              </w:rPr>
              <w:tab/>
            </w:r>
            <w:r w:rsidR="000307EC" w:rsidRPr="0038045B">
              <w:rPr>
                <w:noProof/>
                <w:webHidden/>
                <w:szCs w:val="22"/>
              </w:rPr>
              <w:fldChar w:fldCharType="begin"/>
            </w:r>
            <w:r w:rsidR="000307EC" w:rsidRPr="0038045B">
              <w:rPr>
                <w:noProof/>
                <w:webHidden/>
                <w:szCs w:val="22"/>
              </w:rPr>
              <w:instrText xml:space="preserve"> PAGEREF _Toc476239701 \h </w:instrText>
            </w:r>
            <w:r w:rsidR="000307EC" w:rsidRPr="0038045B">
              <w:rPr>
                <w:noProof/>
                <w:webHidden/>
                <w:szCs w:val="22"/>
              </w:rPr>
            </w:r>
            <w:r w:rsidR="000307EC" w:rsidRPr="0038045B">
              <w:rPr>
                <w:noProof/>
                <w:webHidden/>
                <w:szCs w:val="22"/>
              </w:rPr>
              <w:fldChar w:fldCharType="separate"/>
            </w:r>
            <w:r w:rsidR="005032F9">
              <w:rPr>
                <w:noProof/>
                <w:webHidden/>
                <w:szCs w:val="22"/>
              </w:rPr>
              <w:t>16</w:t>
            </w:r>
            <w:r w:rsidR="000307EC" w:rsidRPr="0038045B">
              <w:rPr>
                <w:noProof/>
                <w:webHidden/>
                <w:szCs w:val="22"/>
              </w:rPr>
              <w:fldChar w:fldCharType="end"/>
            </w:r>
          </w:hyperlink>
        </w:p>
        <w:p w14:paraId="14507DFE" w14:textId="77777777" w:rsidR="000307EC" w:rsidRPr="0038045B" w:rsidRDefault="00267829">
          <w:pPr>
            <w:pStyle w:val="TOC2"/>
            <w:rPr>
              <w:rFonts w:eastAsiaTheme="minorEastAsia"/>
              <w:noProof/>
              <w:szCs w:val="22"/>
              <w:lang w:eastAsia="en-US"/>
            </w:rPr>
          </w:pPr>
          <w:hyperlink w:anchor="_Toc476239702" w:history="1">
            <w:r w:rsidR="000307EC" w:rsidRPr="0038045B">
              <w:rPr>
                <w:rStyle w:val="Hyperlink"/>
                <w:b/>
                <w:smallCaps/>
                <w:noProof/>
                <w:szCs w:val="22"/>
              </w:rPr>
              <w:t>2.4</w:t>
            </w:r>
            <w:r w:rsidR="000307EC" w:rsidRPr="0038045B">
              <w:rPr>
                <w:rFonts w:eastAsiaTheme="minorEastAsia"/>
                <w:noProof/>
                <w:szCs w:val="22"/>
                <w:lang w:eastAsia="en-US"/>
              </w:rPr>
              <w:tab/>
            </w:r>
            <w:r w:rsidR="000307EC" w:rsidRPr="0038045B">
              <w:rPr>
                <w:rStyle w:val="Hyperlink"/>
                <w:b/>
                <w:smallCaps/>
                <w:noProof/>
                <w:szCs w:val="22"/>
              </w:rPr>
              <w:t>The “PAFI” Framework: International developments and other work that led to the creation of the PAFI task force</w:t>
            </w:r>
            <w:r w:rsidR="000307EC" w:rsidRPr="0038045B">
              <w:rPr>
                <w:noProof/>
                <w:webHidden/>
                <w:szCs w:val="22"/>
              </w:rPr>
              <w:tab/>
            </w:r>
            <w:r w:rsidR="000307EC" w:rsidRPr="0038045B">
              <w:rPr>
                <w:noProof/>
                <w:webHidden/>
                <w:szCs w:val="22"/>
              </w:rPr>
              <w:fldChar w:fldCharType="begin"/>
            </w:r>
            <w:r w:rsidR="000307EC" w:rsidRPr="0038045B">
              <w:rPr>
                <w:noProof/>
                <w:webHidden/>
                <w:szCs w:val="22"/>
              </w:rPr>
              <w:instrText xml:space="preserve"> PAGEREF _Toc476239702 \h </w:instrText>
            </w:r>
            <w:r w:rsidR="000307EC" w:rsidRPr="0038045B">
              <w:rPr>
                <w:noProof/>
                <w:webHidden/>
                <w:szCs w:val="22"/>
              </w:rPr>
            </w:r>
            <w:r w:rsidR="000307EC" w:rsidRPr="0038045B">
              <w:rPr>
                <w:noProof/>
                <w:webHidden/>
                <w:szCs w:val="22"/>
              </w:rPr>
              <w:fldChar w:fldCharType="separate"/>
            </w:r>
            <w:r w:rsidR="005032F9">
              <w:rPr>
                <w:noProof/>
                <w:webHidden/>
                <w:szCs w:val="22"/>
              </w:rPr>
              <w:t>20</w:t>
            </w:r>
            <w:r w:rsidR="000307EC" w:rsidRPr="0038045B">
              <w:rPr>
                <w:noProof/>
                <w:webHidden/>
                <w:szCs w:val="22"/>
              </w:rPr>
              <w:fldChar w:fldCharType="end"/>
            </w:r>
          </w:hyperlink>
        </w:p>
        <w:p w14:paraId="6EFE440D"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03" w:history="1">
            <w:r w:rsidR="000307EC" w:rsidRPr="0038045B">
              <w:rPr>
                <w:rStyle w:val="Hyperlink"/>
                <w:i/>
                <w:noProof/>
                <w:sz w:val="22"/>
                <w:szCs w:val="22"/>
              </w:rPr>
              <w:t>2.4.1</w:t>
            </w:r>
            <w:r w:rsidR="000307EC" w:rsidRPr="0038045B">
              <w:rPr>
                <w:rFonts w:eastAsiaTheme="minorEastAsia"/>
                <w:noProof/>
                <w:sz w:val="22"/>
                <w:szCs w:val="22"/>
                <w:lang w:eastAsia="en-US"/>
              </w:rPr>
              <w:tab/>
            </w:r>
            <w:r w:rsidR="000307EC" w:rsidRPr="0038045B">
              <w:rPr>
                <w:rStyle w:val="Hyperlink"/>
                <w:i/>
                <w:noProof/>
                <w:sz w:val="22"/>
                <w:szCs w:val="22"/>
              </w:rPr>
              <w:t>Developments at the global level</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_Toc476239703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20</w:t>
            </w:r>
            <w:r w:rsidR="000307EC" w:rsidRPr="0038045B">
              <w:rPr>
                <w:noProof/>
                <w:webHidden/>
                <w:sz w:val="22"/>
                <w:szCs w:val="22"/>
              </w:rPr>
              <w:fldChar w:fldCharType="end"/>
            </w:r>
          </w:hyperlink>
        </w:p>
        <w:p w14:paraId="2B858B34"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04" w:history="1">
            <w:r w:rsidR="000307EC" w:rsidRPr="0038045B">
              <w:rPr>
                <w:rStyle w:val="Hyperlink"/>
                <w:i/>
                <w:noProof/>
                <w:sz w:val="22"/>
                <w:szCs w:val="22"/>
              </w:rPr>
              <w:t>2.4.2</w:t>
            </w:r>
            <w:r w:rsidR="000307EC" w:rsidRPr="0038045B">
              <w:rPr>
                <w:rFonts w:eastAsiaTheme="minorEastAsia"/>
                <w:noProof/>
                <w:sz w:val="22"/>
                <w:szCs w:val="22"/>
                <w:lang w:eastAsia="en-US"/>
              </w:rPr>
              <w:tab/>
            </w:r>
            <w:r w:rsidR="000307EC" w:rsidRPr="0038045B">
              <w:rPr>
                <w:rStyle w:val="Hyperlink"/>
                <w:i/>
                <w:noProof/>
                <w:sz w:val="22"/>
                <w:szCs w:val="22"/>
              </w:rPr>
              <w:t>Previous reports on innovations in retail payments and the role of non-banks</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_Toc476239704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21</w:t>
            </w:r>
            <w:r w:rsidR="000307EC" w:rsidRPr="0038045B">
              <w:rPr>
                <w:noProof/>
                <w:webHidden/>
                <w:sz w:val="22"/>
                <w:szCs w:val="22"/>
              </w:rPr>
              <w:fldChar w:fldCharType="end"/>
            </w:r>
          </w:hyperlink>
        </w:p>
        <w:p w14:paraId="3D3A13B2"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05" w:history="1">
            <w:r w:rsidR="000307EC" w:rsidRPr="0038045B">
              <w:rPr>
                <w:rStyle w:val="Hyperlink"/>
                <w:i/>
                <w:noProof/>
                <w:sz w:val="22"/>
                <w:szCs w:val="22"/>
              </w:rPr>
              <w:t>2.4.3</w:t>
            </w:r>
            <w:r w:rsidR="000307EC" w:rsidRPr="0038045B">
              <w:rPr>
                <w:rFonts w:eastAsiaTheme="minorEastAsia"/>
                <w:noProof/>
                <w:sz w:val="22"/>
                <w:szCs w:val="22"/>
                <w:lang w:eastAsia="en-US"/>
              </w:rPr>
              <w:tab/>
            </w:r>
            <w:r w:rsidR="000307EC" w:rsidRPr="0038045B">
              <w:rPr>
                <w:rStyle w:val="Hyperlink"/>
                <w:i/>
                <w:noProof/>
                <w:sz w:val="22"/>
                <w:szCs w:val="22"/>
              </w:rPr>
              <w:t>The PAFI Report: CPMI-World Bank Group guiding principles on financial inclusion from a payments perspective</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_Toc476239705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22</w:t>
            </w:r>
            <w:r w:rsidR="000307EC" w:rsidRPr="0038045B">
              <w:rPr>
                <w:noProof/>
                <w:webHidden/>
                <w:sz w:val="22"/>
                <w:szCs w:val="22"/>
              </w:rPr>
              <w:fldChar w:fldCharType="end"/>
            </w:r>
          </w:hyperlink>
        </w:p>
        <w:p w14:paraId="78126A47"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06" w:history="1">
            <w:r w:rsidR="000307EC" w:rsidRPr="0038045B">
              <w:rPr>
                <w:rStyle w:val="Hyperlink"/>
                <w:i/>
                <w:noProof/>
                <w:sz w:val="22"/>
                <w:szCs w:val="22"/>
              </w:rPr>
              <w:t>2.4.4</w:t>
            </w:r>
            <w:r w:rsidR="000307EC" w:rsidRPr="0038045B">
              <w:rPr>
                <w:rFonts w:eastAsiaTheme="minorEastAsia"/>
                <w:noProof/>
                <w:sz w:val="22"/>
                <w:szCs w:val="22"/>
                <w:lang w:eastAsia="en-US"/>
              </w:rPr>
              <w:tab/>
            </w:r>
            <w:r w:rsidR="000307EC" w:rsidRPr="0038045B">
              <w:rPr>
                <w:rStyle w:val="Hyperlink"/>
                <w:i/>
                <w:noProof/>
                <w:sz w:val="22"/>
                <w:szCs w:val="22"/>
              </w:rPr>
              <w:t>Other recent reports</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_Toc476239706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24</w:t>
            </w:r>
            <w:r w:rsidR="000307EC" w:rsidRPr="0038045B">
              <w:rPr>
                <w:noProof/>
                <w:webHidden/>
                <w:sz w:val="22"/>
                <w:szCs w:val="22"/>
              </w:rPr>
              <w:fldChar w:fldCharType="end"/>
            </w:r>
          </w:hyperlink>
        </w:p>
        <w:p w14:paraId="75842518" w14:textId="77777777" w:rsidR="000307EC" w:rsidRPr="0038045B" w:rsidRDefault="00267829">
          <w:pPr>
            <w:pStyle w:val="TOC1"/>
            <w:rPr>
              <w:rFonts w:eastAsiaTheme="minorEastAsia"/>
              <w:b w:val="0"/>
              <w:szCs w:val="22"/>
              <w:lang w:eastAsia="en-US"/>
            </w:rPr>
          </w:pPr>
          <w:hyperlink w:anchor="_Toc476239707" w:history="1">
            <w:r w:rsidR="000307EC" w:rsidRPr="0038045B">
              <w:rPr>
                <w:rStyle w:val="Hyperlink"/>
                <w:szCs w:val="22"/>
              </w:rPr>
              <w:t>3</w:t>
            </w:r>
            <w:r w:rsidR="000307EC" w:rsidRPr="0038045B">
              <w:rPr>
                <w:rFonts w:eastAsiaTheme="minorEastAsia"/>
                <w:b w:val="0"/>
                <w:szCs w:val="22"/>
                <w:lang w:eastAsia="en-US"/>
              </w:rPr>
              <w:tab/>
            </w:r>
            <w:r w:rsidR="000307EC" w:rsidRPr="0038045B">
              <w:rPr>
                <w:rStyle w:val="Hyperlink"/>
                <w:szCs w:val="22"/>
              </w:rPr>
              <w:t>BASIC FOUNDATIONS FOR EFFECTIVE FINANCIAL INCLUSION FROM A PAYMENTS PERSPECTIVE</w:t>
            </w:r>
            <w:r w:rsidR="000307EC" w:rsidRPr="0038045B">
              <w:rPr>
                <w:webHidden/>
                <w:szCs w:val="22"/>
              </w:rPr>
              <w:tab/>
            </w:r>
            <w:r w:rsidR="000307EC" w:rsidRPr="0038045B">
              <w:rPr>
                <w:webHidden/>
                <w:szCs w:val="22"/>
              </w:rPr>
              <w:fldChar w:fldCharType="begin"/>
            </w:r>
            <w:r w:rsidR="000307EC" w:rsidRPr="0038045B">
              <w:rPr>
                <w:webHidden/>
                <w:szCs w:val="22"/>
              </w:rPr>
              <w:instrText xml:space="preserve"> PAGEREF _Toc476239707 \h </w:instrText>
            </w:r>
            <w:r w:rsidR="000307EC" w:rsidRPr="0038045B">
              <w:rPr>
                <w:webHidden/>
                <w:szCs w:val="22"/>
              </w:rPr>
            </w:r>
            <w:r w:rsidR="000307EC" w:rsidRPr="0038045B">
              <w:rPr>
                <w:webHidden/>
                <w:szCs w:val="22"/>
              </w:rPr>
              <w:fldChar w:fldCharType="separate"/>
            </w:r>
            <w:r w:rsidR="005032F9">
              <w:rPr>
                <w:webHidden/>
                <w:szCs w:val="22"/>
              </w:rPr>
              <w:t>25</w:t>
            </w:r>
            <w:r w:rsidR="000307EC" w:rsidRPr="0038045B">
              <w:rPr>
                <w:webHidden/>
                <w:szCs w:val="22"/>
              </w:rPr>
              <w:fldChar w:fldCharType="end"/>
            </w:r>
          </w:hyperlink>
        </w:p>
        <w:p w14:paraId="698FFAEF" w14:textId="77777777" w:rsidR="000307EC" w:rsidRPr="0038045B" w:rsidRDefault="00267829">
          <w:pPr>
            <w:pStyle w:val="TOC2"/>
            <w:rPr>
              <w:rFonts w:eastAsiaTheme="minorEastAsia"/>
              <w:noProof/>
              <w:szCs w:val="22"/>
              <w:lang w:eastAsia="en-US"/>
            </w:rPr>
          </w:pPr>
          <w:hyperlink w:anchor="_Toc476239708" w:history="1">
            <w:r w:rsidR="000307EC" w:rsidRPr="0038045B">
              <w:rPr>
                <w:rStyle w:val="Hyperlink"/>
                <w:b/>
                <w:smallCaps/>
                <w:noProof/>
                <w:szCs w:val="22"/>
              </w:rPr>
              <w:t>3.1</w:t>
            </w:r>
            <w:r w:rsidR="000307EC" w:rsidRPr="0038045B">
              <w:rPr>
                <w:rFonts w:eastAsiaTheme="minorEastAsia"/>
                <w:noProof/>
                <w:szCs w:val="22"/>
                <w:lang w:eastAsia="en-US"/>
              </w:rPr>
              <w:tab/>
            </w:r>
            <w:r w:rsidR="000307EC" w:rsidRPr="0038045B">
              <w:rPr>
                <w:rStyle w:val="Hyperlink"/>
                <w:b/>
                <w:smallCaps/>
                <w:noProof/>
                <w:szCs w:val="22"/>
              </w:rPr>
              <w:t>Commitment and coordination of stakeholders for financial inclusion</w:t>
            </w:r>
            <w:r w:rsidR="000307EC" w:rsidRPr="0038045B">
              <w:rPr>
                <w:noProof/>
                <w:webHidden/>
                <w:szCs w:val="22"/>
              </w:rPr>
              <w:tab/>
            </w:r>
            <w:r w:rsidR="000307EC" w:rsidRPr="0038045B">
              <w:rPr>
                <w:noProof/>
                <w:webHidden/>
                <w:szCs w:val="22"/>
              </w:rPr>
              <w:fldChar w:fldCharType="begin"/>
            </w:r>
            <w:r w:rsidR="000307EC" w:rsidRPr="0038045B">
              <w:rPr>
                <w:noProof/>
                <w:webHidden/>
                <w:szCs w:val="22"/>
              </w:rPr>
              <w:instrText xml:space="preserve"> PAGEREF _Toc476239708 \h </w:instrText>
            </w:r>
            <w:r w:rsidR="000307EC" w:rsidRPr="0038045B">
              <w:rPr>
                <w:noProof/>
                <w:webHidden/>
                <w:szCs w:val="22"/>
              </w:rPr>
            </w:r>
            <w:r w:rsidR="000307EC" w:rsidRPr="0038045B">
              <w:rPr>
                <w:noProof/>
                <w:webHidden/>
                <w:szCs w:val="22"/>
              </w:rPr>
              <w:fldChar w:fldCharType="separate"/>
            </w:r>
            <w:r w:rsidR="005032F9">
              <w:rPr>
                <w:noProof/>
                <w:webHidden/>
                <w:szCs w:val="22"/>
              </w:rPr>
              <w:t>25</w:t>
            </w:r>
            <w:r w:rsidR="000307EC" w:rsidRPr="0038045B">
              <w:rPr>
                <w:noProof/>
                <w:webHidden/>
                <w:szCs w:val="22"/>
              </w:rPr>
              <w:fldChar w:fldCharType="end"/>
            </w:r>
          </w:hyperlink>
        </w:p>
        <w:p w14:paraId="539A8E58"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09" w:history="1">
            <w:r w:rsidR="000307EC" w:rsidRPr="0038045B">
              <w:rPr>
                <w:rStyle w:val="Hyperlink"/>
                <w:i/>
                <w:noProof/>
                <w:sz w:val="22"/>
                <w:szCs w:val="22"/>
              </w:rPr>
              <w:t>3.1.1</w:t>
            </w:r>
            <w:r w:rsidR="000307EC" w:rsidRPr="0038045B">
              <w:rPr>
                <w:rFonts w:eastAsiaTheme="minorEastAsia"/>
                <w:noProof/>
                <w:sz w:val="22"/>
                <w:szCs w:val="22"/>
                <w:lang w:eastAsia="en-US"/>
              </w:rPr>
              <w:tab/>
            </w:r>
            <w:r w:rsidR="000307EC" w:rsidRPr="0038045B">
              <w:rPr>
                <w:rStyle w:val="Hyperlink"/>
                <w:i/>
                <w:noProof/>
                <w:sz w:val="22"/>
                <w:szCs w:val="22"/>
              </w:rPr>
              <w:t>Financial inclusion initiatives in Albania</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_Toc476239709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25</w:t>
            </w:r>
            <w:r w:rsidR="000307EC" w:rsidRPr="0038045B">
              <w:rPr>
                <w:noProof/>
                <w:webHidden/>
                <w:sz w:val="22"/>
                <w:szCs w:val="22"/>
              </w:rPr>
              <w:fldChar w:fldCharType="end"/>
            </w:r>
          </w:hyperlink>
        </w:p>
        <w:p w14:paraId="6B53B8E8" w14:textId="77777777" w:rsidR="000307EC" w:rsidRPr="0038045B" w:rsidRDefault="00267829">
          <w:pPr>
            <w:pStyle w:val="TOC2"/>
            <w:rPr>
              <w:rFonts w:eastAsiaTheme="minorEastAsia"/>
              <w:noProof/>
              <w:szCs w:val="22"/>
              <w:lang w:eastAsia="en-US"/>
            </w:rPr>
          </w:pPr>
          <w:hyperlink w:anchor="_Toc476239710" w:history="1">
            <w:r w:rsidR="000307EC" w:rsidRPr="0038045B">
              <w:rPr>
                <w:rStyle w:val="Hyperlink"/>
                <w:b/>
                <w:noProof/>
                <w:szCs w:val="22"/>
              </w:rPr>
              <w:t>3.2</w:t>
            </w:r>
            <w:r w:rsidR="000307EC" w:rsidRPr="0038045B">
              <w:rPr>
                <w:rFonts w:eastAsiaTheme="minorEastAsia"/>
                <w:noProof/>
                <w:szCs w:val="22"/>
                <w:lang w:eastAsia="en-US"/>
              </w:rPr>
              <w:tab/>
            </w:r>
            <w:r w:rsidR="000307EC" w:rsidRPr="0038045B">
              <w:rPr>
                <w:rStyle w:val="Hyperlink"/>
                <w:b/>
                <w:noProof/>
                <w:szCs w:val="22"/>
              </w:rPr>
              <w:t>Legal and Regulatory Framework</w:t>
            </w:r>
            <w:r w:rsidR="000307EC" w:rsidRPr="0038045B">
              <w:rPr>
                <w:noProof/>
                <w:webHidden/>
                <w:szCs w:val="22"/>
              </w:rPr>
              <w:tab/>
            </w:r>
            <w:r w:rsidR="000307EC" w:rsidRPr="0038045B">
              <w:rPr>
                <w:noProof/>
                <w:webHidden/>
                <w:szCs w:val="22"/>
              </w:rPr>
              <w:fldChar w:fldCharType="begin"/>
            </w:r>
            <w:r w:rsidR="000307EC" w:rsidRPr="0038045B">
              <w:rPr>
                <w:noProof/>
                <w:webHidden/>
                <w:szCs w:val="22"/>
              </w:rPr>
              <w:instrText xml:space="preserve"> PAGEREF _Toc476239710 \h </w:instrText>
            </w:r>
            <w:r w:rsidR="000307EC" w:rsidRPr="0038045B">
              <w:rPr>
                <w:noProof/>
                <w:webHidden/>
                <w:szCs w:val="22"/>
              </w:rPr>
            </w:r>
            <w:r w:rsidR="000307EC" w:rsidRPr="0038045B">
              <w:rPr>
                <w:noProof/>
                <w:webHidden/>
                <w:szCs w:val="22"/>
              </w:rPr>
              <w:fldChar w:fldCharType="separate"/>
            </w:r>
            <w:r w:rsidR="005032F9">
              <w:rPr>
                <w:noProof/>
                <w:webHidden/>
                <w:szCs w:val="22"/>
              </w:rPr>
              <w:t>27</w:t>
            </w:r>
            <w:r w:rsidR="000307EC" w:rsidRPr="0038045B">
              <w:rPr>
                <w:noProof/>
                <w:webHidden/>
                <w:szCs w:val="22"/>
              </w:rPr>
              <w:fldChar w:fldCharType="end"/>
            </w:r>
          </w:hyperlink>
        </w:p>
        <w:p w14:paraId="05E98E8D"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11" w:history="1">
            <w:r w:rsidR="000307EC" w:rsidRPr="0038045B">
              <w:rPr>
                <w:rStyle w:val="Hyperlink"/>
                <w:i/>
                <w:noProof/>
                <w:sz w:val="22"/>
                <w:szCs w:val="22"/>
              </w:rPr>
              <w:t>3.2.1</w:t>
            </w:r>
            <w:r w:rsidR="000307EC" w:rsidRPr="0038045B">
              <w:rPr>
                <w:rFonts w:eastAsiaTheme="minorEastAsia"/>
                <w:noProof/>
                <w:sz w:val="22"/>
                <w:szCs w:val="22"/>
                <w:lang w:eastAsia="en-US"/>
              </w:rPr>
              <w:tab/>
            </w:r>
            <w:r w:rsidR="000307EC" w:rsidRPr="0038045B">
              <w:rPr>
                <w:rStyle w:val="Hyperlink"/>
                <w:i/>
                <w:noProof/>
                <w:sz w:val="22"/>
                <w:szCs w:val="22"/>
              </w:rPr>
              <w:t>Regulatory neutrality and proportionality</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_Toc476239711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27</w:t>
            </w:r>
            <w:r w:rsidR="000307EC" w:rsidRPr="0038045B">
              <w:rPr>
                <w:noProof/>
                <w:webHidden/>
                <w:sz w:val="22"/>
                <w:szCs w:val="22"/>
              </w:rPr>
              <w:fldChar w:fldCharType="end"/>
            </w:r>
          </w:hyperlink>
        </w:p>
        <w:p w14:paraId="6C0E6AD9"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12" w:history="1">
            <w:r w:rsidR="000307EC" w:rsidRPr="0038045B">
              <w:rPr>
                <w:rStyle w:val="Hyperlink"/>
                <w:i/>
                <w:noProof/>
                <w:sz w:val="22"/>
                <w:szCs w:val="22"/>
              </w:rPr>
              <w:t>3.2.2</w:t>
            </w:r>
            <w:r w:rsidR="000307EC" w:rsidRPr="0038045B">
              <w:rPr>
                <w:rFonts w:eastAsiaTheme="minorEastAsia"/>
                <w:noProof/>
                <w:sz w:val="22"/>
                <w:szCs w:val="22"/>
                <w:lang w:eastAsia="en-US"/>
              </w:rPr>
              <w:tab/>
            </w:r>
            <w:r w:rsidR="000307EC" w:rsidRPr="0038045B">
              <w:rPr>
                <w:rStyle w:val="Hyperlink"/>
                <w:i/>
                <w:noProof/>
                <w:sz w:val="22"/>
                <w:szCs w:val="22"/>
              </w:rPr>
              <w:t>Risk management</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_Toc476239712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33</w:t>
            </w:r>
            <w:r w:rsidR="000307EC" w:rsidRPr="0038045B">
              <w:rPr>
                <w:noProof/>
                <w:webHidden/>
                <w:sz w:val="22"/>
                <w:szCs w:val="22"/>
              </w:rPr>
              <w:fldChar w:fldCharType="end"/>
            </w:r>
          </w:hyperlink>
        </w:p>
        <w:p w14:paraId="0025E672"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13" w:history="1">
            <w:r w:rsidR="000307EC" w:rsidRPr="0038045B">
              <w:rPr>
                <w:rStyle w:val="Hyperlink"/>
                <w:i/>
                <w:noProof/>
                <w:sz w:val="22"/>
                <w:szCs w:val="22"/>
              </w:rPr>
              <w:t>3.2.3</w:t>
            </w:r>
            <w:r w:rsidR="000307EC" w:rsidRPr="0038045B">
              <w:rPr>
                <w:rFonts w:eastAsiaTheme="minorEastAsia"/>
                <w:noProof/>
                <w:sz w:val="22"/>
                <w:szCs w:val="22"/>
                <w:lang w:eastAsia="en-US"/>
              </w:rPr>
              <w:tab/>
            </w:r>
            <w:r w:rsidR="000307EC" w:rsidRPr="0038045B">
              <w:rPr>
                <w:rStyle w:val="Hyperlink"/>
                <w:i/>
                <w:noProof/>
                <w:sz w:val="22"/>
                <w:szCs w:val="22"/>
              </w:rPr>
              <w:t>Protection of deposits and e-money customer funds</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_Toc476239713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35</w:t>
            </w:r>
            <w:r w:rsidR="000307EC" w:rsidRPr="0038045B">
              <w:rPr>
                <w:noProof/>
                <w:webHidden/>
                <w:sz w:val="22"/>
                <w:szCs w:val="22"/>
              </w:rPr>
              <w:fldChar w:fldCharType="end"/>
            </w:r>
          </w:hyperlink>
        </w:p>
        <w:p w14:paraId="49064E33"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14" w:history="1">
            <w:r w:rsidR="000307EC" w:rsidRPr="0038045B">
              <w:rPr>
                <w:rStyle w:val="Hyperlink"/>
                <w:i/>
                <w:noProof/>
                <w:sz w:val="22"/>
                <w:szCs w:val="22"/>
              </w:rPr>
              <w:t>3.2.4</w:t>
            </w:r>
            <w:r w:rsidR="000307EC" w:rsidRPr="0038045B">
              <w:rPr>
                <w:rFonts w:eastAsiaTheme="minorEastAsia"/>
                <w:noProof/>
                <w:sz w:val="22"/>
                <w:szCs w:val="22"/>
                <w:lang w:eastAsia="en-US"/>
              </w:rPr>
              <w:tab/>
            </w:r>
            <w:r w:rsidR="000307EC" w:rsidRPr="0038045B">
              <w:rPr>
                <w:rStyle w:val="Hyperlink"/>
                <w:i/>
                <w:noProof/>
                <w:sz w:val="22"/>
                <w:szCs w:val="22"/>
              </w:rPr>
              <w:t>Financial customer protection and transparency</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_Toc476239714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37</w:t>
            </w:r>
            <w:r w:rsidR="000307EC" w:rsidRPr="0038045B">
              <w:rPr>
                <w:noProof/>
                <w:webHidden/>
                <w:sz w:val="22"/>
                <w:szCs w:val="22"/>
              </w:rPr>
              <w:fldChar w:fldCharType="end"/>
            </w:r>
          </w:hyperlink>
        </w:p>
        <w:p w14:paraId="11F2C982"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15" w:history="1">
            <w:r w:rsidR="000307EC" w:rsidRPr="0038045B">
              <w:rPr>
                <w:rStyle w:val="Hyperlink"/>
                <w:i/>
                <w:noProof/>
                <w:sz w:val="22"/>
                <w:szCs w:val="22"/>
              </w:rPr>
              <w:t>3.2.5</w:t>
            </w:r>
            <w:r w:rsidR="000307EC" w:rsidRPr="0038045B">
              <w:rPr>
                <w:rFonts w:eastAsiaTheme="minorEastAsia"/>
                <w:noProof/>
                <w:sz w:val="22"/>
                <w:szCs w:val="22"/>
                <w:lang w:eastAsia="en-US"/>
              </w:rPr>
              <w:tab/>
            </w:r>
            <w:r w:rsidR="000307EC" w:rsidRPr="0038045B">
              <w:rPr>
                <w:rStyle w:val="Hyperlink"/>
                <w:i/>
                <w:noProof/>
                <w:sz w:val="22"/>
                <w:szCs w:val="22"/>
              </w:rPr>
              <w:t>Financial integrity</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_Toc476239715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38</w:t>
            </w:r>
            <w:r w:rsidR="000307EC" w:rsidRPr="0038045B">
              <w:rPr>
                <w:noProof/>
                <w:webHidden/>
                <w:sz w:val="22"/>
                <w:szCs w:val="22"/>
              </w:rPr>
              <w:fldChar w:fldCharType="end"/>
            </w:r>
          </w:hyperlink>
        </w:p>
        <w:p w14:paraId="2A292CF6" w14:textId="77777777" w:rsidR="000307EC" w:rsidRPr="0038045B" w:rsidRDefault="00267829">
          <w:pPr>
            <w:pStyle w:val="TOC2"/>
            <w:rPr>
              <w:rFonts w:eastAsiaTheme="minorEastAsia"/>
              <w:noProof/>
              <w:szCs w:val="22"/>
              <w:lang w:eastAsia="en-US"/>
            </w:rPr>
          </w:pPr>
          <w:hyperlink w:anchor="_Toc476239716" w:history="1">
            <w:r w:rsidR="000307EC" w:rsidRPr="0038045B">
              <w:rPr>
                <w:rStyle w:val="Hyperlink"/>
                <w:b/>
                <w:noProof/>
                <w:szCs w:val="22"/>
              </w:rPr>
              <w:t>3.3</w:t>
            </w:r>
            <w:r w:rsidR="000307EC" w:rsidRPr="0038045B">
              <w:rPr>
                <w:rFonts w:eastAsiaTheme="minorEastAsia"/>
                <w:noProof/>
                <w:szCs w:val="22"/>
                <w:lang w:eastAsia="en-US"/>
              </w:rPr>
              <w:tab/>
            </w:r>
            <w:r w:rsidR="000307EC" w:rsidRPr="0038045B">
              <w:rPr>
                <w:rStyle w:val="Hyperlink"/>
                <w:b/>
                <w:noProof/>
                <w:szCs w:val="22"/>
              </w:rPr>
              <w:t>Infrastructures supporting payment services and broader financial inclusion in Albania</w:t>
            </w:r>
            <w:r w:rsidR="000307EC" w:rsidRPr="0038045B">
              <w:rPr>
                <w:noProof/>
                <w:webHidden/>
                <w:szCs w:val="22"/>
              </w:rPr>
              <w:tab/>
            </w:r>
            <w:r w:rsidR="000307EC" w:rsidRPr="0038045B">
              <w:rPr>
                <w:noProof/>
                <w:webHidden/>
                <w:szCs w:val="22"/>
              </w:rPr>
              <w:fldChar w:fldCharType="begin"/>
            </w:r>
            <w:r w:rsidR="000307EC" w:rsidRPr="0038045B">
              <w:rPr>
                <w:noProof/>
                <w:webHidden/>
                <w:szCs w:val="22"/>
              </w:rPr>
              <w:instrText xml:space="preserve"> PAGEREF _Toc476239716 \h </w:instrText>
            </w:r>
            <w:r w:rsidR="000307EC" w:rsidRPr="0038045B">
              <w:rPr>
                <w:noProof/>
                <w:webHidden/>
                <w:szCs w:val="22"/>
              </w:rPr>
            </w:r>
            <w:r w:rsidR="000307EC" w:rsidRPr="0038045B">
              <w:rPr>
                <w:noProof/>
                <w:webHidden/>
                <w:szCs w:val="22"/>
              </w:rPr>
              <w:fldChar w:fldCharType="separate"/>
            </w:r>
            <w:r w:rsidR="005032F9">
              <w:rPr>
                <w:noProof/>
                <w:webHidden/>
                <w:szCs w:val="22"/>
              </w:rPr>
              <w:t>41</w:t>
            </w:r>
            <w:r w:rsidR="000307EC" w:rsidRPr="0038045B">
              <w:rPr>
                <w:noProof/>
                <w:webHidden/>
                <w:szCs w:val="22"/>
              </w:rPr>
              <w:fldChar w:fldCharType="end"/>
            </w:r>
          </w:hyperlink>
        </w:p>
        <w:p w14:paraId="08AE9DB5"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17" w:history="1">
            <w:r w:rsidR="000307EC" w:rsidRPr="0038045B">
              <w:rPr>
                <w:rStyle w:val="Hyperlink"/>
                <w:i/>
                <w:noProof/>
                <w:sz w:val="22"/>
                <w:szCs w:val="22"/>
              </w:rPr>
              <w:t>3.3.1</w:t>
            </w:r>
            <w:r w:rsidR="000307EC" w:rsidRPr="0038045B">
              <w:rPr>
                <w:rFonts w:eastAsiaTheme="minorEastAsia"/>
                <w:noProof/>
                <w:sz w:val="22"/>
                <w:szCs w:val="22"/>
                <w:lang w:eastAsia="en-US"/>
              </w:rPr>
              <w:tab/>
            </w:r>
            <w:r w:rsidR="000307EC" w:rsidRPr="0038045B">
              <w:rPr>
                <w:rStyle w:val="Hyperlink"/>
                <w:i/>
                <w:noProof/>
                <w:sz w:val="22"/>
                <w:szCs w:val="22"/>
              </w:rPr>
              <w:t>The Albanian National Payments System and its core payment infrastructures</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_Toc476239717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41</w:t>
            </w:r>
            <w:r w:rsidR="000307EC" w:rsidRPr="0038045B">
              <w:rPr>
                <w:noProof/>
                <w:webHidden/>
                <w:sz w:val="22"/>
                <w:szCs w:val="22"/>
              </w:rPr>
              <w:fldChar w:fldCharType="end"/>
            </w:r>
          </w:hyperlink>
        </w:p>
        <w:p w14:paraId="2DE4CF0B"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18" w:history="1">
            <w:r w:rsidR="000307EC" w:rsidRPr="0038045B">
              <w:rPr>
                <w:rStyle w:val="Hyperlink"/>
                <w:i/>
                <w:noProof/>
                <w:sz w:val="22"/>
                <w:szCs w:val="22"/>
              </w:rPr>
              <w:t>3.3.2</w:t>
            </w:r>
            <w:r w:rsidR="000307EC" w:rsidRPr="0038045B">
              <w:rPr>
                <w:rFonts w:eastAsiaTheme="minorEastAsia"/>
                <w:noProof/>
                <w:sz w:val="22"/>
                <w:szCs w:val="22"/>
                <w:lang w:eastAsia="en-US"/>
              </w:rPr>
              <w:tab/>
            </w:r>
            <w:r w:rsidR="000307EC" w:rsidRPr="0038045B">
              <w:rPr>
                <w:rStyle w:val="Hyperlink"/>
                <w:i/>
                <w:noProof/>
                <w:sz w:val="22"/>
                <w:szCs w:val="22"/>
              </w:rPr>
              <w:t>Other relevant infrastructures that support financial inclusion</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_Toc476239718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48</w:t>
            </w:r>
            <w:r w:rsidR="000307EC" w:rsidRPr="0038045B">
              <w:rPr>
                <w:noProof/>
                <w:webHidden/>
                <w:sz w:val="22"/>
                <w:szCs w:val="22"/>
              </w:rPr>
              <w:fldChar w:fldCharType="end"/>
            </w:r>
          </w:hyperlink>
        </w:p>
        <w:p w14:paraId="3DE7ABDE"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19" w:history="1">
            <w:r w:rsidR="000307EC" w:rsidRPr="0038045B">
              <w:rPr>
                <w:rStyle w:val="Hyperlink"/>
                <w:i/>
                <w:noProof/>
                <w:sz w:val="22"/>
                <w:szCs w:val="22"/>
              </w:rPr>
              <w:t>3.3.3</w:t>
            </w:r>
            <w:r w:rsidR="000307EC" w:rsidRPr="0038045B">
              <w:rPr>
                <w:rFonts w:eastAsiaTheme="minorEastAsia"/>
                <w:noProof/>
                <w:sz w:val="22"/>
                <w:szCs w:val="22"/>
                <w:lang w:eastAsia="en-US"/>
              </w:rPr>
              <w:tab/>
            </w:r>
            <w:r w:rsidR="000307EC" w:rsidRPr="0038045B">
              <w:rPr>
                <w:rStyle w:val="Hyperlink"/>
                <w:i/>
                <w:noProof/>
                <w:sz w:val="22"/>
                <w:szCs w:val="22"/>
              </w:rPr>
              <w:t>ICT infrastructure</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_Toc476239719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50</w:t>
            </w:r>
            <w:r w:rsidR="000307EC" w:rsidRPr="0038045B">
              <w:rPr>
                <w:noProof/>
                <w:webHidden/>
                <w:sz w:val="22"/>
                <w:szCs w:val="22"/>
              </w:rPr>
              <w:fldChar w:fldCharType="end"/>
            </w:r>
          </w:hyperlink>
        </w:p>
        <w:p w14:paraId="7BB93970" w14:textId="77777777" w:rsidR="000307EC" w:rsidRPr="0038045B" w:rsidRDefault="00267829">
          <w:pPr>
            <w:pStyle w:val="TOC1"/>
            <w:rPr>
              <w:rFonts w:eastAsiaTheme="minorEastAsia"/>
              <w:b w:val="0"/>
              <w:szCs w:val="22"/>
              <w:lang w:eastAsia="en-US"/>
            </w:rPr>
          </w:pPr>
          <w:hyperlink w:anchor="_Toc476239720" w:history="1">
            <w:r w:rsidR="000307EC" w:rsidRPr="0038045B">
              <w:rPr>
                <w:rStyle w:val="Hyperlink"/>
                <w:szCs w:val="22"/>
              </w:rPr>
              <w:t>4</w:t>
            </w:r>
            <w:r w:rsidR="000307EC" w:rsidRPr="0038045B">
              <w:rPr>
                <w:rFonts w:eastAsiaTheme="minorEastAsia"/>
                <w:b w:val="0"/>
                <w:szCs w:val="22"/>
                <w:lang w:eastAsia="en-US"/>
              </w:rPr>
              <w:tab/>
            </w:r>
            <w:r w:rsidR="000307EC" w:rsidRPr="0038045B">
              <w:rPr>
                <w:rStyle w:val="Hyperlink"/>
                <w:szCs w:val="22"/>
              </w:rPr>
              <w:t>CATALYTIC PILLARS: DRIVERS OF ACCESS TO AND USAGE OF ACCOUNTS AND ASSOCIATED ELECTRONIC PAYMENT INSTRUMENTS</w:t>
            </w:r>
            <w:r w:rsidR="000307EC" w:rsidRPr="0038045B">
              <w:rPr>
                <w:webHidden/>
                <w:szCs w:val="22"/>
              </w:rPr>
              <w:tab/>
            </w:r>
            <w:r w:rsidR="000307EC" w:rsidRPr="0038045B">
              <w:rPr>
                <w:webHidden/>
                <w:szCs w:val="22"/>
              </w:rPr>
              <w:fldChar w:fldCharType="begin"/>
            </w:r>
            <w:r w:rsidR="000307EC" w:rsidRPr="0038045B">
              <w:rPr>
                <w:webHidden/>
                <w:szCs w:val="22"/>
              </w:rPr>
              <w:instrText xml:space="preserve"> PAGEREF _Toc476239720 \h </w:instrText>
            </w:r>
            <w:r w:rsidR="000307EC" w:rsidRPr="0038045B">
              <w:rPr>
                <w:webHidden/>
                <w:szCs w:val="22"/>
              </w:rPr>
            </w:r>
            <w:r w:rsidR="000307EC" w:rsidRPr="0038045B">
              <w:rPr>
                <w:webHidden/>
                <w:szCs w:val="22"/>
              </w:rPr>
              <w:fldChar w:fldCharType="separate"/>
            </w:r>
            <w:r w:rsidR="005032F9">
              <w:rPr>
                <w:webHidden/>
                <w:szCs w:val="22"/>
              </w:rPr>
              <w:t>53</w:t>
            </w:r>
            <w:r w:rsidR="000307EC" w:rsidRPr="0038045B">
              <w:rPr>
                <w:webHidden/>
                <w:szCs w:val="22"/>
              </w:rPr>
              <w:fldChar w:fldCharType="end"/>
            </w:r>
          </w:hyperlink>
        </w:p>
        <w:p w14:paraId="0BDD7D12" w14:textId="77777777" w:rsidR="000307EC" w:rsidRPr="0038045B" w:rsidRDefault="00267829">
          <w:pPr>
            <w:pStyle w:val="TOC2"/>
            <w:rPr>
              <w:rFonts w:eastAsiaTheme="minorEastAsia"/>
              <w:noProof/>
              <w:szCs w:val="22"/>
              <w:lang w:eastAsia="en-US"/>
            </w:rPr>
          </w:pPr>
          <w:hyperlink w:anchor="_Toc476239721" w:history="1">
            <w:r w:rsidR="000307EC" w:rsidRPr="0038045B">
              <w:rPr>
                <w:rStyle w:val="Hyperlink"/>
                <w:b/>
                <w:noProof/>
                <w:szCs w:val="22"/>
              </w:rPr>
              <w:t>4.1</w:t>
            </w:r>
            <w:r w:rsidR="000307EC" w:rsidRPr="0038045B">
              <w:rPr>
                <w:rFonts w:eastAsiaTheme="minorEastAsia"/>
                <w:noProof/>
                <w:szCs w:val="22"/>
                <w:lang w:eastAsia="en-US"/>
              </w:rPr>
              <w:tab/>
            </w:r>
            <w:r w:rsidR="000307EC" w:rsidRPr="0038045B">
              <w:rPr>
                <w:rStyle w:val="Hyperlink"/>
                <w:b/>
                <w:noProof/>
                <w:szCs w:val="22"/>
              </w:rPr>
              <w:t>Account and payment product design</w:t>
            </w:r>
            <w:r w:rsidR="000307EC" w:rsidRPr="0038045B">
              <w:rPr>
                <w:noProof/>
                <w:webHidden/>
                <w:szCs w:val="22"/>
              </w:rPr>
              <w:tab/>
            </w:r>
            <w:r w:rsidR="000307EC" w:rsidRPr="0038045B">
              <w:rPr>
                <w:noProof/>
                <w:webHidden/>
                <w:szCs w:val="22"/>
              </w:rPr>
              <w:fldChar w:fldCharType="begin"/>
            </w:r>
            <w:r w:rsidR="000307EC" w:rsidRPr="0038045B">
              <w:rPr>
                <w:noProof/>
                <w:webHidden/>
                <w:szCs w:val="22"/>
              </w:rPr>
              <w:instrText xml:space="preserve"> PAGEREF _Toc476239721 \h </w:instrText>
            </w:r>
            <w:r w:rsidR="000307EC" w:rsidRPr="0038045B">
              <w:rPr>
                <w:noProof/>
                <w:webHidden/>
                <w:szCs w:val="22"/>
              </w:rPr>
            </w:r>
            <w:r w:rsidR="000307EC" w:rsidRPr="0038045B">
              <w:rPr>
                <w:noProof/>
                <w:webHidden/>
                <w:szCs w:val="22"/>
              </w:rPr>
              <w:fldChar w:fldCharType="separate"/>
            </w:r>
            <w:r w:rsidR="005032F9">
              <w:rPr>
                <w:noProof/>
                <w:webHidden/>
                <w:szCs w:val="22"/>
              </w:rPr>
              <w:t>53</w:t>
            </w:r>
            <w:r w:rsidR="000307EC" w:rsidRPr="0038045B">
              <w:rPr>
                <w:noProof/>
                <w:webHidden/>
                <w:szCs w:val="22"/>
              </w:rPr>
              <w:fldChar w:fldCharType="end"/>
            </w:r>
          </w:hyperlink>
        </w:p>
        <w:p w14:paraId="4B13C6EC"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22" w:history="1">
            <w:r w:rsidR="000307EC" w:rsidRPr="0038045B">
              <w:rPr>
                <w:rStyle w:val="Hyperlink"/>
                <w:i/>
                <w:noProof/>
                <w:sz w:val="22"/>
                <w:szCs w:val="22"/>
              </w:rPr>
              <w:t>4.1.1</w:t>
            </w:r>
            <w:r w:rsidR="000307EC" w:rsidRPr="0038045B">
              <w:rPr>
                <w:rFonts w:eastAsiaTheme="minorEastAsia"/>
                <w:noProof/>
                <w:sz w:val="22"/>
                <w:szCs w:val="22"/>
                <w:lang w:eastAsia="en-US"/>
              </w:rPr>
              <w:tab/>
            </w:r>
            <w:r w:rsidR="000307EC" w:rsidRPr="0038045B">
              <w:rPr>
                <w:rStyle w:val="Hyperlink"/>
                <w:i/>
                <w:noProof/>
                <w:sz w:val="22"/>
                <w:szCs w:val="22"/>
              </w:rPr>
              <w:t>Relevance of transaction accounts in Albania (bank accounts and e-money accounts)</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_Toc476239722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54</w:t>
            </w:r>
            <w:r w:rsidR="000307EC" w:rsidRPr="0038045B">
              <w:rPr>
                <w:noProof/>
                <w:webHidden/>
                <w:sz w:val="22"/>
                <w:szCs w:val="22"/>
              </w:rPr>
              <w:fldChar w:fldCharType="end"/>
            </w:r>
          </w:hyperlink>
        </w:p>
        <w:p w14:paraId="50C32C17"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23" w:history="1">
            <w:r w:rsidR="000307EC" w:rsidRPr="0038045B">
              <w:rPr>
                <w:rStyle w:val="Hyperlink"/>
                <w:i/>
                <w:noProof/>
                <w:sz w:val="22"/>
                <w:szCs w:val="22"/>
              </w:rPr>
              <w:t>4.1.2</w:t>
            </w:r>
            <w:r w:rsidR="000307EC" w:rsidRPr="0038045B">
              <w:rPr>
                <w:rFonts w:eastAsiaTheme="minorEastAsia"/>
                <w:noProof/>
                <w:sz w:val="22"/>
                <w:szCs w:val="22"/>
                <w:lang w:eastAsia="en-US"/>
              </w:rPr>
              <w:tab/>
            </w:r>
            <w:r w:rsidR="000307EC" w:rsidRPr="0038045B">
              <w:rPr>
                <w:rStyle w:val="Hyperlink"/>
                <w:i/>
                <w:noProof/>
                <w:sz w:val="22"/>
                <w:szCs w:val="22"/>
              </w:rPr>
              <w:t>Types of bank accounts and e-money accounts</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_Toc476239723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54</w:t>
            </w:r>
            <w:r w:rsidR="000307EC" w:rsidRPr="0038045B">
              <w:rPr>
                <w:noProof/>
                <w:webHidden/>
                <w:sz w:val="22"/>
                <w:szCs w:val="22"/>
              </w:rPr>
              <w:fldChar w:fldCharType="end"/>
            </w:r>
          </w:hyperlink>
        </w:p>
        <w:p w14:paraId="6A7F5ED2"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24" w:history="1">
            <w:r w:rsidR="000307EC" w:rsidRPr="0038045B">
              <w:rPr>
                <w:rStyle w:val="Hyperlink"/>
                <w:i/>
                <w:noProof/>
                <w:sz w:val="22"/>
                <w:szCs w:val="22"/>
              </w:rPr>
              <w:t>4.1.3</w:t>
            </w:r>
            <w:r w:rsidR="000307EC" w:rsidRPr="0038045B">
              <w:rPr>
                <w:rFonts w:eastAsiaTheme="minorEastAsia"/>
                <w:noProof/>
                <w:sz w:val="22"/>
                <w:szCs w:val="22"/>
                <w:lang w:eastAsia="en-US"/>
              </w:rPr>
              <w:tab/>
            </w:r>
            <w:r w:rsidR="000307EC" w:rsidRPr="0038045B">
              <w:rPr>
                <w:rStyle w:val="Hyperlink"/>
                <w:i/>
                <w:noProof/>
                <w:sz w:val="22"/>
                <w:szCs w:val="22"/>
              </w:rPr>
              <w:t>Service offer (including payment instruments)</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_Toc476239724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55</w:t>
            </w:r>
            <w:r w:rsidR="000307EC" w:rsidRPr="0038045B">
              <w:rPr>
                <w:noProof/>
                <w:webHidden/>
                <w:sz w:val="22"/>
                <w:szCs w:val="22"/>
              </w:rPr>
              <w:fldChar w:fldCharType="end"/>
            </w:r>
          </w:hyperlink>
        </w:p>
        <w:p w14:paraId="336590C8"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25" w:history="1">
            <w:r w:rsidR="000307EC" w:rsidRPr="0038045B">
              <w:rPr>
                <w:rStyle w:val="Hyperlink"/>
                <w:i/>
                <w:noProof/>
                <w:sz w:val="22"/>
                <w:szCs w:val="22"/>
              </w:rPr>
              <w:t>4.1.4</w:t>
            </w:r>
            <w:r w:rsidR="000307EC" w:rsidRPr="0038045B">
              <w:rPr>
                <w:rFonts w:eastAsiaTheme="minorEastAsia"/>
                <w:noProof/>
                <w:sz w:val="22"/>
                <w:szCs w:val="22"/>
                <w:lang w:eastAsia="en-US"/>
              </w:rPr>
              <w:tab/>
            </w:r>
            <w:r w:rsidR="000307EC" w:rsidRPr="0038045B">
              <w:rPr>
                <w:rStyle w:val="Hyperlink"/>
                <w:i/>
                <w:noProof/>
                <w:sz w:val="22"/>
                <w:szCs w:val="22"/>
              </w:rPr>
              <w:t>Transaction account charges</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_Toc476239725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56</w:t>
            </w:r>
            <w:r w:rsidR="000307EC" w:rsidRPr="0038045B">
              <w:rPr>
                <w:noProof/>
                <w:webHidden/>
                <w:sz w:val="22"/>
                <w:szCs w:val="22"/>
              </w:rPr>
              <w:fldChar w:fldCharType="end"/>
            </w:r>
          </w:hyperlink>
        </w:p>
        <w:p w14:paraId="5A70111C"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26" w:history="1">
            <w:r w:rsidR="000307EC" w:rsidRPr="0038045B">
              <w:rPr>
                <w:rStyle w:val="Hyperlink"/>
                <w:i/>
                <w:noProof/>
                <w:sz w:val="22"/>
                <w:szCs w:val="22"/>
              </w:rPr>
              <w:t>4.1.5</w:t>
            </w:r>
            <w:r w:rsidR="000307EC" w:rsidRPr="0038045B">
              <w:rPr>
                <w:rFonts w:eastAsiaTheme="minorEastAsia"/>
                <w:noProof/>
                <w:sz w:val="22"/>
                <w:szCs w:val="22"/>
                <w:lang w:eastAsia="en-US"/>
              </w:rPr>
              <w:tab/>
            </w:r>
            <w:r w:rsidR="000307EC" w:rsidRPr="0038045B">
              <w:rPr>
                <w:rStyle w:val="Hyperlink"/>
                <w:i/>
                <w:noProof/>
                <w:sz w:val="22"/>
                <w:szCs w:val="22"/>
              </w:rPr>
              <w:t>End-customer behavior</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_Toc476239726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57</w:t>
            </w:r>
            <w:r w:rsidR="000307EC" w:rsidRPr="0038045B">
              <w:rPr>
                <w:noProof/>
                <w:webHidden/>
                <w:sz w:val="22"/>
                <w:szCs w:val="22"/>
              </w:rPr>
              <w:fldChar w:fldCharType="end"/>
            </w:r>
          </w:hyperlink>
        </w:p>
        <w:p w14:paraId="184D51D1" w14:textId="77777777" w:rsidR="000307EC" w:rsidRPr="0038045B" w:rsidRDefault="00267829">
          <w:pPr>
            <w:pStyle w:val="TOC2"/>
            <w:rPr>
              <w:rFonts w:eastAsiaTheme="minorEastAsia"/>
              <w:noProof/>
              <w:szCs w:val="22"/>
              <w:lang w:eastAsia="en-US"/>
            </w:rPr>
          </w:pPr>
          <w:hyperlink w:anchor="_Toc476239727" w:history="1">
            <w:r w:rsidR="000307EC" w:rsidRPr="0038045B">
              <w:rPr>
                <w:rStyle w:val="Hyperlink"/>
                <w:b/>
                <w:noProof/>
                <w:szCs w:val="22"/>
              </w:rPr>
              <w:t>4.2</w:t>
            </w:r>
            <w:r w:rsidR="000307EC" w:rsidRPr="0038045B">
              <w:rPr>
                <w:rFonts w:eastAsiaTheme="minorEastAsia"/>
                <w:noProof/>
                <w:szCs w:val="22"/>
                <w:lang w:eastAsia="en-US"/>
              </w:rPr>
              <w:tab/>
            </w:r>
            <w:r w:rsidR="000307EC" w:rsidRPr="0038045B">
              <w:rPr>
                <w:rStyle w:val="Hyperlink"/>
                <w:b/>
                <w:noProof/>
                <w:szCs w:val="22"/>
              </w:rPr>
              <w:t>Readily available access points and access channels</w:t>
            </w:r>
            <w:r w:rsidR="000307EC" w:rsidRPr="0038045B">
              <w:rPr>
                <w:noProof/>
                <w:webHidden/>
                <w:szCs w:val="22"/>
              </w:rPr>
              <w:tab/>
            </w:r>
            <w:r w:rsidR="000307EC" w:rsidRPr="0038045B">
              <w:rPr>
                <w:noProof/>
                <w:webHidden/>
                <w:szCs w:val="22"/>
              </w:rPr>
              <w:fldChar w:fldCharType="begin"/>
            </w:r>
            <w:r w:rsidR="000307EC" w:rsidRPr="0038045B">
              <w:rPr>
                <w:noProof/>
                <w:webHidden/>
                <w:szCs w:val="22"/>
              </w:rPr>
              <w:instrText xml:space="preserve"> PAGEREF _Toc476239727 \h </w:instrText>
            </w:r>
            <w:r w:rsidR="000307EC" w:rsidRPr="0038045B">
              <w:rPr>
                <w:noProof/>
                <w:webHidden/>
                <w:szCs w:val="22"/>
              </w:rPr>
            </w:r>
            <w:r w:rsidR="000307EC" w:rsidRPr="0038045B">
              <w:rPr>
                <w:noProof/>
                <w:webHidden/>
                <w:szCs w:val="22"/>
              </w:rPr>
              <w:fldChar w:fldCharType="separate"/>
            </w:r>
            <w:r w:rsidR="005032F9">
              <w:rPr>
                <w:noProof/>
                <w:webHidden/>
                <w:szCs w:val="22"/>
              </w:rPr>
              <w:t>59</w:t>
            </w:r>
            <w:r w:rsidR="000307EC" w:rsidRPr="0038045B">
              <w:rPr>
                <w:noProof/>
                <w:webHidden/>
                <w:szCs w:val="22"/>
              </w:rPr>
              <w:fldChar w:fldCharType="end"/>
            </w:r>
          </w:hyperlink>
        </w:p>
        <w:p w14:paraId="69486EF4"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28" w:history="1">
            <w:r w:rsidR="000307EC" w:rsidRPr="0038045B">
              <w:rPr>
                <w:rStyle w:val="Hyperlink"/>
                <w:i/>
                <w:noProof/>
                <w:sz w:val="22"/>
                <w:szCs w:val="22"/>
              </w:rPr>
              <w:t>4.2.1</w:t>
            </w:r>
            <w:r w:rsidR="000307EC" w:rsidRPr="0038045B">
              <w:rPr>
                <w:rFonts w:eastAsiaTheme="minorEastAsia"/>
                <w:noProof/>
                <w:sz w:val="22"/>
                <w:szCs w:val="22"/>
                <w:lang w:eastAsia="en-US"/>
              </w:rPr>
              <w:tab/>
            </w:r>
            <w:r w:rsidR="000307EC" w:rsidRPr="0038045B">
              <w:rPr>
                <w:rStyle w:val="Hyperlink"/>
                <w:i/>
                <w:noProof/>
                <w:sz w:val="22"/>
                <w:szCs w:val="22"/>
              </w:rPr>
              <w:t>Bank branches, ATMs and POS devices/terminals</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_Toc476239728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60</w:t>
            </w:r>
            <w:r w:rsidR="000307EC" w:rsidRPr="0038045B">
              <w:rPr>
                <w:noProof/>
                <w:webHidden/>
                <w:sz w:val="22"/>
                <w:szCs w:val="22"/>
              </w:rPr>
              <w:fldChar w:fldCharType="end"/>
            </w:r>
          </w:hyperlink>
        </w:p>
        <w:p w14:paraId="1AD5710B"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29" w:history="1">
            <w:r w:rsidR="000307EC" w:rsidRPr="0038045B">
              <w:rPr>
                <w:rStyle w:val="Hyperlink"/>
                <w:i/>
                <w:noProof/>
                <w:sz w:val="22"/>
                <w:szCs w:val="22"/>
              </w:rPr>
              <w:t>4.2.2</w:t>
            </w:r>
            <w:r w:rsidR="000307EC" w:rsidRPr="0038045B">
              <w:rPr>
                <w:rFonts w:eastAsiaTheme="minorEastAsia"/>
                <w:noProof/>
                <w:sz w:val="22"/>
                <w:szCs w:val="22"/>
                <w:lang w:eastAsia="en-US"/>
              </w:rPr>
              <w:tab/>
            </w:r>
            <w:r w:rsidR="000307EC" w:rsidRPr="0038045B">
              <w:rPr>
                <w:rStyle w:val="Hyperlink"/>
                <w:i/>
                <w:noProof/>
                <w:sz w:val="22"/>
                <w:szCs w:val="22"/>
              </w:rPr>
              <w:t>Post Office, non-bank PSPs and other financial institutions</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_Toc476239729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61</w:t>
            </w:r>
            <w:r w:rsidR="000307EC" w:rsidRPr="0038045B">
              <w:rPr>
                <w:noProof/>
                <w:webHidden/>
                <w:sz w:val="22"/>
                <w:szCs w:val="22"/>
              </w:rPr>
              <w:fldChar w:fldCharType="end"/>
            </w:r>
          </w:hyperlink>
        </w:p>
        <w:p w14:paraId="095E63C7"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30" w:history="1">
            <w:r w:rsidR="000307EC" w:rsidRPr="0038045B">
              <w:rPr>
                <w:rStyle w:val="Hyperlink"/>
                <w:i/>
                <w:noProof/>
                <w:sz w:val="22"/>
                <w:szCs w:val="22"/>
              </w:rPr>
              <w:t>4.2.3</w:t>
            </w:r>
            <w:r w:rsidR="000307EC" w:rsidRPr="0038045B">
              <w:rPr>
                <w:rFonts w:eastAsiaTheme="minorEastAsia"/>
                <w:noProof/>
                <w:sz w:val="22"/>
                <w:szCs w:val="22"/>
                <w:lang w:eastAsia="en-US"/>
              </w:rPr>
              <w:tab/>
            </w:r>
            <w:r w:rsidR="000307EC" w:rsidRPr="0038045B">
              <w:rPr>
                <w:rStyle w:val="Hyperlink"/>
                <w:i/>
                <w:noProof/>
                <w:sz w:val="22"/>
                <w:szCs w:val="22"/>
              </w:rPr>
              <w:t>Other payment networks led by distributors</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_Toc476239730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62</w:t>
            </w:r>
            <w:r w:rsidR="000307EC" w:rsidRPr="0038045B">
              <w:rPr>
                <w:noProof/>
                <w:webHidden/>
                <w:sz w:val="22"/>
                <w:szCs w:val="22"/>
              </w:rPr>
              <w:fldChar w:fldCharType="end"/>
            </w:r>
          </w:hyperlink>
        </w:p>
        <w:p w14:paraId="0526864A" w14:textId="77777777" w:rsidR="000307EC" w:rsidRPr="0038045B" w:rsidRDefault="00267829">
          <w:pPr>
            <w:pStyle w:val="TOC2"/>
            <w:rPr>
              <w:rFonts w:eastAsiaTheme="minorEastAsia"/>
              <w:noProof/>
              <w:szCs w:val="22"/>
              <w:lang w:eastAsia="en-US"/>
            </w:rPr>
          </w:pPr>
          <w:hyperlink w:anchor="_Toc476239731" w:history="1">
            <w:r w:rsidR="000307EC" w:rsidRPr="0038045B">
              <w:rPr>
                <w:rStyle w:val="Hyperlink"/>
                <w:b/>
                <w:noProof/>
                <w:szCs w:val="22"/>
              </w:rPr>
              <w:t>4.3</w:t>
            </w:r>
            <w:r w:rsidR="000307EC" w:rsidRPr="0038045B">
              <w:rPr>
                <w:rFonts w:eastAsiaTheme="minorEastAsia"/>
                <w:noProof/>
                <w:szCs w:val="22"/>
                <w:lang w:eastAsia="en-US"/>
              </w:rPr>
              <w:tab/>
            </w:r>
            <w:r w:rsidR="000307EC" w:rsidRPr="0038045B">
              <w:rPr>
                <w:rStyle w:val="Hyperlink"/>
                <w:b/>
                <w:noProof/>
                <w:szCs w:val="22"/>
              </w:rPr>
              <w:t>Financial literacy</w:t>
            </w:r>
            <w:r w:rsidR="000307EC" w:rsidRPr="0038045B">
              <w:rPr>
                <w:noProof/>
                <w:webHidden/>
                <w:szCs w:val="22"/>
              </w:rPr>
              <w:tab/>
            </w:r>
            <w:r w:rsidR="000307EC" w:rsidRPr="0038045B">
              <w:rPr>
                <w:noProof/>
                <w:webHidden/>
                <w:szCs w:val="22"/>
              </w:rPr>
              <w:fldChar w:fldCharType="begin"/>
            </w:r>
            <w:r w:rsidR="000307EC" w:rsidRPr="0038045B">
              <w:rPr>
                <w:noProof/>
                <w:webHidden/>
                <w:szCs w:val="22"/>
              </w:rPr>
              <w:instrText xml:space="preserve"> PAGEREF _Toc476239731 \h </w:instrText>
            </w:r>
            <w:r w:rsidR="000307EC" w:rsidRPr="0038045B">
              <w:rPr>
                <w:noProof/>
                <w:webHidden/>
                <w:szCs w:val="22"/>
              </w:rPr>
            </w:r>
            <w:r w:rsidR="000307EC" w:rsidRPr="0038045B">
              <w:rPr>
                <w:noProof/>
                <w:webHidden/>
                <w:szCs w:val="22"/>
              </w:rPr>
              <w:fldChar w:fldCharType="separate"/>
            </w:r>
            <w:r w:rsidR="005032F9">
              <w:rPr>
                <w:noProof/>
                <w:webHidden/>
                <w:szCs w:val="22"/>
              </w:rPr>
              <w:t>63</w:t>
            </w:r>
            <w:r w:rsidR="000307EC" w:rsidRPr="0038045B">
              <w:rPr>
                <w:noProof/>
                <w:webHidden/>
                <w:szCs w:val="22"/>
              </w:rPr>
              <w:fldChar w:fldCharType="end"/>
            </w:r>
          </w:hyperlink>
        </w:p>
        <w:p w14:paraId="31FA72D1"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32" w:history="1">
            <w:r w:rsidR="000307EC" w:rsidRPr="0038045B">
              <w:rPr>
                <w:rStyle w:val="Hyperlink"/>
                <w:i/>
                <w:noProof/>
                <w:sz w:val="22"/>
                <w:szCs w:val="22"/>
              </w:rPr>
              <w:t>4.3.1</w:t>
            </w:r>
            <w:r w:rsidR="000307EC" w:rsidRPr="0038045B">
              <w:rPr>
                <w:rFonts w:eastAsiaTheme="minorEastAsia"/>
                <w:noProof/>
                <w:sz w:val="22"/>
                <w:szCs w:val="22"/>
                <w:lang w:eastAsia="en-US"/>
              </w:rPr>
              <w:tab/>
            </w:r>
            <w:r w:rsidR="000307EC" w:rsidRPr="0038045B">
              <w:rPr>
                <w:rStyle w:val="Hyperlink"/>
                <w:i/>
                <w:noProof/>
                <w:sz w:val="22"/>
                <w:szCs w:val="22"/>
              </w:rPr>
              <w:t>Awareness and financial literacy efforts in Albania</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_Toc476239732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64</w:t>
            </w:r>
            <w:r w:rsidR="000307EC" w:rsidRPr="0038045B">
              <w:rPr>
                <w:noProof/>
                <w:webHidden/>
                <w:sz w:val="22"/>
                <w:szCs w:val="22"/>
              </w:rPr>
              <w:fldChar w:fldCharType="end"/>
            </w:r>
          </w:hyperlink>
        </w:p>
        <w:p w14:paraId="70137CA9" w14:textId="77777777" w:rsidR="000307EC" w:rsidRPr="0038045B" w:rsidRDefault="00267829">
          <w:pPr>
            <w:pStyle w:val="TOC2"/>
            <w:rPr>
              <w:rFonts w:eastAsiaTheme="minorEastAsia"/>
              <w:noProof/>
              <w:szCs w:val="22"/>
              <w:lang w:eastAsia="en-US"/>
            </w:rPr>
          </w:pPr>
          <w:hyperlink w:anchor="_Toc476239733" w:history="1">
            <w:r w:rsidR="000307EC" w:rsidRPr="0038045B">
              <w:rPr>
                <w:rStyle w:val="Hyperlink"/>
                <w:b/>
                <w:noProof/>
                <w:szCs w:val="22"/>
              </w:rPr>
              <w:t>4.4</w:t>
            </w:r>
            <w:r w:rsidR="000307EC" w:rsidRPr="0038045B">
              <w:rPr>
                <w:rFonts w:eastAsiaTheme="minorEastAsia"/>
                <w:noProof/>
                <w:szCs w:val="22"/>
                <w:lang w:eastAsia="en-US"/>
              </w:rPr>
              <w:tab/>
            </w:r>
            <w:r w:rsidR="000307EC" w:rsidRPr="0038045B">
              <w:rPr>
                <w:rStyle w:val="Hyperlink"/>
                <w:b/>
                <w:noProof/>
                <w:szCs w:val="22"/>
              </w:rPr>
              <w:t>Leveraging large volume recurrent payments</w:t>
            </w:r>
            <w:r w:rsidR="000307EC" w:rsidRPr="0038045B">
              <w:rPr>
                <w:noProof/>
                <w:webHidden/>
                <w:szCs w:val="22"/>
              </w:rPr>
              <w:tab/>
            </w:r>
            <w:r w:rsidR="000307EC" w:rsidRPr="0038045B">
              <w:rPr>
                <w:noProof/>
                <w:webHidden/>
                <w:szCs w:val="22"/>
              </w:rPr>
              <w:fldChar w:fldCharType="begin"/>
            </w:r>
            <w:r w:rsidR="000307EC" w:rsidRPr="0038045B">
              <w:rPr>
                <w:noProof/>
                <w:webHidden/>
                <w:szCs w:val="22"/>
              </w:rPr>
              <w:instrText xml:space="preserve"> PAGEREF _Toc476239733 \h </w:instrText>
            </w:r>
            <w:r w:rsidR="000307EC" w:rsidRPr="0038045B">
              <w:rPr>
                <w:noProof/>
                <w:webHidden/>
                <w:szCs w:val="22"/>
              </w:rPr>
            </w:r>
            <w:r w:rsidR="000307EC" w:rsidRPr="0038045B">
              <w:rPr>
                <w:noProof/>
                <w:webHidden/>
                <w:szCs w:val="22"/>
              </w:rPr>
              <w:fldChar w:fldCharType="separate"/>
            </w:r>
            <w:r w:rsidR="005032F9">
              <w:rPr>
                <w:noProof/>
                <w:webHidden/>
                <w:szCs w:val="22"/>
              </w:rPr>
              <w:t>66</w:t>
            </w:r>
            <w:r w:rsidR="000307EC" w:rsidRPr="0038045B">
              <w:rPr>
                <w:noProof/>
                <w:webHidden/>
                <w:szCs w:val="22"/>
              </w:rPr>
              <w:fldChar w:fldCharType="end"/>
            </w:r>
          </w:hyperlink>
        </w:p>
        <w:p w14:paraId="36A25D33"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34" w:history="1">
            <w:r w:rsidR="000307EC" w:rsidRPr="0038045B">
              <w:rPr>
                <w:rStyle w:val="Hyperlink"/>
                <w:i/>
                <w:noProof/>
                <w:sz w:val="22"/>
                <w:szCs w:val="22"/>
              </w:rPr>
              <w:t>4.4.1</w:t>
            </w:r>
            <w:r w:rsidR="000307EC" w:rsidRPr="0038045B">
              <w:rPr>
                <w:rFonts w:eastAsiaTheme="minorEastAsia"/>
                <w:noProof/>
                <w:sz w:val="22"/>
                <w:szCs w:val="22"/>
                <w:lang w:eastAsia="en-US"/>
              </w:rPr>
              <w:tab/>
            </w:r>
            <w:r w:rsidR="000307EC" w:rsidRPr="0038045B">
              <w:rPr>
                <w:rStyle w:val="Hyperlink"/>
                <w:i/>
                <w:noProof/>
                <w:sz w:val="22"/>
                <w:szCs w:val="22"/>
              </w:rPr>
              <w:t>Government disbursements and collections</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_Toc476239734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66</w:t>
            </w:r>
            <w:r w:rsidR="000307EC" w:rsidRPr="0038045B">
              <w:rPr>
                <w:noProof/>
                <w:webHidden/>
                <w:sz w:val="22"/>
                <w:szCs w:val="22"/>
              </w:rPr>
              <w:fldChar w:fldCharType="end"/>
            </w:r>
          </w:hyperlink>
        </w:p>
        <w:p w14:paraId="0DDE4678"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35" w:history="1">
            <w:r w:rsidR="000307EC" w:rsidRPr="0038045B">
              <w:rPr>
                <w:rStyle w:val="Hyperlink"/>
                <w:i/>
                <w:noProof/>
                <w:sz w:val="22"/>
                <w:szCs w:val="22"/>
              </w:rPr>
              <w:t>4.4.2</w:t>
            </w:r>
            <w:r w:rsidR="000307EC" w:rsidRPr="0038045B">
              <w:rPr>
                <w:rFonts w:eastAsiaTheme="minorEastAsia"/>
                <w:noProof/>
                <w:sz w:val="22"/>
                <w:szCs w:val="22"/>
                <w:lang w:eastAsia="en-US"/>
              </w:rPr>
              <w:tab/>
            </w:r>
            <w:r w:rsidR="000307EC" w:rsidRPr="0038045B">
              <w:rPr>
                <w:rStyle w:val="Hyperlink"/>
                <w:i/>
                <w:noProof/>
                <w:sz w:val="22"/>
                <w:szCs w:val="22"/>
              </w:rPr>
              <w:t>Utility and other bill payments</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_Toc476239735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68</w:t>
            </w:r>
            <w:r w:rsidR="000307EC" w:rsidRPr="0038045B">
              <w:rPr>
                <w:noProof/>
                <w:webHidden/>
                <w:sz w:val="22"/>
                <w:szCs w:val="22"/>
              </w:rPr>
              <w:fldChar w:fldCharType="end"/>
            </w:r>
          </w:hyperlink>
        </w:p>
        <w:p w14:paraId="23423460"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36" w:history="1">
            <w:r w:rsidR="000307EC" w:rsidRPr="0038045B">
              <w:rPr>
                <w:rStyle w:val="Hyperlink"/>
                <w:i/>
                <w:noProof/>
                <w:sz w:val="22"/>
                <w:szCs w:val="22"/>
              </w:rPr>
              <w:t>4.4.3</w:t>
            </w:r>
            <w:r w:rsidR="000307EC" w:rsidRPr="0038045B">
              <w:rPr>
                <w:rFonts w:eastAsiaTheme="minorEastAsia"/>
                <w:noProof/>
                <w:sz w:val="22"/>
                <w:szCs w:val="22"/>
                <w:lang w:eastAsia="en-US"/>
              </w:rPr>
              <w:tab/>
            </w:r>
            <w:r w:rsidR="000307EC" w:rsidRPr="0038045B">
              <w:rPr>
                <w:rStyle w:val="Hyperlink"/>
                <w:i/>
                <w:noProof/>
                <w:sz w:val="22"/>
                <w:szCs w:val="22"/>
              </w:rPr>
              <w:t>Transit payments</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_Toc476239736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68</w:t>
            </w:r>
            <w:r w:rsidR="000307EC" w:rsidRPr="0038045B">
              <w:rPr>
                <w:noProof/>
                <w:webHidden/>
                <w:sz w:val="22"/>
                <w:szCs w:val="22"/>
              </w:rPr>
              <w:fldChar w:fldCharType="end"/>
            </w:r>
          </w:hyperlink>
        </w:p>
        <w:p w14:paraId="3DE004FE" w14:textId="77777777" w:rsidR="000307EC" w:rsidRPr="0038045B" w:rsidRDefault="00267829">
          <w:pPr>
            <w:pStyle w:val="TOC3"/>
            <w:tabs>
              <w:tab w:val="left" w:pos="1320"/>
              <w:tab w:val="right" w:leader="dot" w:pos="8630"/>
            </w:tabs>
            <w:rPr>
              <w:rFonts w:eastAsiaTheme="minorEastAsia"/>
              <w:noProof/>
              <w:sz w:val="22"/>
              <w:szCs w:val="22"/>
              <w:lang w:eastAsia="en-US"/>
            </w:rPr>
          </w:pPr>
          <w:hyperlink w:anchor="_Toc476239737" w:history="1">
            <w:r w:rsidR="000307EC" w:rsidRPr="0038045B">
              <w:rPr>
                <w:rStyle w:val="Hyperlink"/>
                <w:i/>
                <w:noProof/>
                <w:sz w:val="22"/>
                <w:szCs w:val="22"/>
              </w:rPr>
              <w:t>4.4.4</w:t>
            </w:r>
            <w:r w:rsidR="000307EC" w:rsidRPr="0038045B">
              <w:rPr>
                <w:rFonts w:eastAsiaTheme="minorEastAsia"/>
                <w:noProof/>
                <w:sz w:val="22"/>
                <w:szCs w:val="22"/>
                <w:lang w:eastAsia="en-US"/>
              </w:rPr>
              <w:tab/>
            </w:r>
            <w:r w:rsidR="000307EC" w:rsidRPr="0038045B">
              <w:rPr>
                <w:rStyle w:val="Hyperlink"/>
                <w:i/>
                <w:noProof/>
                <w:sz w:val="22"/>
                <w:szCs w:val="22"/>
              </w:rPr>
              <w:t>Remittances</w:t>
            </w:r>
            <w:r w:rsidR="000307EC" w:rsidRPr="0038045B">
              <w:rPr>
                <w:noProof/>
                <w:webHidden/>
                <w:sz w:val="22"/>
                <w:szCs w:val="22"/>
              </w:rPr>
              <w:tab/>
            </w:r>
            <w:r w:rsidR="000307EC" w:rsidRPr="0038045B">
              <w:rPr>
                <w:noProof/>
                <w:webHidden/>
                <w:sz w:val="22"/>
                <w:szCs w:val="22"/>
              </w:rPr>
              <w:fldChar w:fldCharType="begin"/>
            </w:r>
            <w:r w:rsidR="000307EC" w:rsidRPr="0038045B">
              <w:rPr>
                <w:noProof/>
                <w:webHidden/>
                <w:sz w:val="22"/>
                <w:szCs w:val="22"/>
              </w:rPr>
              <w:instrText xml:space="preserve"> PAGEREF _Toc476239737 \h </w:instrText>
            </w:r>
            <w:r w:rsidR="000307EC" w:rsidRPr="0038045B">
              <w:rPr>
                <w:noProof/>
                <w:webHidden/>
                <w:sz w:val="22"/>
                <w:szCs w:val="22"/>
              </w:rPr>
            </w:r>
            <w:r w:rsidR="000307EC" w:rsidRPr="0038045B">
              <w:rPr>
                <w:noProof/>
                <w:webHidden/>
                <w:sz w:val="22"/>
                <w:szCs w:val="22"/>
              </w:rPr>
              <w:fldChar w:fldCharType="separate"/>
            </w:r>
            <w:r w:rsidR="005032F9">
              <w:rPr>
                <w:noProof/>
                <w:webHidden/>
                <w:sz w:val="22"/>
                <w:szCs w:val="22"/>
              </w:rPr>
              <w:t>69</w:t>
            </w:r>
            <w:r w:rsidR="000307EC" w:rsidRPr="0038045B">
              <w:rPr>
                <w:noProof/>
                <w:webHidden/>
                <w:sz w:val="22"/>
                <w:szCs w:val="22"/>
              </w:rPr>
              <w:fldChar w:fldCharType="end"/>
            </w:r>
          </w:hyperlink>
        </w:p>
        <w:p w14:paraId="562C4E00" w14:textId="77777777" w:rsidR="000307EC" w:rsidRPr="0038045B" w:rsidRDefault="00267829">
          <w:pPr>
            <w:pStyle w:val="TOC1"/>
            <w:rPr>
              <w:rFonts w:eastAsiaTheme="minorEastAsia"/>
              <w:b w:val="0"/>
              <w:szCs w:val="22"/>
              <w:lang w:eastAsia="en-US"/>
            </w:rPr>
          </w:pPr>
          <w:hyperlink w:anchor="_Toc476239738" w:history="1">
            <w:r w:rsidR="000307EC" w:rsidRPr="0038045B">
              <w:rPr>
                <w:rStyle w:val="Hyperlink"/>
                <w:szCs w:val="22"/>
              </w:rPr>
              <w:t>5</w:t>
            </w:r>
            <w:r w:rsidR="000307EC" w:rsidRPr="0038045B">
              <w:rPr>
                <w:rFonts w:eastAsiaTheme="minorEastAsia"/>
                <w:b w:val="0"/>
                <w:szCs w:val="22"/>
                <w:lang w:eastAsia="en-US"/>
              </w:rPr>
              <w:tab/>
            </w:r>
            <w:r w:rsidR="000307EC" w:rsidRPr="0038045B">
              <w:rPr>
                <w:rStyle w:val="Hyperlink"/>
                <w:szCs w:val="22"/>
              </w:rPr>
              <w:t>CONCLUSIONS</w:t>
            </w:r>
            <w:r w:rsidR="000307EC" w:rsidRPr="0038045B">
              <w:rPr>
                <w:webHidden/>
                <w:szCs w:val="22"/>
              </w:rPr>
              <w:tab/>
            </w:r>
            <w:r w:rsidR="000307EC" w:rsidRPr="0038045B">
              <w:rPr>
                <w:webHidden/>
                <w:szCs w:val="22"/>
              </w:rPr>
              <w:fldChar w:fldCharType="begin"/>
            </w:r>
            <w:r w:rsidR="000307EC" w:rsidRPr="0038045B">
              <w:rPr>
                <w:webHidden/>
                <w:szCs w:val="22"/>
              </w:rPr>
              <w:instrText xml:space="preserve"> PAGEREF _Toc476239738 \h </w:instrText>
            </w:r>
            <w:r w:rsidR="000307EC" w:rsidRPr="0038045B">
              <w:rPr>
                <w:webHidden/>
                <w:szCs w:val="22"/>
              </w:rPr>
            </w:r>
            <w:r w:rsidR="000307EC" w:rsidRPr="0038045B">
              <w:rPr>
                <w:webHidden/>
                <w:szCs w:val="22"/>
              </w:rPr>
              <w:fldChar w:fldCharType="separate"/>
            </w:r>
            <w:r w:rsidR="005032F9">
              <w:rPr>
                <w:webHidden/>
                <w:szCs w:val="22"/>
              </w:rPr>
              <w:t>74</w:t>
            </w:r>
            <w:r w:rsidR="000307EC" w:rsidRPr="0038045B">
              <w:rPr>
                <w:webHidden/>
                <w:szCs w:val="22"/>
              </w:rPr>
              <w:fldChar w:fldCharType="end"/>
            </w:r>
          </w:hyperlink>
        </w:p>
        <w:p w14:paraId="7CB94C02" w14:textId="77777777" w:rsidR="000307EC" w:rsidRPr="0038045B" w:rsidRDefault="00267829">
          <w:pPr>
            <w:pStyle w:val="TOC1"/>
            <w:rPr>
              <w:rFonts w:eastAsiaTheme="minorEastAsia"/>
              <w:b w:val="0"/>
              <w:szCs w:val="22"/>
              <w:lang w:eastAsia="en-US"/>
            </w:rPr>
          </w:pPr>
          <w:hyperlink w:anchor="_Toc476239739" w:history="1">
            <w:r w:rsidR="000307EC" w:rsidRPr="0038045B">
              <w:rPr>
                <w:rStyle w:val="Hyperlink"/>
                <w:szCs w:val="22"/>
              </w:rPr>
              <w:t>6</w:t>
            </w:r>
            <w:r w:rsidR="000307EC" w:rsidRPr="0038045B">
              <w:rPr>
                <w:rFonts w:eastAsiaTheme="minorEastAsia"/>
                <w:b w:val="0"/>
                <w:szCs w:val="22"/>
                <w:lang w:eastAsia="en-US"/>
              </w:rPr>
              <w:tab/>
            </w:r>
            <w:r w:rsidR="000307EC" w:rsidRPr="0038045B">
              <w:rPr>
                <w:rStyle w:val="Hyperlink"/>
                <w:szCs w:val="22"/>
              </w:rPr>
              <w:t>SOURCES</w:t>
            </w:r>
            <w:r w:rsidR="000307EC" w:rsidRPr="0038045B">
              <w:rPr>
                <w:webHidden/>
                <w:szCs w:val="22"/>
              </w:rPr>
              <w:tab/>
            </w:r>
            <w:r w:rsidR="000307EC" w:rsidRPr="0038045B">
              <w:rPr>
                <w:webHidden/>
                <w:szCs w:val="22"/>
              </w:rPr>
              <w:fldChar w:fldCharType="begin"/>
            </w:r>
            <w:r w:rsidR="000307EC" w:rsidRPr="0038045B">
              <w:rPr>
                <w:webHidden/>
                <w:szCs w:val="22"/>
              </w:rPr>
              <w:instrText xml:space="preserve"> PAGEREF _Toc476239739 \h </w:instrText>
            </w:r>
            <w:r w:rsidR="000307EC" w:rsidRPr="0038045B">
              <w:rPr>
                <w:webHidden/>
                <w:szCs w:val="22"/>
              </w:rPr>
            </w:r>
            <w:r w:rsidR="000307EC" w:rsidRPr="0038045B">
              <w:rPr>
                <w:webHidden/>
                <w:szCs w:val="22"/>
              </w:rPr>
              <w:fldChar w:fldCharType="separate"/>
            </w:r>
            <w:r w:rsidR="005032F9">
              <w:rPr>
                <w:webHidden/>
                <w:szCs w:val="22"/>
              </w:rPr>
              <w:t>76</w:t>
            </w:r>
            <w:r w:rsidR="000307EC" w:rsidRPr="0038045B">
              <w:rPr>
                <w:webHidden/>
                <w:szCs w:val="22"/>
              </w:rPr>
              <w:fldChar w:fldCharType="end"/>
            </w:r>
          </w:hyperlink>
        </w:p>
        <w:p w14:paraId="6BA5EC26" w14:textId="77777777" w:rsidR="000307EC" w:rsidRPr="0038045B" w:rsidRDefault="00267829">
          <w:pPr>
            <w:pStyle w:val="TOC1"/>
            <w:rPr>
              <w:rFonts w:eastAsiaTheme="minorEastAsia"/>
              <w:b w:val="0"/>
              <w:szCs w:val="22"/>
              <w:lang w:eastAsia="en-US"/>
            </w:rPr>
          </w:pPr>
          <w:hyperlink w:anchor="_Toc476239740" w:history="1">
            <w:r w:rsidR="000307EC" w:rsidRPr="0038045B">
              <w:rPr>
                <w:rStyle w:val="Hyperlink"/>
                <w:szCs w:val="22"/>
              </w:rPr>
              <w:t>Annex 1. Payment Aspects of Financial Inclusion: Guiding principles and recommended key actions for consideration (PAFI, 2016)</w:t>
            </w:r>
            <w:r w:rsidR="000307EC" w:rsidRPr="0038045B">
              <w:rPr>
                <w:webHidden/>
                <w:szCs w:val="22"/>
              </w:rPr>
              <w:tab/>
            </w:r>
            <w:r w:rsidR="000307EC" w:rsidRPr="0038045B">
              <w:rPr>
                <w:webHidden/>
                <w:szCs w:val="22"/>
              </w:rPr>
              <w:fldChar w:fldCharType="begin"/>
            </w:r>
            <w:r w:rsidR="000307EC" w:rsidRPr="0038045B">
              <w:rPr>
                <w:webHidden/>
                <w:szCs w:val="22"/>
              </w:rPr>
              <w:instrText xml:space="preserve"> PAGEREF _Toc476239740 \h </w:instrText>
            </w:r>
            <w:r w:rsidR="000307EC" w:rsidRPr="0038045B">
              <w:rPr>
                <w:webHidden/>
                <w:szCs w:val="22"/>
              </w:rPr>
            </w:r>
            <w:r w:rsidR="000307EC" w:rsidRPr="0038045B">
              <w:rPr>
                <w:webHidden/>
                <w:szCs w:val="22"/>
              </w:rPr>
              <w:fldChar w:fldCharType="separate"/>
            </w:r>
            <w:r w:rsidR="005032F9">
              <w:rPr>
                <w:webHidden/>
                <w:szCs w:val="22"/>
              </w:rPr>
              <w:t>77</w:t>
            </w:r>
            <w:r w:rsidR="000307EC" w:rsidRPr="0038045B">
              <w:rPr>
                <w:webHidden/>
                <w:szCs w:val="22"/>
              </w:rPr>
              <w:fldChar w:fldCharType="end"/>
            </w:r>
          </w:hyperlink>
        </w:p>
        <w:p w14:paraId="57615EB8" w14:textId="77777777" w:rsidR="000307EC" w:rsidRPr="0038045B" w:rsidRDefault="00267829">
          <w:pPr>
            <w:pStyle w:val="TOC1"/>
            <w:rPr>
              <w:rFonts w:eastAsiaTheme="minorEastAsia"/>
              <w:b w:val="0"/>
              <w:szCs w:val="22"/>
              <w:lang w:eastAsia="en-US"/>
            </w:rPr>
          </w:pPr>
          <w:hyperlink w:anchor="_Toc476239741" w:history="1">
            <w:r w:rsidR="000307EC" w:rsidRPr="0038045B">
              <w:rPr>
                <w:rStyle w:val="Hyperlink"/>
                <w:szCs w:val="22"/>
              </w:rPr>
              <w:t>Annex 2. Coordination Structures for Financial Inclusion in Selected Countries</w:t>
            </w:r>
            <w:r w:rsidR="000307EC" w:rsidRPr="0038045B">
              <w:rPr>
                <w:webHidden/>
                <w:szCs w:val="22"/>
              </w:rPr>
              <w:tab/>
            </w:r>
            <w:r w:rsidR="000307EC" w:rsidRPr="0038045B">
              <w:rPr>
                <w:webHidden/>
                <w:szCs w:val="22"/>
              </w:rPr>
              <w:fldChar w:fldCharType="begin"/>
            </w:r>
            <w:r w:rsidR="000307EC" w:rsidRPr="0038045B">
              <w:rPr>
                <w:webHidden/>
                <w:szCs w:val="22"/>
              </w:rPr>
              <w:instrText xml:space="preserve"> PAGEREF _Toc476239741 \h </w:instrText>
            </w:r>
            <w:r w:rsidR="000307EC" w:rsidRPr="0038045B">
              <w:rPr>
                <w:webHidden/>
                <w:szCs w:val="22"/>
              </w:rPr>
            </w:r>
            <w:r w:rsidR="000307EC" w:rsidRPr="0038045B">
              <w:rPr>
                <w:webHidden/>
                <w:szCs w:val="22"/>
              </w:rPr>
              <w:fldChar w:fldCharType="separate"/>
            </w:r>
            <w:r w:rsidR="005032F9">
              <w:rPr>
                <w:webHidden/>
                <w:szCs w:val="22"/>
              </w:rPr>
              <w:t>81</w:t>
            </w:r>
            <w:r w:rsidR="000307EC" w:rsidRPr="0038045B">
              <w:rPr>
                <w:webHidden/>
                <w:szCs w:val="22"/>
              </w:rPr>
              <w:fldChar w:fldCharType="end"/>
            </w:r>
          </w:hyperlink>
        </w:p>
        <w:p w14:paraId="4D7BAEDB" w14:textId="77777777" w:rsidR="000307EC" w:rsidRPr="0038045B" w:rsidRDefault="00267829">
          <w:pPr>
            <w:pStyle w:val="TOC1"/>
            <w:rPr>
              <w:rFonts w:eastAsiaTheme="minorEastAsia"/>
              <w:b w:val="0"/>
              <w:szCs w:val="22"/>
              <w:lang w:eastAsia="en-US"/>
            </w:rPr>
          </w:pPr>
          <w:hyperlink w:anchor="_Toc476239742" w:history="1">
            <w:r w:rsidR="000307EC" w:rsidRPr="0038045B">
              <w:rPr>
                <w:rStyle w:val="Hyperlink"/>
                <w:szCs w:val="22"/>
              </w:rPr>
              <w:t>Annex 3: Potential Composition of a Financial Inclusion Forum</w:t>
            </w:r>
            <w:r w:rsidR="000307EC" w:rsidRPr="0038045B">
              <w:rPr>
                <w:webHidden/>
                <w:szCs w:val="22"/>
              </w:rPr>
              <w:tab/>
            </w:r>
            <w:r w:rsidR="000307EC" w:rsidRPr="0038045B">
              <w:rPr>
                <w:webHidden/>
                <w:szCs w:val="22"/>
              </w:rPr>
              <w:fldChar w:fldCharType="begin"/>
            </w:r>
            <w:r w:rsidR="000307EC" w:rsidRPr="0038045B">
              <w:rPr>
                <w:webHidden/>
                <w:szCs w:val="22"/>
              </w:rPr>
              <w:instrText xml:space="preserve"> PAGEREF _Toc476239742 \h </w:instrText>
            </w:r>
            <w:r w:rsidR="000307EC" w:rsidRPr="0038045B">
              <w:rPr>
                <w:webHidden/>
                <w:szCs w:val="22"/>
              </w:rPr>
            </w:r>
            <w:r w:rsidR="000307EC" w:rsidRPr="0038045B">
              <w:rPr>
                <w:webHidden/>
                <w:szCs w:val="22"/>
              </w:rPr>
              <w:fldChar w:fldCharType="separate"/>
            </w:r>
            <w:r w:rsidR="005032F9">
              <w:rPr>
                <w:webHidden/>
                <w:szCs w:val="22"/>
              </w:rPr>
              <w:t>83</w:t>
            </w:r>
            <w:r w:rsidR="000307EC" w:rsidRPr="0038045B">
              <w:rPr>
                <w:webHidden/>
                <w:szCs w:val="22"/>
              </w:rPr>
              <w:fldChar w:fldCharType="end"/>
            </w:r>
          </w:hyperlink>
        </w:p>
        <w:p w14:paraId="1CEFE49F" w14:textId="77777777" w:rsidR="000307EC" w:rsidRPr="0038045B" w:rsidRDefault="00267829">
          <w:pPr>
            <w:pStyle w:val="TOC1"/>
            <w:rPr>
              <w:rFonts w:eastAsiaTheme="minorEastAsia"/>
              <w:b w:val="0"/>
              <w:szCs w:val="22"/>
              <w:lang w:eastAsia="en-US"/>
            </w:rPr>
          </w:pPr>
          <w:hyperlink w:anchor="_Toc476239743" w:history="1">
            <w:r w:rsidR="000307EC" w:rsidRPr="0038045B">
              <w:rPr>
                <w:rStyle w:val="Hyperlink"/>
                <w:szCs w:val="22"/>
              </w:rPr>
              <w:t>Annex 4: Key outcomes from a PAFI survey of basic accounts in selected countries</w:t>
            </w:r>
            <w:r w:rsidR="000307EC" w:rsidRPr="0038045B">
              <w:rPr>
                <w:webHidden/>
                <w:szCs w:val="22"/>
              </w:rPr>
              <w:tab/>
            </w:r>
            <w:r w:rsidR="000307EC" w:rsidRPr="0038045B">
              <w:rPr>
                <w:webHidden/>
                <w:szCs w:val="22"/>
              </w:rPr>
              <w:fldChar w:fldCharType="begin"/>
            </w:r>
            <w:r w:rsidR="000307EC" w:rsidRPr="0038045B">
              <w:rPr>
                <w:webHidden/>
                <w:szCs w:val="22"/>
              </w:rPr>
              <w:instrText xml:space="preserve"> PAGEREF _Toc476239743 \h </w:instrText>
            </w:r>
            <w:r w:rsidR="000307EC" w:rsidRPr="0038045B">
              <w:rPr>
                <w:webHidden/>
                <w:szCs w:val="22"/>
              </w:rPr>
            </w:r>
            <w:r w:rsidR="000307EC" w:rsidRPr="0038045B">
              <w:rPr>
                <w:webHidden/>
                <w:szCs w:val="22"/>
              </w:rPr>
              <w:fldChar w:fldCharType="separate"/>
            </w:r>
            <w:r w:rsidR="005032F9">
              <w:rPr>
                <w:webHidden/>
                <w:szCs w:val="22"/>
              </w:rPr>
              <w:t>84</w:t>
            </w:r>
            <w:r w:rsidR="000307EC" w:rsidRPr="0038045B">
              <w:rPr>
                <w:webHidden/>
                <w:szCs w:val="22"/>
              </w:rPr>
              <w:fldChar w:fldCharType="end"/>
            </w:r>
          </w:hyperlink>
        </w:p>
        <w:p w14:paraId="3A22722B" w14:textId="77777777" w:rsidR="003C3490" w:rsidRPr="0038045B" w:rsidRDefault="003C3490">
          <w:pPr>
            <w:rPr>
              <w:sz w:val="22"/>
              <w:szCs w:val="22"/>
            </w:rPr>
          </w:pPr>
          <w:r w:rsidRPr="0038045B">
            <w:rPr>
              <w:b/>
              <w:bCs/>
              <w:sz w:val="22"/>
              <w:szCs w:val="22"/>
            </w:rPr>
            <w:fldChar w:fldCharType="end"/>
          </w:r>
        </w:p>
      </w:sdtContent>
    </w:sdt>
    <w:p w14:paraId="56829D42" w14:textId="77777777" w:rsidR="00D81974" w:rsidRPr="0038045B" w:rsidRDefault="00D81974" w:rsidP="00D4605E">
      <w:pPr>
        <w:pStyle w:val="Body"/>
        <w:tabs>
          <w:tab w:val="right" w:leader="dot" w:pos="8880"/>
        </w:tabs>
        <w:spacing w:line="360" w:lineRule="auto"/>
        <w:ind w:firstLine="0"/>
        <w:rPr>
          <w:bCs/>
          <w:sz w:val="22"/>
          <w:szCs w:val="22"/>
          <w:lang w:val="en-US"/>
        </w:rPr>
      </w:pPr>
    </w:p>
    <w:p w14:paraId="6BD7CB4F" w14:textId="77777777" w:rsidR="00472C24" w:rsidRPr="0038045B" w:rsidRDefault="00472C24">
      <w:pPr>
        <w:rPr>
          <w:bCs/>
          <w:spacing w:val="-3"/>
          <w:sz w:val="22"/>
          <w:szCs w:val="22"/>
        </w:rPr>
      </w:pPr>
      <w:r w:rsidRPr="0038045B">
        <w:rPr>
          <w:bCs/>
          <w:sz w:val="22"/>
          <w:szCs w:val="22"/>
        </w:rPr>
        <w:br w:type="page"/>
      </w:r>
    </w:p>
    <w:p w14:paraId="509F89D6" w14:textId="77777777" w:rsidR="00D81974" w:rsidRPr="0038045B" w:rsidRDefault="00D81974" w:rsidP="00D4605E">
      <w:pPr>
        <w:pStyle w:val="Heading1"/>
        <w:numPr>
          <w:ilvl w:val="0"/>
          <w:numId w:val="0"/>
        </w:numPr>
        <w:jc w:val="center"/>
        <w:rPr>
          <w:szCs w:val="24"/>
        </w:rPr>
      </w:pPr>
      <w:bookmarkStart w:id="9" w:name="_Toc268782108"/>
      <w:bookmarkStart w:id="10" w:name="_Toc388044571"/>
      <w:bookmarkStart w:id="11" w:name="_Toc476239694"/>
      <w:r w:rsidRPr="0038045B">
        <w:rPr>
          <w:szCs w:val="24"/>
        </w:rPr>
        <w:lastRenderedPageBreak/>
        <w:t>ACRONYMS AND ABBREVIATIONS</w:t>
      </w:r>
      <w:bookmarkEnd w:id="9"/>
      <w:bookmarkEnd w:id="10"/>
      <w:bookmarkEnd w:id="11"/>
    </w:p>
    <w:p w14:paraId="1377C590" w14:textId="77777777" w:rsidR="00D81974" w:rsidRPr="0038045B" w:rsidRDefault="00D81974" w:rsidP="00D4605E">
      <w:pPr>
        <w:pStyle w:val="Body"/>
        <w:ind w:firstLine="0"/>
        <w:jc w:val="left"/>
        <w:rPr>
          <w:bCs/>
          <w:szCs w:val="24"/>
          <w:lang w:val="en-US"/>
        </w:rPr>
      </w:pPr>
    </w:p>
    <w:p w14:paraId="74E2F196" w14:textId="77777777" w:rsidR="00C15CA0" w:rsidRPr="0038045B" w:rsidRDefault="00C15CA0" w:rsidP="00D4605E">
      <w:pPr>
        <w:pStyle w:val="Body"/>
        <w:ind w:firstLine="0"/>
        <w:rPr>
          <w:szCs w:val="24"/>
          <w:lang w:val="en-US"/>
        </w:rPr>
      </w:pPr>
    </w:p>
    <w:p w14:paraId="415B043F" w14:textId="77777777" w:rsidR="003C525F" w:rsidRPr="0038045B" w:rsidRDefault="00E4579C" w:rsidP="00FA4DCD">
      <w:pPr>
        <w:pStyle w:val="Body"/>
        <w:spacing w:after="120"/>
        <w:ind w:firstLine="0"/>
        <w:rPr>
          <w:bCs/>
          <w:szCs w:val="24"/>
          <w:lang w:val="en-US"/>
        </w:rPr>
      </w:pPr>
      <w:r w:rsidRPr="0038045B">
        <w:rPr>
          <w:bCs/>
          <w:szCs w:val="24"/>
          <w:lang w:val="en-US"/>
        </w:rPr>
        <w:t>ACH</w:t>
      </w:r>
      <w:r w:rsidRPr="0038045B">
        <w:rPr>
          <w:bCs/>
          <w:szCs w:val="24"/>
          <w:lang w:val="en-US"/>
        </w:rPr>
        <w:tab/>
      </w:r>
      <w:r w:rsidRPr="0038045B">
        <w:rPr>
          <w:bCs/>
          <w:szCs w:val="24"/>
          <w:lang w:val="en-US"/>
        </w:rPr>
        <w:tab/>
      </w:r>
      <w:r w:rsidRPr="0038045B">
        <w:rPr>
          <w:bCs/>
          <w:szCs w:val="24"/>
          <w:lang w:val="en-US"/>
        </w:rPr>
        <w:tab/>
        <w:t>Automated clearing h</w:t>
      </w:r>
      <w:r w:rsidR="003C525F" w:rsidRPr="0038045B">
        <w:rPr>
          <w:bCs/>
          <w:szCs w:val="24"/>
          <w:lang w:val="en-US"/>
        </w:rPr>
        <w:t>ouse</w:t>
      </w:r>
    </w:p>
    <w:p w14:paraId="5BBECF5C" w14:textId="77777777" w:rsidR="0044739E" w:rsidRPr="0038045B" w:rsidRDefault="0044739E" w:rsidP="00FA4DCD">
      <w:pPr>
        <w:pStyle w:val="Body"/>
        <w:spacing w:after="120"/>
        <w:ind w:firstLine="0"/>
        <w:rPr>
          <w:bCs/>
          <w:szCs w:val="24"/>
          <w:lang w:val="en-US"/>
        </w:rPr>
      </w:pPr>
      <w:r w:rsidRPr="0038045B">
        <w:rPr>
          <w:bCs/>
          <w:szCs w:val="24"/>
          <w:lang w:val="en-US"/>
        </w:rPr>
        <w:t>ADIA</w:t>
      </w:r>
      <w:r w:rsidRPr="0038045B">
        <w:rPr>
          <w:bCs/>
          <w:szCs w:val="24"/>
          <w:lang w:val="en-US"/>
        </w:rPr>
        <w:tab/>
      </w:r>
      <w:r w:rsidRPr="0038045B">
        <w:rPr>
          <w:bCs/>
          <w:szCs w:val="24"/>
          <w:lang w:val="en-US"/>
        </w:rPr>
        <w:tab/>
      </w:r>
      <w:r w:rsidRPr="0038045B">
        <w:rPr>
          <w:bCs/>
          <w:szCs w:val="24"/>
          <w:lang w:val="en-US"/>
        </w:rPr>
        <w:tab/>
      </w:r>
      <w:r w:rsidRPr="0038045B">
        <w:rPr>
          <w:lang w:val="en-US"/>
        </w:rPr>
        <w:t>Albanian Deposit Insurance Agency</w:t>
      </w:r>
    </w:p>
    <w:p w14:paraId="4225DA88" w14:textId="77777777" w:rsidR="00CB15E8" w:rsidRPr="0038045B" w:rsidRDefault="00CB15E8" w:rsidP="00FA4DCD">
      <w:pPr>
        <w:pStyle w:val="Body"/>
        <w:spacing w:after="120"/>
        <w:ind w:firstLine="0"/>
        <w:rPr>
          <w:bCs/>
          <w:szCs w:val="24"/>
          <w:lang w:val="en-US"/>
        </w:rPr>
      </w:pPr>
      <w:r w:rsidRPr="0038045B">
        <w:rPr>
          <w:bCs/>
          <w:szCs w:val="24"/>
          <w:lang w:val="en-US"/>
        </w:rPr>
        <w:t>AECH</w:t>
      </w:r>
      <w:r w:rsidRPr="0038045B">
        <w:rPr>
          <w:bCs/>
          <w:szCs w:val="24"/>
          <w:lang w:val="en-US"/>
        </w:rPr>
        <w:tab/>
      </w:r>
      <w:r w:rsidRPr="0038045B">
        <w:rPr>
          <w:bCs/>
          <w:szCs w:val="24"/>
          <w:lang w:val="en-US"/>
        </w:rPr>
        <w:tab/>
      </w:r>
      <w:r w:rsidRPr="0038045B">
        <w:rPr>
          <w:bCs/>
          <w:szCs w:val="24"/>
          <w:lang w:val="en-US"/>
        </w:rPr>
        <w:tab/>
        <w:t>Albanian Electronic Clearing House</w:t>
      </w:r>
    </w:p>
    <w:p w14:paraId="413D72A4" w14:textId="77777777" w:rsidR="00CB15E8" w:rsidRPr="0038045B" w:rsidRDefault="00CB15E8" w:rsidP="00FA4DCD">
      <w:pPr>
        <w:pStyle w:val="Body"/>
        <w:spacing w:after="120"/>
        <w:ind w:firstLine="0"/>
        <w:rPr>
          <w:bCs/>
          <w:szCs w:val="24"/>
          <w:lang w:val="en-US"/>
        </w:rPr>
      </w:pPr>
      <w:r w:rsidRPr="0038045B">
        <w:rPr>
          <w:bCs/>
          <w:szCs w:val="24"/>
          <w:lang w:val="en-US"/>
        </w:rPr>
        <w:t>AIPS</w:t>
      </w:r>
      <w:r w:rsidRPr="0038045B">
        <w:rPr>
          <w:bCs/>
          <w:szCs w:val="24"/>
          <w:lang w:val="en-US"/>
        </w:rPr>
        <w:tab/>
      </w:r>
      <w:r w:rsidRPr="0038045B">
        <w:rPr>
          <w:bCs/>
          <w:szCs w:val="24"/>
          <w:lang w:val="en-US"/>
        </w:rPr>
        <w:tab/>
      </w:r>
      <w:r w:rsidRPr="0038045B">
        <w:rPr>
          <w:bCs/>
          <w:szCs w:val="24"/>
          <w:lang w:val="en-US"/>
        </w:rPr>
        <w:tab/>
        <w:t>Albanian Interbank Payment System</w:t>
      </w:r>
    </w:p>
    <w:p w14:paraId="6D63D23F" w14:textId="77777777" w:rsidR="00B8309C" w:rsidRPr="0038045B" w:rsidRDefault="00B8309C" w:rsidP="00B8309C">
      <w:pPr>
        <w:pStyle w:val="Body"/>
        <w:spacing w:after="120"/>
        <w:ind w:firstLine="0"/>
        <w:rPr>
          <w:bCs/>
          <w:szCs w:val="24"/>
          <w:lang w:val="en-US"/>
        </w:rPr>
      </w:pPr>
      <w:r w:rsidRPr="0038045B">
        <w:rPr>
          <w:bCs/>
          <w:szCs w:val="24"/>
          <w:lang w:val="en-US"/>
        </w:rPr>
        <w:t>AKEP</w:t>
      </w:r>
      <w:r w:rsidRPr="0038045B">
        <w:rPr>
          <w:bCs/>
          <w:szCs w:val="24"/>
          <w:lang w:val="en-US"/>
        </w:rPr>
        <w:tab/>
      </w:r>
      <w:r w:rsidRPr="0038045B">
        <w:rPr>
          <w:bCs/>
          <w:szCs w:val="24"/>
          <w:lang w:val="en-US"/>
        </w:rPr>
        <w:tab/>
      </w:r>
      <w:r w:rsidRPr="0038045B">
        <w:rPr>
          <w:bCs/>
          <w:szCs w:val="24"/>
          <w:lang w:val="en-US"/>
        </w:rPr>
        <w:tab/>
        <w:t>Electronic and Postal Communications Authority of Albania</w:t>
      </w:r>
    </w:p>
    <w:p w14:paraId="29859E78" w14:textId="77777777" w:rsidR="00877A3A" w:rsidRPr="0038045B" w:rsidRDefault="00877A3A" w:rsidP="00B8309C">
      <w:pPr>
        <w:pStyle w:val="Body"/>
        <w:spacing w:after="120"/>
        <w:ind w:firstLine="0"/>
        <w:rPr>
          <w:bCs/>
          <w:szCs w:val="24"/>
          <w:lang w:val="en-US"/>
        </w:rPr>
      </w:pPr>
      <w:r w:rsidRPr="0038045B">
        <w:rPr>
          <w:bCs/>
          <w:szCs w:val="24"/>
          <w:lang w:val="en-US"/>
        </w:rPr>
        <w:t>ALL</w:t>
      </w:r>
      <w:r w:rsidRPr="0038045B">
        <w:rPr>
          <w:bCs/>
          <w:szCs w:val="24"/>
          <w:lang w:val="en-US"/>
        </w:rPr>
        <w:tab/>
      </w:r>
      <w:r w:rsidRPr="0038045B">
        <w:rPr>
          <w:bCs/>
          <w:szCs w:val="24"/>
          <w:lang w:val="en-US"/>
        </w:rPr>
        <w:tab/>
      </w:r>
      <w:r w:rsidRPr="0038045B">
        <w:rPr>
          <w:bCs/>
          <w:szCs w:val="24"/>
          <w:lang w:val="en-US"/>
        </w:rPr>
        <w:tab/>
        <w:t>Albanian Lek</w:t>
      </w:r>
    </w:p>
    <w:p w14:paraId="061D2482" w14:textId="77777777" w:rsidR="00D81974" w:rsidRPr="0038045B" w:rsidRDefault="00D81974" w:rsidP="00FA4DCD">
      <w:pPr>
        <w:pStyle w:val="Body"/>
        <w:spacing w:after="120"/>
        <w:ind w:firstLine="0"/>
        <w:rPr>
          <w:bCs/>
          <w:szCs w:val="24"/>
          <w:lang w:val="en-US"/>
        </w:rPr>
      </w:pPr>
      <w:r w:rsidRPr="0038045B">
        <w:rPr>
          <w:bCs/>
          <w:szCs w:val="24"/>
          <w:lang w:val="en-US"/>
        </w:rPr>
        <w:t>AML</w:t>
      </w:r>
      <w:r w:rsidRPr="0038045B">
        <w:rPr>
          <w:bCs/>
          <w:szCs w:val="24"/>
          <w:lang w:val="en-US"/>
        </w:rPr>
        <w:tab/>
      </w:r>
      <w:r w:rsidRPr="0038045B">
        <w:rPr>
          <w:bCs/>
          <w:szCs w:val="24"/>
          <w:lang w:val="en-US"/>
        </w:rPr>
        <w:tab/>
      </w:r>
      <w:r w:rsidR="000141A1" w:rsidRPr="0038045B">
        <w:rPr>
          <w:bCs/>
          <w:szCs w:val="24"/>
          <w:lang w:val="en-US"/>
        </w:rPr>
        <w:tab/>
      </w:r>
      <w:r w:rsidR="007C2804" w:rsidRPr="0038045B">
        <w:rPr>
          <w:bCs/>
          <w:szCs w:val="24"/>
          <w:lang w:val="en-US"/>
        </w:rPr>
        <w:t>Anti-</w:t>
      </w:r>
      <w:r w:rsidR="00E4579C" w:rsidRPr="0038045B">
        <w:rPr>
          <w:bCs/>
          <w:szCs w:val="24"/>
          <w:lang w:val="en-US"/>
        </w:rPr>
        <w:t>m</w:t>
      </w:r>
      <w:r w:rsidRPr="0038045B">
        <w:rPr>
          <w:bCs/>
          <w:szCs w:val="24"/>
          <w:lang w:val="en-US"/>
        </w:rPr>
        <w:t xml:space="preserve">oney </w:t>
      </w:r>
      <w:r w:rsidR="00E4579C" w:rsidRPr="0038045B">
        <w:rPr>
          <w:bCs/>
          <w:szCs w:val="24"/>
          <w:lang w:val="en-US"/>
        </w:rPr>
        <w:t>l</w:t>
      </w:r>
      <w:r w:rsidR="00A86D09" w:rsidRPr="0038045B">
        <w:rPr>
          <w:bCs/>
          <w:szCs w:val="24"/>
          <w:lang w:val="en-US"/>
        </w:rPr>
        <w:t>aundering</w:t>
      </w:r>
    </w:p>
    <w:p w14:paraId="270E4A92" w14:textId="77777777" w:rsidR="00D81974" w:rsidRPr="0038045B" w:rsidRDefault="00D81974" w:rsidP="00FA4DCD">
      <w:pPr>
        <w:pStyle w:val="Body"/>
        <w:spacing w:after="120"/>
        <w:ind w:firstLine="0"/>
        <w:rPr>
          <w:bCs/>
          <w:szCs w:val="24"/>
          <w:lang w:val="en-US"/>
        </w:rPr>
      </w:pPr>
      <w:r w:rsidRPr="0038045B">
        <w:rPr>
          <w:bCs/>
          <w:szCs w:val="24"/>
          <w:lang w:val="en-US"/>
        </w:rPr>
        <w:t>ATM</w:t>
      </w:r>
      <w:r w:rsidRPr="0038045B">
        <w:rPr>
          <w:bCs/>
          <w:szCs w:val="24"/>
          <w:lang w:val="en-US"/>
        </w:rPr>
        <w:tab/>
      </w:r>
      <w:r w:rsidRPr="0038045B">
        <w:rPr>
          <w:bCs/>
          <w:szCs w:val="24"/>
          <w:lang w:val="en-US"/>
        </w:rPr>
        <w:tab/>
      </w:r>
      <w:r w:rsidR="000141A1" w:rsidRPr="0038045B">
        <w:rPr>
          <w:bCs/>
          <w:szCs w:val="24"/>
          <w:lang w:val="en-US"/>
        </w:rPr>
        <w:tab/>
      </w:r>
      <w:r w:rsidR="00E4579C" w:rsidRPr="0038045B">
        <w:rPr>
          <w:bCs/>
          <w:szCs w:val="24"/>
          <w:lang w:val="en-US"/>
        </w:rPr>
        <w:t>Automated t</w:t>
      </w:r>
      <w:r w:rsidRPr="0038045B">
        <w:rPr>
          <w:bCs/>
          <w:szCs w:val="24"/>
          <w:lang w:val="en-US"/>
        </w:rPr>
        <w:t xml:space="preserve">eller </w:t>
      </w:r>
      <w:r w:rsidR="00E4579C" w:rsidRPr="0038045B">
        <w:rPr>
          <w:bCs/>
          <w:szCs w:val="24"/>
          <w:lang w:val="en-US"/>
        </w:rPr>
        <w:t>m</w:t>
      </w:r>
      <w:r w:rsidRPr="0038045B">
        <w:rPr>
          <w:bCs/>
          <w:szCs w:val="24"/>
          <w:lang w:val="en-US"/>
        </w:rPr>
        <w:t>achine</w:t>
      </w:r>
    </w:p>
    <w:p w14:paraId="6A4F977B" w14:textId="77777777" w:rsidR="00D81974" w:rsidRPr="0038045B" w:rsidRDefault="00D81974" w:rsidP="00FA4DCD">
      <w:pPr>
        <w:pStyle w:val="Body"/>
        <w:spacing w:after="120"/>
        <w:ind w:firstLine="0"/>
        <w:rPr>
          <w:bCs/>
          <w:szCs w:val="24"/>
          <w:lang w:val="en-US"/>
        </w:rPr>
      </w:pPr>
      <w:r w:rsidRPr="0038045B">
        <w:rPr>
          <w:bCs/>
          <w:szCs w:val="24"/>
          <w:lang w:val="en-US"/>
        </w:rPr>
        <w:t>BIS</w:t>
      </w:r>
      <w:r w:rsidRPr="0038045B">
        <w:rPr>
          <w:bCs/>
          <w:szCs w:val="24"/>
          <w:lang w:val="en-US"/>
        </w:rPr>
        <w:tab/>
      </w:r>
      <w:r w:rsidRPr="0038045B">
        <w:rPr>
          <w:bCs/>
          <w:szCs w:val="24"/>
          <w:lang w:val="en-US"/>
        </w:rPr>
        <w:tab/>
      </w:r>
      <w:r w:rsidR="000141A1" w:rsidRPr="0038045B">
        <w:rPr>
          <w:bCs/>
          <w:szCs w:val="24"/>
          <w:lang w:val="en-US"/>
        </w:rPr>
        <w:tab/>
      </w:r>
      <w:r w:rsidRPr="0038045B">
        <w:rPr>
          <w:bCs/>
          <w:szCs w:val="24"/>
          <w:lang w:val="en-US"/>
        </w:rPr>
        <w:t>Bank for International Settlements</w:t>
      </w:r>
    </w:p>
    <w:p w14:paraId="0A733EBA" w14:textId="77777777" w:rsidR="005A3769" w:rsidRPr="0038045B" w:rsidRDefault="005A3769" w:rsidP="00FA4DCD">
      <w:pPr>
        <w:pStyle w:val="Body"/>
        <w:spacing w:after="120"/>
        <w:ind w:firstLine="0"/>
        <w:rPr>
          <w:bCs/>
          <w:szCs w:val="24"/>
          <w:lang w:val="en-US"/>
        </w:rPr>
      </w:pPr>
      <w:r w:rsidRPr="0038045B">
        <w:rPr>
          <w:bCs/>
          <w:szCs w:val="24"/>
          <w:lang w:val="en-US"/>
        </w:rPr>
        <w:t>BoA</w:t>
      </w:r>
      <w:r w:rsidRPr="0038045B">
        <w:rPr>
          <w:bCs/>
          <w:szCs w:val="24"/>
          <w:lang w:val="en-US"/>
        </w:rPr>
        <w:tab/>
      </w:r>
      <w:r w:rsidRPr="0038045B">
        <w:rPr>
          <w:bCs/>
          <w:szCs w:val="24"/>
          <w:lang w:val="en-US"/>
        </w:rPr>
        <w:tab/>
      </w:r>
      <w:r w:rsidRPr="0038045B">
        <w:rPr>
          <w:bCs/>
          <w:szCs w:val="24"/>
          <w:lang w:val="en-US"/>
        </w:rPr>
        <w:tab/>
        <w:t>Bank of Albania</w:t>
      </w:r>
    </w:p>
    <w:p w14:paraId="023A0E69" w14:textId="77777777" w:rsidR="00D81974" w:rsidRPr="0038045B" w:rsidRDefault="00D81974" w:rsidP="00FA4DCD">
      <w:pPr>
        <w:pStyle w:val="Body"/>
        <w:spacing w:after="120"/>
        <w:ind w:firstLine="0"/>
        <w:rPr>
          <w:bCs/>
          <w:szCs w:val="24"/>
          <w:lang w:val="en-US"/>
        </w:rPr>
      </w:pPr>
      <w:r w:rsidRPr="0038045B">
        <w:rPr>
          <w:bCs/>
          <w:szCs w:val="24"/>
          <w:lang w:val="en-US"/>
        </w:rPr>
        <w:t>CDD</w:t>
      </w:r>
      <w:r w:rsidRPr="0038045B">
        <w:rPr>
          <w:bCs/>
          <w:szCs w:val="24"/>
          <w:lang w:val="en-US"/>
        </w:rPr>
        <w:tab/>
      </w:r>
      <w:r w:rsidRPr="0038045B">
        <w:rPr>
          <w:bCs/>
          <w:szCs w:val="24"/>
          <w:lang w:val="en-US"/>
        </w:rPr>
        <w:tab/>
      </w:r>
      <w:r w:rsidR="000141A1" w:rsidRPr="0038045B">
        <w:rPr>
          <w:bCs/>
          <w:szCs w:val="24"/>
          <w:lang w:val="en-US"/>
        </w:rPr>
        <w:tab/>
      </w:r>
      <w:r w:rsidR="00E4579C" w:rsidRPr="0038045B">
        <w:rPr>
          <w:bCs/>
          <w:szCs w:val="24"/>
          <w:lang w:val="en-US"/>
        </w:rPr>
        <w:t>Customer due d</w:t>
      </w:r>
      <w:r w:rsidRPr="0038045B">
        <w:rPr>
          <w:bCs/>
          <w:szCs w:val="24"/>
          <w:lang w:val="en-US"/>
        </w:rPr>
        <w:t xml:space="preserve">iligence </w:t>
      </w:r>
    </w:p>
    <w:p w14:paraId="08478566" w14:textId="77777777" w:rsidR="00D81974" w:rsidRPr="0038045B" w:rsidRDefault="00D81974" w:rsidP="00FA4DCD">
      <w:pPr>
        <w:pStyle w:val="Body"/>
        <w:spacing w:after="120"/>
        <w:ind w:firstLine="0"/>
        <w:rPr>
          <w:bCs/>
          <w:szCs w:val="24"/>
          <w:lang w:val="en-US"/>
        </w:rPr>
      </w:pPr>
      <w:r w:rsidRPr="0038045B">
        <w:rPr>
          <w:bCs/>
          <w:szCs w:val="24"/>
          <w:lang w:val="en-US"/>
        </w:rPr>
        <w:t>CFT</w:t>
      </w:r>
      <w:r w:rsidRPr="0038045B">
        <w:rPr>
          <w:bCs/>
          <w:szCs w:val="24"/>
          <w:lang w:val="en-US"/>
        </w:rPr>
        <w:tab/>
      </w:r>
      <w:r w:rsidRPr="0038045B">
        <w:rPr>
          <w:bCs/>
          <w:szCs w:val="24"/>
          <w:lang w:val="en-US"/>
        </w:rPr>
        <w:tab/>
      </w:r>
      <w:r w:rsidR="000141A1" w:rsidRPr="0038045B">
        <w:rPr>
          <w:bCs/>
          <w:szCs w:val="24"/>
          <w:lang w:val="en-US"/>
        </w:rPr>
        <w:tab/>
      </w:r>
      <w:r w:rsidR="00E4579C" w:rsidRPr="0038045B">
        <w:rPr>
          <w:bCs/>
          <w:szCs w:val="24"/>
          <w:lang w:val="en-US"/>
        </w:rPr>
        <w:t>Combat the financing of t</w:t>
      </w:r>
      <w:r w:rsidRPr="0038045B">
        <w:rPr>
          <w:bCs/>
          <w:szCs w:val="24"/>
          <w:lang w:val="en-US"/>
        </w:rPr>
        <w:t>errorism</w:t>
      </w:r>
    </w:p>
    <w:p w14:paraId="3AD556D3" w14:textId="77777777" w:rsidR="00C71246" w:rsidRPr="0038045B" w:rsidRDefault="00C71246" w:rsidP="00FA4DCD">
      <w:pPr>
        <w:pStyle w:val="Body"/>
        <w:spacing w:after="120"/>
        <w:ind w:firstLine="0"/>
        <w:rPr>
          <w:bCs/>
          <w:szCs w:val="24"/>
          <w:lang w:val="en-US"/>
        </w:rPr>
      </w:pPr>
      <w:r w:rsidRPr="0038045B">
        <w:rPr>
          <w:bCs/>
          <w:szCs w:val="24"/>
          <w:lang w:val="en-US"/>
        </w:rPr>
        <w:t>CPC</w:t>
      </w:r>
      <w:r w:rsidRPr="0038045B">
        <w:rPr>
          <w:bCs/>
          <w:szCs w:val="24"/>
          <w:lang w:val="en-US"/>
        </w:rPr>
        <w:tab/>
      </w:r>
      <w:r w:rsidRPr="0038045B">
        <w:rPr>
          <w:bCs/>
          <w:szCs w:val="24"/>
          <w:lang w:val="en-US"/>
        </w:rPr>
        <w:tab/>
      </w:r>
      <w:r w:rsidRPr="0038045B">
        <w:rPr>
          <w:bCs/>
          <w:szCs w:val="24"/>
          <w:lang w:val="en-US"/>
        </w:rPr>
        <w:tab/>
      </w:r>
      <w:r w:rsidRPr="0038045B">
        <w:rPr>
          <w:szCs w:val="24"/>
          <w:lang w:val="en-US"/>
        </w:rPr>
        <w:t>Consumer Protection Commission</w:t>
      </w:r>
    </w:p>
    <w:p w14:paraId="2570B30A" w14:textId="77777777" w:rsidR="00D81974" w:rsidRPr="0038045B" w:rsidRDefault="00D81974" w:rsidP="00FA4DCD">
      <w:pPr>
        <w:pStyle w:val="Body"/>
        <w:spacing w:after="120"/>
        <w:ind w:left="2160" w:hanging="2160"/>
        <w:rPr>
          <w:bCs/>
          <w:szCs w:val="24"/>
          <w:lang w:val="en-US"/>
        </w:rPr>
      </w:pPr>
      <w:r w:rsidRPr="0038045B">
        <w:rPr>
          <w:bCs/>
          <w:szCs w:val="24"/>
          <w:lang w:val="en-US"/>
        </w:rPr>
        <w:t>CP</w:t>
      </w:r>
      <w:r w:rsidR="00472C24" w:rsidRPr="0038045B">
        <w:rPr>
          <w:bCs/>
          <w:szCs w:val="24"/>
          <w:lang w:val="en-US"/>
        </w:rPr>
        <w:t>MI</w:t>
      </w:r>
      <w:r w:rsidRPr="0038045B">
        <w:rPr>
          <w:bCs/>
          <w:szCs w:val="24"/>
          <w:lang w:val="en-US"/>
        </w:rPr>
        <w:tab/>
      </w:r>
      <w:r w:rsidR="00DA6118" w:rsidRPr="0038045B">
        <w:rPr>
          <w:bCs/>
          <w:szCs w:val="24"/>
          <w:lang w:val="en-US"/>
        </w:rPr>
        <w:t>Committee on Payment</w:t>
      </w:r>
      <w:r w:rsidR="00472C24" w:rsidRPr="0038045B">
        <w:rPr>
          <w:bCs/>
          <w:szCs w:val="24"/>
          <w:lang w:val="en-US"/>
        </w:rPr>
        <w:t>s</w:t>
      </w:r>
      <w:r w:rsidR="00DA6118" w:rsidRPr="0038045B">
        <w:rPr>
          <w:bCs/>
          <w:szCs w:val="24"/>
          <w:lang w:val="en-US"/>
        </w:rPr>
        <w:t xml:space="preserve"> and Market Infrastructures</w:t>
      </w:r>
    </w:p>
    <w:p w14:paraId="6F913B61" w14:textId="77777777" w:rsidR="00AB59F6" w:rsidRPr="0038045B" w:rsidRDefault="00AB59F6" w:rsidP="00FA4DCD">
      <w:pPr>
        <w:pStyle w:val="Body"/>
        <w:spacing w:after="120"/>
        <w:ind w:left="2160" w:hanging="2160"/>
        <w:rPr>
          <w:bCs/>
          <w:szCs w:val="24"/>
          <w:lang w:val="it-IT"/>
        </w:rPr>
      </w:pPr>
      <w:r w:rsidRPr="0038045B">
        <w:rPr>
          <w:szCs w:val="24"/>
          <w:lang w:val="it-IT"/>
        </w:rPr>
        <w:t>DPT</w:t>
      </w:r>
      <w:r w:rsidRPr="0038045B">
        <w:rPr>
          <w:i/>
          <w:szCs w:val="24"/>
          <w:lang w:val="it-IT"/>
        </w:rPr>
        <w:t xml:space="preserve"> </w:t>
      </w:r>
      <w:r w:rsidRPr="0038045B">
        <w:rPr>
          <w:i/>
          <w:szCs w:val="24"/>
          <w:lang w:val="it-IT"/>
        </w:rPr>
        <w:tab/>
      </w:r>
      <w:r w:rsidRPr="0038045B">
        <w:rPr>
          <w:szCs w:val="24"/>
          <w:lang w:val="it-IT"/>
        </w:rPr>
        <w:t>Albania Taxation Office</w:t>
      </w:r>
      <w:r w:rsidRPr="0038045B">
        <w:rPr>
          <w:i/>
          <w:szCs w:val="24"/>
          <w:lang w:val="it-IT"/>
        </w:rPr>
        <w:t xml:space="preserve"> (Drejtoria e Përgjithshme e Tatimeve</w:t>
      </w:r>
      <w:r w:rsidRPr="0038045B">
        <w:rPr>
          <w:szCs w:val="24"/>
          <w:lang w:val="it-IT"/>
        </w:rPr>
        <w:t>)</w:t>
      </w:r>
    </w:p>
    <w:p w14:paraId="319FF3A5" w14:textId="77777777" w:rsidR="00E4579C" w:rsidRPr="0038045B" w:rsidRDefault="00E4579C" w:rsidP="00FA4DCD">
      <w:pPr>
        <w:pStyle w:val="Body"/>
        <w:spacing w:after="120"/>
        <w:ind w:left="2160" w:hanging="2160"/>
        <w:rPr>
          <w:bCs/>
          <w:szCs w:val="24"/>
          <w:lang w:val="en-US"/>
        </w:rPr>
      </w:pPr>
      <w:r w:rsidRPr="0038045B">
        <w:rPr>
          <w:bCs/>
          <w:szCs w:val="24"/>
          <w:lang w:val="en-US"/>
        </w:rPr>
        <w:t>ECA</w:t>
      </w:r>
      <w:r w:rsidRPr="0038045B">
        <w:rPr>
          <w:bCs/>
          <w:szCs w:val="24"/>
          <w:lang w:val="en-US"/>
        </w:rPr>
        <w:tab/>
        <w:t>Europe and Central Asia</w:t>
      </w:r>
    </w:p>
    <w:p w14:paraId="6052E113" w14:textId="77777777" w:rsidR="00341345" w:rsidRPr="0038045B" w:rsidRDefault="00E4579C" w:rsidP="00E4579C">
      <w:pPr>
        <w:pStyle w:val="Body"/>
        <w:spacing w:after="120"/>
        <w:ind w:firstLine="0"/>
        <w:rPr>
          <w:bCs/>
          <w:szCs w:val="24"/>
          <w:lang w:val="en-US"/>
        </w:rPr>
      </w:pPr>
      <w:r w:rsidRPr="0038045B">
        <w:rPr>
          <w:bCs/>
          <w:szCs w:val="24"/>
          <w:lang w:val="en-US"/>
        </w:rPr>
        <w:t>EFT</w:t>
      </w:r>
      <w:r w:rsidRPr="0038045B">
        <w:rPr>
          <w:bCs/>
          <w:szCs w:val="24"/>
          <w:lang w:val="en-US"/>
        </w:rPr>
        <w:tab/>
      </w:r>
      <w:r w:rsidRPr="0038045B">
        <w:rPr>
          <w:bCs/>
          <w:szCs w:val="24"/>
          <w:lang w:val="en-US"/>
        </w:rPr>
        <w:tab/>
      </w:r>
      <w:r w:rsidRPr="0038045B">
        <w:rPr>
          <w:bCs/>
          <w:szCs w:val="24"/>
          <w:lang w:val="en-US"/>
        </w:rPr>
        <w:tab/>
        <w:t>Electronic f</w:t>
      </w:r>
      <w:r w:rsidR="00341345" w:rsidRPr="0038045B">
        <w:rPr>
          <w:bCs/>
          <w:szCs w:val="24"/>
          <w:lang w:val="en-US"/>
        </w:rPr>
        <w:t>und</w:t>
      </w:r>
      <w:r w:rsidR="002E38F2" w:rsidRPr="0038045B">
        <w:rPr>
          <w:bCs/>
          <w:szCs w:val="24"/>
          <w:lang w:val="en-US"/>
        </w:rPr>
        <w:t>s</w:t>
      </w:r>
      <w:r w:rsidRPr="0038045B">
        <w:rPr>
          <w:bCs/>
          <w:szCs w:val="24"/>
          <w:lang w:val="en-US"/>
        </w:rPr>
        <w:t xml:space="preserve"> t</w:t>
      </w:r>
      <w:r w:rsidR="00341345" w:rsidRPr="0038045B">
        <w:rPr>
          <w:bCs/>
          <w:szCs w:val="24"/>
          <w:lang w:val="en-US"/>
        </w:rPr>
        <w:t>ransfer</w:t>
      </w:r>
    </w:p>
    <w:p w14:paraId="66917176" w14:textId="77777777" w:rsidR="002401EB" w:rsidRPr="0038045B" w:rsidRDefault="002401EB" w:rsidP="00FA4DCD">
      <w:pPr>
        <w:pStyle w:val="Body"/>
        <w:spacing w:after="120"/>
        <w:ind w:firstLine="0"/>
        <w:rPr>
          <w:bCs/>
          <w:szCs w:val="24"/>
          <w:lang w:val="en-US"/>
        </w:rPr>
      </w:pPr>
      <w:r w:rsidRPr="0038045B">
        <w:rPr>
          <w:bCs/>
          <w:szCs w:val="24"/>
          <w:lang w:val="en-US"/>
        </w:rPr>
        <w:t>EU</w:t>
      </w:r>
      <w:r w:rsidRPr="0038045B">
        <w:rPr>
          <w:bCs/>
          <w:szCs w:val="24"/>
          <w:lang w:val="en-US"/>
        </w:rPr>
        <w:tab/>
      </w:r>
      <w:r w:rsidRPr="0038045B">
        <w:rPr>
          <w:bCs/>
          <w:szCs w:val="24"/>
          <w:lang w:val="en-US"/>
        </w:rPr>
        <w:tab/>
      </w:r>
      <w:r w:rsidRPr="0038045B">
        <w:rPr>
          <w:bCs/>
          <w:szCs w:val="24"/>
          <w:lang w:val="en-US"/>
        </w:rPr>
        <w:tab/>
        <w:t>European Union</w:t>
      </w:r>
    </w:p>
    <w:p w14:paraId="74BABAB8" w14:textId="77777777" w:rsidR="00877A3A" w:rsidRPr="0038045B" w:rsidRDefault="00877A3A" w:rsidP="00FA4DCD">
      <w:pPr>
        <w:pStyle w:val="Body"/>
        <w:spacing w:after="120"/>
        <w:ind w:firstLine="0"/>
        <w:rPr>
          <w:bCs/>
          <w:szCs w:val="24"/>
          <w:lang w:val="en-US"/>
        </w:rPr>
      </w:pPr>
      <w:r w:rsidRPr="0038045B">
        <w:rPr>
          <w:bCs/>
          <w:szCs w:val="24"/>
          <w:lang w:val="en-US"/>
        </w:rPr>
        <w:t>EUR</w:t>
      </w:r>
      <w:r w:rsidRPr="0038045B">
        <w:rPr>
          <w:bCs/>
          <w:szCs w:val="24"/>
          <w:lang w:val="en-US"/>
        </w:rPr>
        <w:tab/>
      </w:r>
      <w:r w:rsidRPr="0038045B">
        <w:rPr>
          <w:bCs/>
          <w:szCs w:val="24"/>
          <w:lang w:val="en-US"/>
        </w:rPr>
        <w:tab/>
      </w:r>
      <w:r w:rsidRPr="0038045B">
        <w:rPr>
          <w:bCs/>
          <w:szCs w:val="24"/>
          <w:lang w:val="en-US"/>
        </w:rPr>
        <w:tab/>
        <w:t>Euro</w:t>
      </w:r>
    </w:p>
    <w:p w14:paraId="3A9A128A" w14:textId="77777777" w:rsidR="008D41E4" w:rsidRPr="0038045B" w:rsidRDefault="008D41E4" w:rsidP="00FA4DCD">
      <w:pPr>
        <w:pStyle w:val="Body"/>
        <w:spacing w:after="120"/>
        <w:ind w:firstLine="0"/>
        <w:rPr>
          <w:bCs/>
          <w:szCs w:val="24"/>
          <w:lang w:val="en-US"/>
        </w:rPr>
      </w:pPr>
      <w:r w:rsidRPr="0038045B">
        <w:rPr>
          <w:bCs/>
          <w:szCs w:val="24"/>
          <w:lang w:val="en-US"/>
        </w:rPr>
        <w:t>FIAP</w:t>
      </w:r>
      <w:r w:rsidRPr="0038045B">
        <w:rPr>
          <w:bCs/>
          <w:szCs w:val="24"/>
          <w:lang w:val="en-US"/>
        </w:rPr>
        <w:tab/>
      </w:r>
      <w:r w:rsidRPr="0038045B">
        <w:rPr>
          <w:bCs/>
          <w:szCs w:val="24"/>
          <w:lang w:val="en-US"/>
        </w:rPr>
        <w:tab/>
      </w:r>
      <w:r w:rsidRPr="0038045B">
        <w:rPr>
          <w:bCs/>
          <w:szCs w:val="24"/>
          <w:lang w:val="en-US"/>
        </w:rPr>
        <w:tab/>
        <w:t>Financial Inclusion Action Plan</w:t>
      </w:r>
    </w:p>
    <w:p w14:paraId="43C60EFA" w14:textId="77777777" w:rsidR="00806715" w:rsidRPr="0038045B" w:rsidRDefault="00806715" w:rsidP="00FA4DCD">
      <w:pPr>
        <w:pStyle w:val="Body"/>
        <w:spacing w:after="120"/>
        <w:ind w:firstLine="0"/>
        <w:rPr>
          <w:bCs/>
          <w:szCs w:val="24"/>
          <w:lang w:val="en-US"/>
        </w:rPr>
      </w:pPr>
      <w:r w:rsidRPr="0038045B">
        <w:rPr>
          <w:bCs/>
          <w:szCs w:val="24"/>
          <w:lang w:val="en-US"/>
        </w:rPr>
        <w:t>FSA</w:t>
      </w:r>
      <w:r w:rsidRPr="0038045B">
        <w:rPr>
          <w:bCs/>
          <w:szCs w:val="24"/>
          <w:lang w:val="en-US"/>
        </w:rPr>
        <w:tab/>
      </w:r>
      <w:r w:rsidRPr="0038045B">
        <w:rPr>
          <w:bCs/>
          <w:szCs w:val="24"/>
          <w:lang w:val="en-US"/>
        </w:rPr>
        <w:tab/>
      </w:r>
      <w:r w:rsidRPr="0038045B">
        <w:rPr>
          <w:bCs/>
          <w:szCs w:val="24"/>
          <w:lang w:val="en-US"/>
        </w:rPr>
        <w:tab/>
        <w:t>Financial Supervisory Authority</w:t>
      </w:r>
    </w:p>
    <w:p w14:paraId="2039544E" w14:textId="77777777" w:rsidR="00DC432F" w:rsidRPr="0038045B" w:rsidRDefault="00DC432F" w:rsidP="00FA4DCD">
      <w:pPr>
        <w:pStyle w:val="Body"/>
        <w:spacing w:after="120"/>
        <w:ind w:firstLine="0"/>
        <w:rPr>
          <w:bCs/>
          <w:szCs w:val="24"/>
          <w:lang w:val="en-US"/>
        </w:rPr>
      </w:pPr>
      <w:r w:rsidRPr="0038045B">
        <w:rPr>
          <w:bCs/>
          <w:szCs w:val="24"/>
          <w:lang w:val="en-US"/>
        </w:rPr>
        <w:t>GBP</w:t>
      </w:r>
      <w:r w:rsidRPr="0038045B">
        <w:rPr>
          <w:bCs/>
          <w:szCs w:val="24"/>
          <w:lang w:val="en-US"/>
        </w:rPr>
        <w:tab/>
      </w:r>
      <w:r w:rsidRPr="0038045B">
        <w:rPr>
          <w:bCs/>
          <w:szCs w:val="24"/>
          <w:lang w:val="en-US"/>
        </w:rPr>
        <w:tab/>
      </w:r>
      <w:r w:rsidRPr="0038045B">
        <w:rPr>
          <w:bCs/>
          <w:szCs w:val="24"/>
          <w:lang w:val="en-US"/>
        </w:rPr>
        <w:tab/>
        <w:t>Pound Sterling</w:t>
      </w:r>
    </w:p>
    <w:p w14:paraId="5263F2C0" w14:textId="77777777" w:rsidR="007C64C0" w:rsidRPr="0038045B" w:rsidRDefault="007C64C0" w:rsidP="00FA4DCD">
      <w:pPr>
        <w:pStyle w:val="Body"/>
        <w:spacing w:after="120"/>
        <w:ind w:firstLine="0"/>
        <w:rPr>
          <w:szCs w:val="24"/>
          <w:lang w:val="en-US"/>
        </w:rPr>
      </w:pPr>
      <w:r w:rsidRPr="0038045B">
        <w:rPr>
          <w:szCs w:val="24"/>
          <w:lang w:val="en-US"/>
        </w:rPr>
        <w:t>GD</w:t>
      </w:r>
      <w:r w:rsidR="00E4579C" w:rsidRPr="0038045B">
        <w:rPr>
          <w:szCs w:val="24"/>
          <w:lang w:val="en-US"/>
        </w:rPr>
        <w:t>PML</w:t>
      </w:r>
      <w:r w:rsidR="00E4579C" w:rsidRPr="0038045B">
        <w:rPr>
          <w:szCs w:val="24"/>
          <w:lang w:val="en-US"/>
        </w:rPr>
        <w:tab/>
      </w:r>
      <w:r w:rsidR="00E4579C" w:rsidRPr="0038045B">
        <w:rPr>
          <w:szCs w:val="24"/>
          <w:lang w:val="en-US"/>
        </w:rPr>
        <w:tab/>
      </w:r>
      <w:r w:rsidRPr="0038045B">
        <w:rPr>
          <w:lang w:val="en-US"/>
        </w:rPr>
        <w:t>General Directorate for the Prevention of Money Laundering</w:t>
      </w:r>
    </w:p>
    <w:p w14:paraId="5F64955A" w14:textId="77777777" w:rsidR="005E1597" w:rsidRPr="0038045B" w:rsidRDefault="005E1597" w:rsidP="00FA4DCD">
      <w:pPr>
        <w:pStyle w:val="Body"/>
        <w:spacing w:after="120"/>
        <w:ind w:firstLine="0"/>
        <w:rPr>
          <w:szCs w:val="24"/>
          <w:lang w:val="en-US"/>
        </w:rPr>
      </w:pPr>
      <w:r w:rsidRPr="0038045B">
        <w:rPr>
          <w:szCs w:val="24"/>
          <w:lang w:val="en-US"/>
        </w:rPr>
        <w:t>GPFI</w:t>
      </w:r>
      <w:r w:rsidRPr="0038045B">
        <w:rPr>
          <w:szCs w:val="24"/>
          <w:lang w:val="en-US"/>
        </w:rPr>
        <w:tab/>
      </w:r>
      <w:r w:rsidRPr="0038045B">
        <w:rPr>
          <w:szCs w:val="24"/>
          <w:lang w:val="en-US"/>
        </w:rPr>
        <w:tab/>
      </w:r>
      <w:r w:rsidRPr="0038045B">
        <w:rPr>
          <w:szCs w:val="24"/>
          <w:lang w:val="en-US"/>
        </w:rPr>
        <w:tab/>
        <w:t xml:space="preserve">Global Partnership for Financial Inclusion </w:t>
      </w:r>
    </w:p>
    <w:p w14:paraId="30C28339" w14:textId="77777777" w:rsidR="001438D1" w:rsidRPr="0038045B" w:rsidRDefault="00E4579C" w:rsidP="00FA4DCD">
      <w:pPr>
        <w:pStyle w:val="Body"/>
        <w:spacing w:after="120"/>
        <w:ind w:firstLine="0"/>
        <w:rPr>
          <w:szCs w:val="24"/>
          <w:lang w:val="en-US"/>
        </w:rPr>
      </w:pPr>
      <w:r w:rsidRPr="0038045B">
        <w:rPr>
          <w:szCs w:val="24"/>
          <w:lang w:val="en-US"/>
        </w:rPr>
        <w:t>ICT</w:t>
      </w:r>
      <w:r w:rsidRPr="0038045B">
        <w:rPr>
          <w:szCs w:val="24"/>
          <w:lang w:val="en-US"/>
        </w:rPr>
        <w:tab/>
      </w:r>
      <w:r w:rsidRPr="0038045B">
        <w:rPr>
          <w:szCs w:val="24"/>
          <w:lang w:val="en-US"/>
        </w:rPr>
        <w:tab/>
      </w:r>
      <w:r w:rsidRPr="0038045B">
        <w:rPr>
          <w:szCs w:val="24"/>
          <w:lang w:val="en-US"/>
        </w:rPr>
        <w:tab/>
        <w:t>Information and communications t</w:t>
      </w:r>
      <w:r w:rsidR="001438D1" w:rsidRPr="0038045B">
        <w:rPr>
          <w:szCs w:val="24"/>
          <w:lang w:val="en-US"/>
        </w:rPr>
        <w:t>echnology</w:t>
      </w:r>
    </w:p>
    <w:p w14:paraId="31310045" w14:textId="77777777" w:rsidR="00044EFC" w:rsidRPr="0038045B" w:rsidRDefault="00044EFC" w:rsidP="00FA4DCD">
      <w:pPr>
        <w:pStyle w:val="Body"/>
        <w:spacing w:after="120"/>
        <w:ind w:firstLine="0"/>
        <w:rPr>
          <w:lang w:val="en-US"/>
        </w:rPr>
      </w:pPr>
      <w:r w:rsidRPr="0038045B">
        <w:rPr>
          <w:szCs w:val="24"/>
          <w:lang w:val="en-US"/>
        </w:rPr>
        <w:t>INFE</w:t>
      </w:r>
      <w:r w:rsidRPr="0038045B">
        <w:rPr>
          <w:szCs w:val="24"/>
          <w:lang w:val="en-US"/>
        </w:rPr>
        <w:tab/>
      </w:r>
      <w:r w:rsidRPr="0038045B">
        <w:rPr>
          <w:szCs w:val="24"/>
          <w:lang w:val="en-US"/>
        </w:rPr>
        <w:tab/>
      </w:r>
      <w:r w:rsidRPr="0038045B">
        <w:rPr>
          <w:szCs w:val="24"/>
          <w:lang w:val="en-US"/>
        </w:rPr>
        <w:tab/>
      </w:r>
      <w:r w:rsidRPr="0038045B">
        <w:rPr>
          <w:lang w:val="en-US"/>
        </w:rPr>
        <w:t>International Network on Financial Education</w:t>
      </w:r>
    </w:p>
    <w:p w14:paraId="3FE41362" w14:textId="77777777" w:rsidR="00044EFC" w:rsidRPr="0038045B" w:rsidRDefault="00044EFC" w:rsidP="00FA4DCD">
      <w:pPr>
        <w:pStyle w:val="Body"/>
        <w:spacing w:after="120"/>
        <w:ind w:firstLine="0"/>
        <w:rPr>
          <w:szCs w:val="24"/>
          <w:lang w:val="en-US"/>
        </w:rPr>
      </w:pPr>
      <w:r w:rsidRPr="0038045B">
        <w:rPr>
          <w:lang w:val="en-US"/>
        </w:rPr>
        <w:t>JA</w:t>
      </w:r>
      <w:r w:rsidRPr="0038045B">
        <w:rPr>
          <w:lang w:val="en-US"/>
        </w:rPr>
        <w:tab/>
      </w:r>
      <w:r w:rsidRPr="0038045B">
        <w:rPr>
          <w:lang w:val="en-US"/>
        </w:rPr>
        <w:tab/>
      </w:r>
      <w:r w:rsidRPr="0038045B">
        <w:rPr>
          <w:lang w:val="en-US"/>
        </w:rPr>
        <w:tab/>
        <w:t>Junior Achievement</w:t>
      </w:r>
    </w:p>
    <w:p w14:paraId="2BC878E9" w14:textId="77777777" w:rsidR="00D81974" w:rsidRPr="0038045B" w:rsidRDefault="00D81974" w:rsidP="00FA4DCD">
      <w:pPr>
        <w:pStyle w:val="Body"/>
        <w:spacing w:after="120"/>
        <w:ind w:firstLine="0"/>
        <w:rPr>
          <w:bCs/>
          <w:szCs w:val="24"/>
          <w:lang w:val="en-US"/>
        </w:rPr>
      </w:pPr>
      <w:r w:rsidRPr="0038045B">
        <w:rPr>
          <w:bCs/>
          <w:szCs w:val="24"/>
          <w:lang w:val="en-US"/>
        </w:rPr>
        <w:t>KYC</w:t>
      </w:r>
      <w:r w:rsidRPr="0038045B">
        <w:rPr>
          <w:bCs/>
          <w:szCs w:val="24"/>
          <w:lang w:val="en-US"/>
        </w:rPr>
        <w:tab/>
      </w:r>
      <w:r w:rsidRPr="0038045B">
        <w:rPr>
          <w:bCs/>
          <w:szCs w:val="24"/>
          <w:lang w:val="en-US"/>
        </w:rPr>
        <w:tab/>
      </w:r>
      <w:r w:rsidR="000141A1" w:rsidRPr="0038045B">
        <w:rPr>
          <w:bCs/>
          <w:szCs w:val="24"/>
          <w:lang w:val="en-US"/>
        </w:rPr>
        <w:tab/>
      </w:r>
      <w:r w:rsidR="00E4579C" w:rsidRPr="0038045B">
        <w:rPr>
          <w:bCs/>
          <w:szCs w:val="24"/>
          <w:lang w:val="en-US"/>
        </w:rPr>
        <w:t>Know your c</w:t>
      </w:r>
      <w:r w:rsidRPr="0038045B">
        <w:rPr>
          <w:bCs/>
          <w:szCs w:val="24"/>
          <w:lang w:val="en-US"/>
        </w:rPr>
        <w:t>ustomer</w:t>
      </w:r>
    </w:p>
    <w:p w14:paraId="44D3421C" w14:textId="77777777" w:rsidR="00E4579C" w:rsidRPr="0038045B" w:rsidRDefault="00E4579C" w:rsidP="00FA4DCD">
      <w:pPr>
        <w:pStyle w:val="Body"/>
        <w:spacing w:after="120"/>
        <w:ind w:firstLine="0"/>
        <w:rPr>
          <w:bCs/>
          <w:szCs w:val="24"/>
          <w:lang w:val="en-US"/>
        </w:rPr>
      </w:pPr>
      <w:r w:rsidRPr="0038045B">
        <w:rPr>
          <w:bCs/>
          <w:szCs w:val="24"/>
          <w:lang w:val="en-US"/>
        </w:rPr>
        <w:t>MIC</w:t>
      </w:r>
      <w:r w:rsidRPr="0038045B">
        <w:rPr>
          <w:bCs/>
          <w:szCs w:val="24"/>
          <w:lang w:val="en-US"/>
        </w:rPr>
        <w:tab/>
      </w:r>
      <w:r w:rsidRPr="0038045B">
        <w:rPr>
          <w:bCs/>
          <w:szCs w:val="24"/>
          <w:lang w:val="en-US"/>
        </w:rPr>
        <w:tab/>
      </w:r>
      <w:r w:rsidRPr="0038045B">
        <w:rPr>
          <w:bCs/>
          <w:szCs w:val="24"/>
          <w:lang w:val="en-US"/>
        </w:rPr>
        <w:tab/>
        <w:t>Middle income countries</w:t>
      </w:r>
    </w:p>
    <w:p w14:paraId="779C003D" w14:textId="77777777" w:rsidR="00921F23" w:rsidRPr="0038045B" w:rsidRDefault="00E4579C" w:rsidP="00FA4DCD">
      <w:pPr>
        <w:pStyle w:val="Body"/>
        <w:spacing w:after="120"/>
        <w:ind w:firstLine="0"/>
        <w:rPr>
          <w:bCs/>
          <w:szCs w:val="24"/>
          <w:lang w:val="en-US"/>
        </w:rPr>
      </w:pPr>
      <w:r w:rsidRPr="0038045B">
        <w:rPr>
          <w:bCs/>
          <w:szCs w:val="24"/>
          <w:lang w:val="en-US"/>
        </w:rPr>
        <w:t>MFI</w:t>
      </w:r>
      <w:r w:rsidRPr="0038045B">
        <w:rPr>
          <w:bCs/>
          <w:szCs w:val="24"/>
          <w:lang w:val="en-US"/>
        </w:rPr>
        <w:tab/>
      </w:r>
      <w:r w:rsidRPr="0038045B">
        <w:rPr>
          <w:bCs/>
          <w:szCs w:val="24"/>
          <w:lang w:val="en-US"/>
        </w:rPr>
        <w:tab/>
      </w:r>
      <w:r w:rsidRPr="0038045B">
        <w:rPr>
          <w:bCs/>
          <w:szCs w:val="24"/>
          <w:lang w:val="en-US"/>
        </w:rPr>
        <w:tab/>
        <w:t>Microfinance i</w:t>
      </w:r>
      <w:r w:rsidR="00921F23" w:rsidRPr="0038045B">
        <w:rPr>
          <w:bCs/>
          <w:szCs w:val="24"/>
          <w:lang w:val="en-US"/>
        </w:rPr>
        <w:t>nstitution</w:t>
      </w:r>
    </w:p>
    <w:p w14:paraId="36C21CB8" w14:textId="77777777" w:rsidR="00D81974" w:rsidRPr="0038045B" w:rsidRDefault="00D81974" w:rsidP="00FA4DCD">
      <w:pPr>
        <w:pStyle w:val="Body"/>
        <w:spacing w:after="120"/>
        <w:ind w:firstLine="0"/>
        <w:jc w:val="left"/>
        <w:rPr>
          <w:bCs/>
          <w:szCs w:val="24"/>
          <w:lang w:val="en-US"/>
        </w:rPr>
      </w:pPr>
      <w:r w:rsidRPr="0038045B">
        <w:rPr>
          <w:bCs/>
          <w:szCs w:val="24"/>
          <w:lang w:val="en-US"/>
        </w:rPr>
        <w:lastRenderedPageBreak/>
        <w:t>MTO</w:t>
      </w:r>
      <w:r w:rsidRPr="0038045B">
        <w:rPr>
          <w:bCs/>
          <w:szCs w:val="24"/>
          <w:lang w:val="en-US"/>
        </w:rPr>
        <w:tab/>
      </w:r>
      <w:r w:rsidRPr="0038045B">
        <w:rPr>
          <w:bCs/>
          <w:szCs w:val="24"/>
          <w:lang w:val="en-US"/>
        </w:rPr>
        <w:tab/>
      </w:r>
      <w:r w:rsidR="000141A1" w:rsidRPr="0038045B">
        <w:rPr>
          <w:bCs/>
          <w:szCs w:val="24"/>
          <w:lang w:val="en-US"/>
        </w:rPr>
        <w:tab/>
      </w:r>
      <w:r w:rsidR="00E4579C" w:rsidRPr="0038045B">
        <w:rPr>
          <w:bCs/>
          <w:szCs w:val="24"/>
          <w:lang w:val="en-US"/>
        </w:rPr>
        <w:t>Money transfer o</w:t>
      </w:r>
      <w:r w:rsidRPr="0038045B">
        <w:rPr>
          <w:bCs/>
          <w:szCs w:val="24"/>
          <w:lang w:val="en-US"/>
        </w:rPr>
        <w:t>perator</w:t>
      </w:r>
    </w:p>
    <w:p w14:paraId="4FD4A2B9" w14:textId="77777777" w:rsidR="009874F8" w:rsidRPr="0038045B" w:rsidRDefault="009874F8" w:rsidP="00FA4DCD">
      <w:pPr>
        <w:pStyle w:val="Body"/>
        <w:spacing w:after="120"/>
        <w:ind w:firstLine="0"/>
        <w:jc w:val="left"/>
        <w:rPr>
          <w:bCs/>
          <w:szCs w:val="24"/>
          <w:lang w:val="en-US"/>
        </w:rPr>
      </w:pPr>
      <w:r w:rsidRPr="0038045B">
        <w:rPr>
          <w:bCs/>
          <w:szCs w:val="24"/>
          <w:lang w:val="en-US"/>
        </w:rPr>
        <w:t>NAIS</w:t>
      </w:r>
      <w:r w:rsidRPr="0038045B">
        <w:rPr>
          <w:bCs/>
          <w:szCs w:val="24"/>
          <w:lang w:val="en-US"/>
        </w:rPr>
        <w:tab/>
      </w:r>
      <w:r w:rsidRPr="0038045B">
        <w:rPr>
          <w:bCs/>
          <w:szCs w:val="24"/>
          <w:lang w:val="en-US"/>
        </w:rPr>
        <w:tab/>
      </w:r>
      <w:r w:rsidRPr="0038045B">
        <w:rPr>
          <w:bCs/>
          <w:szCs w:val="24"/>
          <w:lang w:val="en-US"/>
        </w:rPr>
        <w:tab/>
      </w:r>
      <w:r w:rsidRPr="0038045B">
        <w:rPr>
          <w:lang w:val="en-US"/>
        </w:rPr>
        <w:t>National Agency for Information Society</w:t>
      </w:r>
    </w:p>
    <w:p w14:paraId="2B7371EB" w14:textId="77777777" w:rsidR="005E1597" w:rsidRPr="0038045B" w:rsidRDefault="00E4579C" w:rsidP="00FA4DCD">
      <w:pPr>
        <w:pStyle w:val="Body"/>
        <w:spacing w:after="120"/>
        <w:ind w:firstLine="0"/>
        <w:jc w:val="left"/>
        <w:rPr>
          <w:bCs/>
          <w:szCs w:val="24"/>
          <w:lang w:val="en-US"/>
        </w:rPr>
      </w:pPr>
      <w:r w:rsidRPr="0038045B">
        <w:rPr>
          <w:bCs/>
          <w:szCs w:val="24"/>
          <w:lang w:val="en-US"/>
        </w:rPr>
        <w:t>NBFI</w:t>
      </w:r>
      <w:r w:rsidRPr="0038045B">
        <w:rPr>
          <w:bCs/>
          <w:szCs w:val="24"/>
          <w:lang w:val="en-US"/>
        </w:rPr>
        <w:tab/>
      </w:r>
      <w:r w:rsidRPr="0038045B">
        <w:rPr>
          <w:bCs/>
          <w:szCs w:val="24"/>
          <w:lang w:val="en-US"/>
        </w:rPr>
        <w:tab/>
      </w:r>
      <w:r w:rsidRPr="0038045B">
        <w:rPr>
          <w:bCs/>
          <w:szCs w:val="24"/>
          <w:lang w:val="en-US"/>
        </w:rPr>
        <w:tab/>
        <w:t>Non-bank financial i</w:t>
      </w:r>
      <w:r w:rsidR="005E1597" w:rsidRPr="0038045B">
        <w:rPr>
          <w:bCs/>
          <w:szCs w:val="24"/>
          <w:lang w:val="en-US"/>
        </w:rPr>
        <w:t>nstitution</w:t>
      </w:r>
    </w:p>
    <w:p w14:paraId="06E60EA1" w14:textId="77777777" w:rsidR="005E1597" w:rsidRPr="0038045B" w:rsidRDefault="00E4579C" w:rsidP="00FA4DCD">
      <w:pPr>
        <w:pStyle w:val="Body"/>
        <w:spacing w:after="120"/>
        <w:ind w:firstLine="0"/>
        <w:rPr>
          <w:bCs/>
          <w:szCs w:val="24"/>
          <w:lang w:val="en-US"/>
        </w:rPr>
      </w:pPr>
      <w:r w:rsidRPr="0038045B">
        <w:rPr>
          <w:bCs/>
          <w:szCs w:val="24"/>
          <w:lang w:val="en-US"/>
        </w:rPr>
        <w:t>NFIS</w:t>
      </w:r>
      <w:r w:rsidRPr="0038045B">
        <w:rPr>
          <w:bCs/>
          <w:szCs w:val="24"/>
          <w:lang w:val="en-US"/>
        </w:rPr>
        <w:tab/>
      </w:r>
      <w:r w:rsidRPr="0038045B">
        <w:rPr>
          <w:bCs/>
          <w:szCs w:val="24"/>
          <w:lang w:val="en-US"/>
        </w:rPr>
        <w:tab/>
      </w:r>
      <w:r w:rsidRPr="0038045B">
        <w:rPr>
          <w:bCs/>
          <w:szCs w:val="24"/>
          <w:lang w:val="en-US"/>
        </w:rPr>
        <w:tab/>
        <w:t>National financial inclusion s</w:t>
      </w:r>
      <w:r w:rsidR="005E1597" w:rsidRPr="0038045B">
        <w:rPr>
          <w:bCs/>
          <w:szCs w:val="24"/>
          <w:lang w:val="en-US"/>
        </w:rPr>
        <w:t>trategy</w:t>
      </w:r>
    </w:p>
    <w:p w14:paraId="42CBEA30" w14:textId="77777777" w:rsidR="009874F8" w:rsidRPr="0038045B" w:rsidRDefault="009874F8" w:rsidP="00FA4DCD">
      <w:pPr>
        <w:pStyle w:val="Body"/>
        <w:spacing w:after="120"/>
        <w:ind w:firstLine="0"/>
        <w:rPr>
          <w:bCs/>
          <w:szCs w:val="24"/>
          <w:lang w:val="en-US"/>
        </w:rPr>
      </w:pPr>
      <w:r w:rsidRPr="0038045B">
        <w:rPr>
          <w:bCs/>
          <w:szCs w:val="24"/>
          <w:lang w:val="en-US"/>
        </w:rPr>
        <w:t>NID</w:t>
      </w:r>
      <w:r w:rsidRPr="0038045B">
        <w:rPr>
          <w:bCs/>
          <w:szCs w:val="24"/>
          <w:lang w:val="en-US"/>
        </w:rPr>
        <w:tab/>
      </w:r>
      <w:r w:rsidRPr="0038045B">
        <w:rPr>
          <w:bCs/>
          <w:szCs w:val="24"/>
          <w:lang w:val="en-US"/>
        </w:rPr>
        <w:tab/>
      </w:r>
      <w:r w:rsidRPr="0038045B">
        <w:rPr>
          <w:bCs/>
          <w:szCs w:val="24"/>
          <w:lang w:val="en-US"/>
        </w:rPr>
        <w:tab/>
        <w:t xml:space="preserve">National </w:t>
      </w:r>
      <w:r w:rsidR="00E4579C" w:rsidRPr="0038045B">
        <w:rPr>
          <w:bCs/>
          <w:szCs w:val="24"/>
          <w:lang w:val="en-US"/>
        </w:rPr>
        <w:t>identity n</w:t>
      </w:r>
      <w:r w:rsidRPr="0038045B">
        <w:rPr>
          <w:bCs/>
          <w:szCs w:val="24"/>
          <w:lang w:val="en-US"/>
        </w:rPr>
        <w:t>umber</w:t>
      </w:r>
    </w:p>
    <w:p w14:paraId="23E41A04" w14:textId="77777777" w:rsidR="00F112A9" w:rsidRPr="0038045B" w:rsidRDefault="00F112A9" w:rsidP="00FA4DCD">
      <w:pPr>
        <w:pStyle w:val="Body"/>
        <w:spacing w:after="120"/>
        <w:ind w:firstLine="0"/>
        <w:rPr>
          <w:bCs/>
          <w:szCs w:val="24"/>
          <w:lang w:val="en-US"/>
        </w:rPr>
      </w:pPr>
      <w:r w:rsidRPr="0038045B">
        <w:rPr>
          <w:bCs/>
          <w:szCs w:val="24"/>
          <w:lang w:val="en-US"/>
        </w:rPr>
        <w:t>NPR</w:t>
      </w:r>
      <w:r w:rsidRPr="0038045B">
        <w:rPr>
          <w:bCs/>
          <w:szCs w:val="24"/>
          <w:lang w:val="en-US"/>
        </w:rPr>
        <w:tab/>
      </w:r>
      <w:r w:rsidRPr="0038045B">
        <w:rPr>
          <w:bCs/>
          <w:szCs w:val="24"/>
          <w:lang w:val="en-US"/>
        </w:rPr>
        <w:tab/>
      </w:r>
      <w:r w:rsidRPr="0038045B">
        <w:rPr>
          <w:bCs/>
          <w:szCs w:val="24"/>
          <w:lang w:val="en-US"/>
        </w:rPr>
        <w:tab/>
      </w:r>
      <w:r w:rsidRPr="0038045B">
        <w:rPr>
          <w:lang w:val="en-US"/>
        </w:rPr>
        <w:t>National Population Register</w:t>
      </w:r>
    </w:p>
    <w:p w14:paraId="00C6D87C" w14:textId="77777777" w:rsidR="00D81974" w:rsidRPr="0038045B" w:rsidRDefault="00D81974" w:rsidP="00FA4DCD">
      <w:pPr>
        <w:pStyle w:val="Body"/>
        <w:spacing w:after="120"/>
        <w:ind w:firstLine="0"/>
        <w:rPr>
          <w:bCs/>
          <w:szCs w:val="24"/>
          <w:lang w:val="en-US"/>
        </w:rPr>
      </w:pPr>
      <w:r w:rsidRPr="0038045B">
        <w:rPr>
          <w:bCs/>
          <w:szCs w:val="24"/>
          <w:lang w:val="en-US"/>
        </w:rPr>
        <w:t>NPS</w:t>
      </w:r>
      <w:r w:rsidRPr="0038045B">
        <w:rPr>
          <w:bCs/>
          <w:szCs w:val="24"/>
          <w:lang w:val="en-US"/>
        </w:rPr>
        <w:tab/>
      </w:r>
      <w:r w:rsidRPr="0038045B">
        <w:rPr>
          <w:bCs/>
          <w:szCs w:val="24"/>
          <w:lang w:val="en-US"/>
        </w:rPr>
        <w:tab/>
      </w:r>
      <w:r w:rsidR="000141A1" w:rsidRPr="0038045B">
        <w:rPr>
          <w:bCs/>
          <w:szCs w:val="24"/>
          <w:lang w:val="en-US"/>
        </w:rPr>
        <w:tab/>
      </w:r>
      <w:r w:rsidR="00E4579C" w:rsidRPr="0038045B">
        <w:rPr>
          <w:bCs/>
          <w:szCs w:val="24"/>
          <w:lang w:val="en-US"/>
        </w:rPr>
        <w:t>National p</w:t>
      </w:r>
      <w:r w:rsidRPr="0038045B">
        <w:rPr>
          <w:bCs/>
          <w:szCs w:val="24"/>
          <w:lang w:val="en-US"/>
        </w:rPr>
        <w:t>ayment</w:t>
      </w:r>
      <w:r w:rsidR="00BB3C66" w:rsidRPr="0038045B">
        <w:rPr>
          <w:bCs/>
          <w:szCs w:val="24"/>
          <w:lang w:val="en-US"/>
        </w:rPr>
        <w:t>s</w:t>
      </w:r>
      <w:r w:rsidR="00E4579C" w:rsidRPr="0038045B">
        <w:rPr>
          <w:bCs/>
          <w:szCs w:val="24"/>
          <w:lang w:val="en-US"/>
        </w:rPr>
        <w:t xml:space="preserve"> s</w:t>
      </w:r>
      <w:r w:rsidRPr="0038045B">
        <w:rPr>
          <w:bCs/>
          <w:szCs w:val="24"/>
          <w:lang w:val="en-US"/>
        </w:rPr>
        <w:t>ystem</w:t>
      </w:r>
    </w:p>
    <w:p w14:paraId="676BB608" w14:textId="77777777" w:rsidR="006B4C29" w:rsidRPr="0038045B" w:rsidRDefault="006B4C29" w:rsidP="00FA4DCD">
      <w:pPr>
        <w:pStyle w:val="Body"/>
        <w:spacing w:after="120"/>
        <w:ind w:firstLine="0"/>
        <w:rPr>
          <w:bCs/>
          <w:szCs w:val="24"/>
          <w:lang w:val="en-US"/>
        </w:rPr>
      </w:pPr>
      <w:r w:rsidRPr="0038045B">
        <w:rPr>
          <w:bCs/>
          <w:szCs w:val="24"/>
          <w:lang w:val="en-US"/>
        </w:rPr>
        <w:t>NPSC</w:t>
      </w:r>
      <w:r w:rsidRPr="0038045B">
        <w:rPr>
          <w:bCs/>
          <w:szCs w:val="24"/>
          <w:lang w:val="en-US"/>
        </w:rPr>
        <w:tab/>
      </w:r>
      <w:r w:rsidRPr="0038045B">
        <w:rPr>
          <w:bCs/>
          <w:szCs w:val="24"/>
          <w:lang w:val="en-US"/>
        </w:rPr>
        <w:tab/>
      </w:r>
      <w:r w:rsidRPr="0038045B">
        <w:rPr>
          <w:bCs/>
          <w:szCs w:val="24"/>
          <w:lang w:val="en-US"/>
        </w:rPr>
        <w:tab/>
        <w:t>National Payment System Committee</w:t>
      </w:r>
    </w:p>
    <w:p w14:paraId="2A333876" w14:textId="77777777" w:rsidR="00736D49" w:rsidRPr="0038045B" w:rsidRDefault="00736D49" w:rsidP="00FA4DCD">
      <w:pPr>
        <w:pStyle w:val="Body"/>
        <w:spacing w:after="120"/>
        <w:ind w:firstLine="0"/>
        <w:rPr>
          <w:bCs/>
          <w:szCs w:val="24"/>
          <w:lang w:val="en-US"/>
        </w:rPr>
      </w:pPr>
      <w:r w:rsidRPr="0038045B">
        <w:rPr>
          <w:bCs/>
          <w:szCs w:val="24"/>
          <w:lang w:val="en-US"/>
        </w:rPr>
        <w:t>OECD</w:t>
      </w:r>
      <w:r w:rsidRPr="0038045B">
        <w:rPr>
          <w:bCs/>
          <w:szCs w:val="24"/>
          <w:lang w:val="en-US"/>
        </w:rPr>
        <w:tab/>
      </w:r>
      <w:r w:rsidRPr="0038045B">
        <w:rPr>
          <w:bCs/>
          <w:szCs w:val="24"/>
          <w:lang w:val="en-US"/>
        </w:rPr>
        <w:tab/>
      </w:r>
      <w:r w:rsidRPr="0038045B">
        <w:rPr>
          <w:bCs/>
          <w:szCs w:val="24"/>
          <w:lang w:val="en-US"/>
        </w:rPr>
        <w:tab/>
        <w:t>Organization for Economic Cooperation and Development</w:t>
      </w:r>
    </w:p>
    <w:p w14:paraId="0A09C6DC" w14:textId="77777777" w:rsidR="00AB59F6" w:rsidRPr="0038045B" w:rsidRDefault="00AB59F6" w:rsidP="00FA4DCD">
      <w:pPr>
        <w:pStyle w:val="Body"/>
        <w:spacing w:after="120"/>
        <w:ind w:firstLine="0"/>
        <w:rPr>
          <w:bCs/>
          <w:szCs w:val="24"/>
          <w:lang w:val="en-US"/>
        </w:rPr>
      </w:pPr>
      <w:r w:rsidRPr="0038045B">
        <w:rPr>
          <w:bCs/>
          <w:szCs w:val="24"/>
          <w:lang w:val="en-US"/>
        </w:rPr>
        <w:t>OTC</w:t>
      </w:r>
      <w:r w:rsidRPr="0038045B">
        <w:rPr>
          <w:bCs/>
          <w:szCs w:val="24"/>
          <w:lang w:val="en-US"/>
        </w:rPr>
        <w:tab/>
      </w:r>
      <w:r w:rsidRPr="0038045B">
        <w:rPr>
          <w:bCs/>
          <w:szCs w:val="24"/>
          <w:lang w:val="en-US"/>
        </w:rPr>
        <w:tab/>
      </w:r>
      <w:r w:rsidRPr="0038045B">
        <w:rPr>
          <w:bCs/>
          <w:szCs w:val="24"/>
          <w:lang w:val="en-US"/>
        </w:rPr>
        <w:tab/>
        <w:t>Over-the-counter</w:t>
      </w:r>
    </w:p>
    <w:p w14:paraId="341E9E0B" w14:textId="77777777" w:rsidR="005E1597" w:rsidRPr="0038045B" w:rsidRDefault="005E1597" w:rsidP="00FA4DCD">
      <w:pPr>
        <w:pStyle w:val="Body"/>
        <w:spacing w:after="120"/>
        <w:ind w:firstLine="0"/>
        <w:rPr>
          <w:bCs/>
          <w:szCs w:val="24"/>
          <w:lang w:val="en-US"/>
        </w:rPr>
      </w:pPr>
      <w:r w:rsidRPr="0038045B">
        <w:rPr>
          <w:bCs/>
          <w:szCs w:val="24"/>
          <w:lang w:val="en-US"/>
        </w:rPr>
        <w:t>PAFI</w:t>
      </w:r>
      <w:r w:rsidRPr="0038045B">
        <w:rPr>
          <w:bCs/>
          <w:szCs w:val="24"/>
          <w:lang w:val="en-US"/>
        </w:rPr>
        <w:tab/>
      </w:r>
      <w:r w:rsidRPr="0038045B">
        <w:rPr>
          <w:bCs/>
          <w:szCs w:val="24"/>
          <w:lang w:val="en-US"/>
        </w:rPr>
        <w:tab/>
      </w:r>
      <w:r w:rsidRPr="0038045B">
        <w:rPr>
          <w:bCs/>
          <w:szCs w:val="24"/>
          <w:lang w:val="en-US"/>
        </w:rPr>
        <w:tab/>
        <w:t xml:space="preserve">Payment </w:t>
      </w:r>
      <w:r w:rsidR="008D41E4" w:rsidRPr="0038045B">
        <w:rPr>
          <w:bCs/>
          <w:szCs w:val="24"/>
          <w:lang w:val="en-US"/>
        </w:rPr>
        <w:t>A</w:t>
      </w:r>
      <w:r w:rsidRPr="0038045B">
        <w:rPr>
          <w:bCs/>
          <w:szCs w:val="24"/>
          <w:lang w:val="en-US"/>
        </w:rPr>
        <w:t>spects of Financial Inclusion</w:t>
      </w:r>
    </w:p>
    <w:p w14:paraId="15A1E7B6" w14:textId="77777777" w:rsidR="00CB15E8" w:rsidRPr="0038045B" w:rsidRDefault="00E4579C" w:rsidP="00FA4DCD">
      <w:pPr>
        <w:pStyle w:val="Body"/>
        <w:spacing w:after="120"/>
        <w:ind w:firstLine="0"/>
        <w:rPr>
          <w:bCs/>
          <w:szCs w:val="24"/>
          <w:lang w:val="en-US"/>
        </w:rPr>
      </w:pPr>
      <w:r w:rsidRPr="0038045B">
        <w:rPr>
          <w:bCs/>
          <w:szCs w:val="24"/>
          <w:lang w:val="en-US"/>
        </w:rPr>
        <w:t>PKI</w:t>
      </w:r>
      <w:r w:rsidRPr="0038045B">
        <w:rPr>
          <w:bCs/>
          <w:szCs w:val="24"/>
          <w:lang w:val="en-US"/>
        </w:rPr>
        <w:tab/>
      </w:r>
      <w:r w:rsidRPr="0038045B">
        <w:rPr>
          <w:bCs/>
          <w:szCs w:val="24"/>
          <w:lang w:val="en-US"/>
        </w:rPr>
        <w:tab/>
      </w:r>
      <w:r w:rsidRPr="0038045B">
        <w:rPr>
          <w:bCs/>
          <w:szCs w:val="24"/>
          <w:lang w:val="en-US"/>
        </w:rPr>
        <w:tab/>
        <w:t>Public key i</w:t>
      </w:r>
      <w:r w:rsidR="00CB15E8" w:rsidRPr="0038045B">
        <w:rPr>
          <w:bCs/>
          <w:szCs w:val="24"/>
          <w:lang w:val="en-US"/>
        </w:rPr>
        <w:t>nfrastructure</w:t>
      </w:r>
    </w:p>
    <w:p w14:paraId="7F42F12D" w14:textId="77777777" w:rsidR="00D81974" w:rsidRPr="0038045B" w:rsidRDefault="00D81974" w:rsidP="00FA4DCD">
      <w:pPr>
        <w:pStyle w:val="Body"/>
        <w:spacing w:after="120"/>
        <w:ind w:firstLine="0"/>
        <w:rPr>
          <w:bCs/>
          <w:szCs w:val="24"/>
          <w:lang w:val="en-US"/>
        </w:rPr>
      </w:pPr>
      <w:r w:rsidRPr="0038045B">
        <w:rPr>
          <w:bCs/>
          <w:szCs w:val="24"/>
          <w:lang w:val="en-US"/>
        </w:rPr>
        <w:t>POS</w:t>
      </w:r>
      <w:r w:rsidRPr="0038045B">
        <w:rPr>
          <w:bCs/>
          <w:szCs w:val="24"/>
          <w:lang w:val="en-US"/>
        </w:rPr>
        <w:tab/>
      </w:r>
      <w:r w:rsidRPr="0038045B">
        <w:rPr>
          <w:bCs/>
          <w:szCs w:val="24"/>
          <w:lang w:val="en-US"/>
        </w:rPr>
        <w:tab/>
      </w:r>
      <w:r w:rsidR="000141A1" w:rsidRPr="0038045B">
        <w:rPr>
          <w:bCs/>
          <w:szCs w:val="24"/>
          <w:lang w:val="en-US"/>
        </w:rPr>
        <w:tab/>
      </w:r>
      <w:r w:rsidR="00E4579C" w:rsidRPr="0038045B">
        <w:rPr>
          <w:bCs/>
          <w:szCs w:val="24"/>
          <w:lang w:val="en-US"/>
        </w:rPr>
        <w:t>Point of s</w:t>
      </w:r>
      <w:r w:rsidRPr="0038045B">
        <w:rPr>
          <w:bCs/>
          <w:szCs w:val="24"/>
          <w:lang w:val="en-US"/>
        </w:rPr>
        <w:t>ale</w:t>
      </w:r>
    </w:p>
    <w:p w14:paraId="462B572A" w14:textId="77777777" w:rsidR="002401EB" w:rsidRPr="0038045B" w:rsidRDefault="002401EB" w:rsidP="00FA4DCD">
      <w:pPr>
        <w:pStyle w:val="Body"/>
        <w:spacing w:after="120"/>
        <w:ind w:firstLine="0"/>
        <w:rPr>
          <w:bCs/>
          <w:szCs w:val="24"/>
          <w:lang w:val="en-US"/>
        </w:rPr>
      </w:pPr>
      <w:r w:rsidRPr="0038045B">
        <w:rPr>
          <w:bCs/>
          <w:szCs w:val="24"/>
          <w:lang w:val="en-US"/>
        </w:rPr>
        <w:t>PSD</w:t>
      </w:r>
      <w:r w:rsidRPr="0038045B">
        <w:rPr>
          <w:bCs/>
          <w:szCs w:val="24"/>
          <w:lang w:val="en-US"/>
        </w:rPr>
        <w:tab/>
      </w:r>
      <w:r w:rsidRPr="0038045B">
        <w:rPr>
          <w:bCs/>
          <w:szCs w:val="24"/>
          <w:lang w:val="en-US"/>
        </w:rPr>
        <w:tab/>
      </w:r>
      <w:r w:rsidRPr="0038045B">
        <w:rPr>
          <w:bCs/>
          <w:szCs w:val="24"/>
          <w:lang w:val="en-US"/>
        </w:rPr>
        <w:tab/>
        <w:t>Payment Services Directive</w:t>
      </w:r>
    </w:p>
    <w:p w14:paraId="07BBBE01" w14:textId="77777777" w:rsidR="00F75B97" w:rsidRPr="0038045B" w:rsidRDefault="00F75B97" w:rsidP="00FA4DCD">
      <w:pPr>
        <w:pStyle w:val="Body"/>
        <w:spacing w:after="120"/>
        <w:ind w:firstLine="0"/>
        <w:rPr>
          <w:bCs/>
          <w:szCs w:val="24"/>
          <w:lang w:val="en-US"/>
        </w:rPr>
      </w:pPr>
      <w:r w:rsidRPr="0038045B">
        <w:rPr>
          <w:bCs/>
          <w:szCs w:val="24"/>
          <w:lang w:val="en-US"/>
        </w:rPr>
        <w:t>PSDG</w:t>
      </w:r>
      <w:r w:rsidRPr="0038045B">
        <w:rPr>
          <w:bCs/>
          <w:szCs w:val="24"/>
          <w:lang w:val="en-US"/>
        </w:rPr>
        <w:tab/>
      </w:r>
      <w:r w:rsidRPr="0038045B">
        <w:rPr>
          <w:bCs/>
          <w:szCs w:val="24"/>
          <w:lang w:val="en-US"/>
        </w:rPr>
        <w:tab/>
      </w:r>
      <w:r w:rsidRPr="0038045B">
        <w:rPr>
          <w:bCs/>
          <w:szCs w:val="24"/>
          <w:lang w:val="en-US"/>
        </w:rPr>
        <w:tab/>
        <w:t>Payment Systems Development Group</w:t>
      </w:r>
      <w:r w:rsidR="00EA0FBF" w:rsidRPr="0038045B">
        <w:rPr>
          <w:bCs/>
          <w:szCs w:val="24"/>
          <w:lang w:val="en-US"/>
        </w:rPr>
        <w:t xml:space="preserve"> (World Bank)</w:t>
      </w:r>
    </w:p>
    <w:p w14:paraId="4874D460" w14:textId="77777777" w:rsidR="00472C24" w:rsidRPr="0038045B" w:rsidRDefault="00E4579C" w:rsidP="00FA4DCD">
      <w:pPr>
        <w:pStyle w:val="Body"/>
        <w:spacing w:after="120"/>
        <w:ind w:firstLine="0"/>
        <w:rPr>
          <w:bCs/>
          <w:szCs w:val="24"/>
          <w:lang w:val="en-US"/>
        </w:rPr>
      </w:pPr>
      <w:r w:rsidRPr="0038045B">
        <w:rPr>
          <w:bCs/>
          <w:szCs w:val="24"/>
          <w:lang w:val="en-US"/>
        </w:rPr>
        <w:t>PSP</w:t>
      </w:r>
      <w:r w:rsidRPr="0038045B">
        <w:rPr>
          <w:bCs/>
          <w:szCs w:val="24"/>
          <w:lang w:val="en-US"/>
        </w:rPr>
        <w:tab/>
      </w:r>
      <w:r w:rsidRPr="0038045B">
        <w:rPr>
          <w:bCs/>
          <w:szCs w:val="24"/>
          <w:lang w:val="en-US"/>
        </w:rPr>
        <w:tab/>
      </w:r>
      <w:r w:rsidRPr="0038045B">
        <w:rPr>
          <w:bCs/>
          <w:szCs w:val="24"/>
          <w:lang w:val="en-US"/>
        </w:rPr>
        <w:tab/>
        <w:t>Payment service p</w:t>
      </w:r>
      <w:r w:rsidR="00472C24" w:rsidRPr="0038045B">
        <w:rPr>
          <w:bCs/>
          <w:szCs w:val="24"/>
          <w:lang w:val="en-US"/>
        </w:rPr>
        <w:t>rovider</w:t>
      </w:r>
    </w:p>
    <w:p w14:paraId="45044090" w14:textId="77777777" w:rsidR="00DC432F" w:rsidRPr="0038045B" w:rsidRDefault="00DC432F" w:rsidP="00FA4DCD">
      <w:pPr>
        <w:pStyle w:val="Body"/>
        <w:spacing w:after="120"/>
        <w:ind w:firstLine="0"/>
        <w:rPr>
          <w:bCs/>
          <w:szCs w:val="24"/>
          <w:lang w:val="en-US"/>
        </w:rPr>
      </w:pPr>
      <w:r w:rsidRPr="0038045B">
        <w:rPr>
          <w:bCs/>
          <w:szCs w:val="24"/>
          <w:lang w:val="en-US"/>
        </w:rPr>
        <w:t>P2P</w:t>
      </w:r>
      <w:r w:rsidRPr="0038045B">
        <w:rPr>
          <w:bCs/>
          <w:szCs w:val="24"/>
          <w:lang w:val="en-US"/>
        </w:rPr>
        <w:tab/>
      </w:r>
      <w:r w:rsidRPr="0038045B">
        <w:rPr>
          <w:bCs/>
          <w:szCs w:val="24"/>
          <w:lang w:val="en-US"/>
        </w:rPr>
        <w:tab/>
      </w:r>
      <w:r w:rsidRPr="0038045B">
        <w:rPr>
          <w:bCs/>
          <w:szCs w:val="24"/>
          <w:lang w:val="en-US"/>
        </w:rPr>
        <w:tab/>
        <w:t>Person-to-Person</w:t>
      </w:r>
    </w:p>
    <w:p w14:paraId="4F2DBE69" w14:textId="77777777" w:rsidR="00BA7B74" w:rsidRPr="0038045B" w:rsidRDefault="00BA7B74" w:rsidP="00FA4DCD">
      <w:pPr>
        <w:pStyle w:val="Body"/>
        <w:spacing w:after="120"/>
        <w:ind w:firstLine="0"/>
        <w:rPr>
          <w:bCs/>
          <w:szCs w:val="24"/>
          <w:lang w:val="en-US"/>
        </w:rPr>
      </w:pPr>
      <w:r w:rsidRPr="0038045B">
        <w:rPr>
          <w:bCs/>
          <w:szCs w:val="24"/>
          <w:lang w:val="en-US"/>
        </w:rPr>
        <w:t>RPP</w:t>
      </w:r>
      <w:r w:rsidRPr="0038045B">
        <w:rPr>
          <w:bCs/>
          <w:szCs w:val="24"/>
          <w:lang w:val="en-US"/>
        </w:rPr>
        <w:tab/>
      </w:r>
      <w:r w:rsidRPr="0038045B">
        <w:rPr>
          <w:bCs/>
          <w:szCs w:val="24"/>
          <w:lang w:val="en-US"/>
        </w:rPr>
        <w:tab/>
      </w:r>
      <w:r w:rsidRPr="0038045B">
        <w:rPr>
          <w:bCs/>
          <w:szCs w:val="24"/>
          <w:lang w:val="en-US"/>
        </w:rPr>
        <w:tab/>
        <w:t>Remittances and Payments Program</w:t>
      </w:r>
    </w:p>
    <w:p w14:paraId="28EEA3C7" w14:textId="77777777" w:rsidR="00D81974" w:rsidRPr="0038045B" w:rsidRDefault="00D81974" w:rsidP="00FA4DCD">
      <w:pPr>
        <w:pStyle w:val="Body"/>
        <w:spacing w:after="120"/>
        <w:ind w:firstLine="0"/>
        <w:rPr>
          <w:bCs/>
          <w:szCs w:val="24"/>
          <w:lang w:val="en-US"/>
        </w:rPr>
      </w:pPr>
      <w:r w:rsidRPr="0038045B">
        <w:rPr>
          <w:bCs/>
          <w:szCs w:val="24"/>
          <w:lang w:val="en-US"/>
        </w:rPr>
        <w:t>RSP</w:t>
      </w:r>
      <w:r w:rsidRPr="0038045B">
        <w:rPr>
          <w:bCs/>
          <w:szCs w:val="24"/>
          <w:lang w:val="en-US"/>
        </w:rPr>
        <w:tab/>
      </w:r>
      <w:r w:rsidRPr="0038045B">
        <w:rPr>
          <w:bCs/>
          <w:szCs w:val="24"/>
          <w:lang w:val="en-US"/>
        </w:rPr>
        <w:tab/>
      </w:r>
      <w:r w:rsidR="000141A1" w:rsidRPr="0038045B">
        <w:rPr>
          <w:bCs/>
          <w:szCs w:val="24"/>
          <w:lang w:val="en-US"/>
        </w:rPr>
        <w:tab/>
      </w:r>
      <w:r w:rsidR="00E4579C" w:rsidRPr="0038045B">
        <w:rPr>
          <w:bCs/>
          <w:szCs w:val="24"/>
          <w:lang w:val="en-US"/>
        </w:rPr>
        <w:t>Remittance service p</w:t>
      </w:r>
      <w:r w:rsidRPr="0038045B">
        <w:rPr>
          <w:bCs/>
          <w:szCs w:val="24"/>
          <w:lang w:val="en-US"/>
        </w:rPr>
        <w:t>rovider</w:t>
      </w:r>
    </w:p>
    <w:p w14:paraId="660DD6C4" w14:textId="77777777" w:rsidR="004F78C9" w:rsidRPr="0038045B" w:rsidRDefault="004F78C9" w:rsidP="00FA4DCD">
      <w:pPr>
        <w:pStyle w:val="Body"/>
        <w:spacing w:after="120"/>
        <w:ind w:firstLine="0"/>
        <w:rPr>
          <w:bCs/>
          <w:szCs w:val="24"/>
          <w:lang w:val="en-US"/>
        </w:rPr>
      </w:pPr>
      <w:r w:rsidRPr="0038045B">
        <w:rPr>
          <w:bCs/>
          <w:szCs w:val="24"/>
          <w:lang w:val="en-US"/>
        </w:rPr>
        <w:t>RTGS</w:t>
      </w:r>
      <w:r w:rsidR="00E4579C" w:rsidRPr="0038045B">
        <w:rPr>
          <w:bCs/>
          <w:szCs w:val="24"/>
          <w:lang w:val="en-US"/>
        </w:rPr>
        <w:tab/>
      </w:r>
      <w:r w:rsidR="00E4579C" w:rsidRPr="0038045B">
        <w:rPr>
          <w:bCs/>
          <w:szCs w:val="24"/>
          <w:lang w:val="en-US"/>
        </w:rPr>
        <w:tab/>
      </w:r>
      <w:r w:rsidR="00E4579C" w:rsidRPr="0038045B">
        <w:rPr>
          <w:bCs/>
          <w:szCs w:val="24"/>
          <w:lang w:val="en-US"/>
        </w:rPr>
        <w:tab/>
        <w:t>Real-time gross s</w:t>
      </w:r>
      <w:r w:rsidR="001F26DD" w:rsidRPr="0038045B">
        <w:rPr>
          <w:bCs/>
          <w:szCs w:val="24"/>
          <w:lang w:val="en-US"/>
        </w:rPr>
        <w:t>ettlement</w:t>
      </w:r>
    </w:p>
    <w:p w14:paraId="3BF5165D" w14:textId="77777777" w:rsidR="00A67EB4" w:rsidRPr="0038045B" w:rsidRDefault="00A67EB4" w:rsidP="00FA4DCD">
      <w:pPr>
        <w:pStyle w:val="Body"/>
        <w:spacing w:after="120"/>
        <w:ind w:firstLine="0"/>
        <w:rPr>
          <w:lang w:val="en-US"/>
        </w:rPr>
      </w:pPr>
      <w:r w:rsidRPr="0038045B">
        <w:rPr>
          <w:bCs/>
          <w:szCs w:val="24"/>
          <w:lang w:val="en-US"/>
        </w:rPr>
        <w:t>SCA</w:t>
      </w:r>
      <w:r w:rsidRPr="0038045B">
        <w:rPr>
          <w:bCs/>
          <w:szCs w:val="24"/>
          <w:lang w:val="en-US"/>
        </w:rPr>
        <w:tab/>
      </w:r>
      <w:r w:rsidRPr="0038045B">
        <w:rPr>
          <w:bCs/>
          <w:szCs w:val="24"/>
          <w:lang w:val="en-US"/>
        </w:rPr>
        <w:tab/>
      </w:r>
      <w:r w:rsidRPr="0038045B">
        <w:rPr>
          <w:bCs/>
          <w:szCs w:val="24"/>
          <w:lang w:val="en-US"/>
        </w:rPr>
        <w:tab/>
      </w:r>
      <w:r w:rsidR="00E4579C" w:rsidRPr="0038045B">
        <w:rPr>
          <w:lang w:val="en-US"/>
        </w:rPr>
        <w:t>Savings and credit a</w:t>
      </w:r>
      <w:r w:rsidRPr="0038045B">
        <w:rPr>
          <w:lang w:val="en-US"/>
        </w:rPr>
        <w:t>ssociation</w:t>
      </w:r>
    </w:p>
    <w:p w14:paraId="4467BC9C" w14:textId="77777777" w:rsidR="00E4579C" w:rsidRPr="0038045B" w:rsidRDefault="00E4579C" w:rsidP="00FA4DCD">
      <w:pPr>
        <w:pStyle w:val="Body"/>
        <w:spacing w:after="120"/>
        <w:ind w:firstLine="0"/>
        <w:rPr>
          <w:bCs/>
          <w:szCs w:val="24"/>
          <w:lang w:val="en-US"/>
        </w:rPr>
      </w:pPr>
      <w:r w:rsidRPr="0038045B">
        <w:rPr>
          <w:lang w:val="en-US"/>
        </w:rPr>
        <w:t>SECO</w:t>
      </w:r>
      <w:r w:rsidRPr="0038045B">
        <w:rPr>
          <w:lang w:val="en-US"/>
        </w:rPr>
        <w:tab/>
      </w:r>
      <w:r w:rsidRPr="0038045B">
        <w:rPr>
          <w:lang w:val="en-US"/>
        </w:rPr>
        <w:tab/>
      </w:r>
      <w:r w:rsidRPr="0038045B">
        <w:rPr>
          <w:lang w:val="en-US"/>
        </w:rPr>
        <w:tab/>
        <w:t>Switzerland’s State Secretariat for Economic Affairs</w:t>
      </w:r>
    </w:p>
    <w:p w14:paraId="5ABB89CE" w14:textId="77777777" w:rsidR="005E1597" w:rsidRPr="0038045B" w:rsidRDefault="00E4579C" w:rsidP="00FA4DCD">
      <w:pPr>
        <w:pStyle w:val="Body"/>
        <w:spacing w:after="120"/>
        <w:ind w:firstLine="0"/>
        <w:rPr>
          <w:bCs/>
          <w:szCs w:val="24"/>
          <w:lang w:val="en-US"/>
        </w:rPr>
      </w:pPr>
      <w:r w:rsidRPr="0038045B">
        <w:rPr>
          <w:bCs/>
          <w:szCs w:val="24"/>
          <w:lang w:val="en-US"/>
        </w:rPr>
        <w:t>SMEs</w:t>
      </w:r>
      <w:r w:rsidRPr="0038045B">
        <w:rPr>
          <w:bCs/>
          <w:szCs w:val="24"/>
          <w:lang w:val="en-US"/>
        </w:rPr>
        <w:tab/>
      </w:r>
      <w:r w:rsidRPr="0038045B">
        <w:rPr>
          <w:bCs/>
          <w:szCs w:val="24"/>
          <w:lang w:val="en-US"/>
        </w:rPr>
        <w:tab/>
      </w:r>
      <w:r w:rsidRPr="0038045B">
        <w:rPr>
          <w:bCs/>
          <w:szCs w:val="24"/>
          <w:lang w:val="en-US"/>
        </w:rPr>
        <w:tab/>
        <w:t>Small and medium e</w:t>
      </w:r>
      <w:r w:rsidR="005E1597" w:rsidRPr="0038045B">
        <w:rPr>
          <w:bCs/>
          <w:szCs w:val="24"/>
          <w:lang w:val="en-US"/>
        </w:rPr>
        <w:t>nterprise</w:t>
      </w:r>
      <w:r w:rsidR="00A67EB4" w:rsidRPr="0038045B">
        <w:rPr>
          <w:bCs/>
          <w:szCs w:val="24"/>
          <w:lang w:val="en-US"/>
        </w:rPr>
        <w:t>s</w:t>
      </w:r>
    </w:p>
    <w:p w14:paraId="67A29B92" w14:textId="77777777" w:rsidR="005E1597" w:rsidRPr="0038045B" w:rsidRDefault="00E4579C" w:rsidP="00FA4DCD">
      <w:pPr>
        <w:pStyle w:val="Body"/>
        <w:spacing w:after="120"/>
        <w:ind w:firstLine="0"/>
        <w:rPr>
          <w:bCs/>
          <w:szCs w:val="24"/>
          <w:lang w:val="en-US"/>
        </w:rPr>
      </w:pPr>
      <w:r w:rsidRPr="0038045B">
        <w:rPr>
          <w:bCs/>
          <w:szCs w:val="24"/>
          <w:lang w:val="en-US"/>
        </w:rPr>
        <w:t>SSBs</w:t>
      </w:r>
      <w:r w:rsidRPr="0038045B">
        <w:rPr>
          <w:bCs/>
          <w:szCs w:val="24"/>
          <w:lang w:val="en-US"/>
        </w:rPr>
        <w:tab/>
      </w:r>
      <w:r w:rsidRPr="0038045B">
        <w:rPr>
          <w:bCs/>
          <w:szCs w:val="24"/>
          <w:lang w:val="en-US"/>
        </w:rPr>
        <w:tab/>
      </w:r>
      <w:r w:rsidRPr="0038045B">
        <w:rPr>
          <w:bCs/>
          <w:szCs w:val="24"/>
          <w:lang w:val="en-US"/>
        </w:rPr>
        <w:tab/>
        <w:t>Standard setting b</w:t>
      </w:r>
      <w:r w:rsidR="005E1597" w:rsidRPr="0038045B">
        <w:rPr>
          <w:bCs/>
          <w:szCs w:val="24"/>
          <w:lang w:val="en-US"/>
        </w:rPr>
        <w:t>odies</w:t>
      </w:r>
    </w:p>
    <w:p w14:paraId="643713EB" w14:textId="77777777" w:rsidR="00FA0AAF" w:rsidRPr="0038045B" w:rsidRDefault="00FA0AAF" w:rsidP="00FA4DCD">
      <w:pPr>
        <w:pStyle w:val="Body"/>
        <w:spacing w:after="120"/>
        <w:ind w:firstLine="0"/>
        <w:rPr>
          <w:bCs/>
          <w:szCs w:val="24"/>
          <w:lang w:val="en-US"/>
        </w:rPr>
      </w:pPr>
      <w:r w:rsidRPr="0038045B">
        <w:rPr>
          <w:bCs/>
          <w:szCs w:val="24"/>
          <w:lang w:val="en-US"/>
        </w:rPr>
        <w:t>SSI</w:t>
      </w:r>
      <w:r w:rsidRPr="0038045B">
        <w:rPr>
          <w:bCs/>
          <w:szCs w:val="24"/>
          <w:lang w:val="en-US"/>
        </w:rPr>
        <w:tab/>
      </w:r>
      <w:r w:rsidRPr="0038045B">
        <w:rPr>
          <w:bCs/>
          <w:szCs w:val="24"/>
          <w:lang w:val="en-US"/>
        </w:rPr>
        <w:tab/>
      </w:r>
      <w:r w:rsidRPr="0038045B">
        <w:rPr>
          <w:bCs/>
          <w:szCs w:val="24"/>
          <w:lang w:val="en-US"/>
        </w:rPr>
        <w:tab/>
        <w:t>Social Security Institute</w:t>
      </w:r>
    </w:p>
    <w:p w14:paraId="3003FD15" w14:textId="77777777" w:rsidR="005E1597" w:rsidRPr="0038045B" w:rsidRDefault="005E1597" w:rsidP="00FA4DCD">
      <w:pPr>
        <w:pStyle w:val="Body"/>
        <w:spacing w:after="120"/>
        <w:ind w:firstLine="0"/>
        <w:rPr>
          <w:bCs/>
          <w:szCs w:val="24"/>
          <w:lang w:val="en-US"/>
        </w:rPr>
      </w:pPr>
      <w:r w:rsidRPr="0038045B">
        <w:rPr>
          <w:bCs/>
          <w:szCs w:val="24"/>
          <w:lang w:val="en-US"/>
        </w:rPr>
        <w:t>UFA</w:t>
      </w:r>
      <w:r w:rsidRPr="0038045B">
        <w:rPr>
          <w:bCs/>
          <w:szCs w:val="24"/>
          <w:lang w:val="en-US"/>
        </w:rPr>
        <w:tab/>
      </w:r>
      <w:r w:rsidRPr="0038045B">
        <w:rPr>
          <w:bCs/>
          <w:szCs w:val="24"/>
          <w:lang w:val="en-US"/>
        </w:rPr>
        <w:tab/>
      </w:r>
      <w:r w:rsidRPr="0038045B">
        <w:rPr>
          <w:bCs/>
          <w:szCs w:val="24"/>
          <w:lang w:val="en-US"/>
        </w:rPr>
        <w:tab/>
        <w:t>Universal Financial Access</w:t>
      </w:r>
    </w:p>
    <w:p w14:paraId="2410D8E3" w14:textId="77777777" w:rsidR="00FA4CAA" w:rsidRPr="0038045B" w:rsidRDefault="00FA4CAA" w:rsidP="00FA4DCD">
      <w:pPr>
        <w:pStyle w:val="Body"/>
        <w:spacing w:after="120"/>
        <w:ind w:firstLine="0"/>
        <w:rPr>
          <w:bCs/>
          <w:szCs w:val="24"/>
          <w:lang w:val="en-US"/>
        </w:rPr>
      </w:pPr>
      <w:r w:rsidRPr="0038045B">
        <w:rPr>
          <w:bCs/>
          <w:szCs w:val="24"/>
          <w:lang w:val="en-US"/>
        </w:rPr>
        <w:t>USD</w:t>
      </w:r>
      <w:r w:rsidRPr="0038045B">
        <w:rPr>
          <w:bCs/>
          <w:szCs w:val="24"/>
          <w:lang w:val="en-US"/>
        </w:rPr>
        <w:tab/>
      </w:r>
      <w:r w:rsidRPr="0038045B">
        <w:rPr>
          <w:bCs/>
          <w:szCs w:val="24"/>
          <w:lang w:val="en-US"/>
        </w:rPr>
        <w:tab/>
      </w:r>
      <w:r w:rsidRPr="0038045B">
        <w:rPr>
          <w:bCs/>
          <w:szCs w:val="24"/>
          <w:lang w:val="en-US"/>
        </w:rPr>
        <w:tab/>
        <w:t>United States Dollar</w:t>
      </w:r>
    </w:p>
    <w:p w14:paraId="355D302B" w14:textId="77777777" w:rsidR="00BB3C66" w:rsidRPr="0038045B" w:rsidRDefault="00BB3C66" w:rsidP="00FA4DCD">
      <w:pPr>
        <w:pStyle w:val="Body"/>
        <w:spacing w:after="120"/>
        <w:ind w:firstLine="0"/>
        <w:rPr>
          <w:bCs/>
          <w:szCs w:val="24"/>
          <w:lang w:val="en-US"/>
        </w:rPr>
      </w:pPr>
      <w:r w:rsidRPr="0038045B">
        <w:rPr>
          <w:bCs/>
          <w:szCs w:val="24"/>
          <w:lang w:val="en-US"/>
        </w:rPr>
        <w:t>WBG</w:t>
      </w:r>
      <w:r w:rsidRPr="0038045B">
        <w:rPr>
          <w:bCs/>
          <w:szCs w:val="24"/>
          <w:lang w:val="en-US"/>
        </w:rPr>
        <w:tab/>
      </w:r>
      <w:r w:rsidRPr="0038045B">
        <w:rPr>
          <w:bCs/>
          <w:szCs w:val="24"/>
          <w:lang w:val="en-US"/>
        </w:rPr>
        <w:tab/>
      </w:r>
      <w:r w:rsidRPr="0038045B">
        <w:rPr>
          <w:bCs/>
          <w:szCs w:val="24"/>
          <w:lang w:val="en-US"/>
        </w:rPr>
        <w:tab/>
        <w:t>World Bank Group</w:t>
      </w:r>
    </w:p>
    <w:p w14:paraId="530DA1D5" w14:textId="77777777" w:rsidR="00877A3A" w:rsidRPr="0038045B" w:rsidRDefault="00877A3A" w:rsidP="00BA3BAE">
      <w:pPr>
        <w:pStyle w:val="Body"/>
        <w:ind w:firstLine="0"/>
        <w:rPr>
          <w:bCs/>
          <w:szCs w:val="24"/>
          <w:lang w:val="en-US"/>
        </w:rPr>
      </w:pPr>
    </w:p>
    <w:p w14:paraId="4D065BC5" w14:textId="77777777" w:rsidR="00B902B6" w:rsidRPr="0038045B" w:rsidRDefault="00D81974" w:rsidP="00BA3BAE">
      <w:pPr>
        <w:pStyle w:val="Body"/>
        <w:ind w:firstLine="0"/>
        <w:rPr>
          <w:bCs/>
          <w:szCs w:val="24"/>
          <w:lang w:val="en-US"/>
        </w:rPr>
      </w:pPr>
      <w:r w:rsidRPr="0038045B">
        <w:rPr>
          <w:bCs/>
          <w:szCs w:val="24"/>
          <w:lang w:val="en-US"/>
        </w:rPr>
        <w:br w:type="page"/>
      </w:r>
    </w:p>
    <w:p w14:paraId="07FB63EB" w14:textId="77777777" w:rsidR="00293E31" w:rsidRPr="0038045B" w:rsidRDefault="00293E31" w:rsidP="00D4605E">
      <w:pPr>
        <w:pStyle w:val="Heading1"/>
        <w:numPr>
          <w:ilvl w:val="0"/>
          <w:numId w:val="0"/>
        </w:numPr>
        <w:jc w:val="center"/>
      </w:pPr>
      <w:bookmarkStart w:id="12" w:name="_Toc476239695"/>
      <w:bookmarkStart w:id="13" w:name="_Toc388044573"/>
      <w:r w:rsidRPr="0038045B">
        <w:lastRenderedPageBreak/>
        <w:t>EXECUTIVE SUMMARY</w:t>
      </w:r>
      <w:bookmarkEnd w:id="12"/>
    </w:p>
    <w:p w14:paraId="5234EF8F" w14:textId="77777777" w:rsidR="00293E31" w:rsidRPr="0038045B" w:rsidRDefault="00293E31" w:rsidP="00293E31"/>
    <w:p w14:paraId="53D71BD6" w14:textId="77777777" w:rsidR="00275558" w:rsidRPr="0038045B" w:rsidRDefault="00293E31" w:rsidP="00275558">
      <w:pPr>
        <w:pStyle w:val="Body"/>
        <w:numPr>
          <w:ilvl w:val="0"/>
          <w:numId w:val="9"/>
        </w:numPr>
        <w:spacing w:after="120" w:line="276" w:lineRule="auto"/>
        <w:ind w:left="0" w:firstLine="0"/>
        <w:rPr>
          <w:lang w:val="en-US"/>
        </w:rPr>
      </w:pPr>
      <w:r w:rsidRPr="0038045B">
        <w:rPr>
          <w:b/>
          <w:lang w:val="en-US"/>
        </w:rPr>
        <w:t>In April 201</w:t>
      </w:r>
      <w:r w:rsidR="00334B36" w:rsidRPr="0038045B">
        <w:rPr>
          <w:b/>
          <w:lang w:val="en-US"/>
        </w:rPr>
        <w:t>6</w:t>
      </w:r>
      <w:r w:rsidRPr="0038045B">
        <w:rPr>
          <w:b/>
          <w:lang w:val="en-US"/>
        </w:rPr>
        <w:t xml:space="preserve">, the </w:t>
      </w:r>
      <w:r w:rsidR="0007137B" w:rsidRPr="0038045B">
        <w:rPr>
          <w:b/>
          <w:lang w:val="en-US"/>
        </w:rPr>
        <w:t>committee on Payments and Market Infrastructures (C</w:t>
      </w:r>
      <w:r w:rsidRPr="0038045B">
        <w:rPr>
          <w:b/>
          <w:lang w:val="en-US"/>
        </w:rPr>
        <w:t>PMI</w:t>
      </w:r>
      <w:r w:rsidR="0007137B" w:rsidRPr="0038045B">
        <w:rPr>
          <w:b/>
          <w:lang w:val="en-US"/>
        </w:rPr>
        <w:t>)</w:t>
      </w:r>
      <w:r w:rsidRPr="0038045B">
        <w:rPr>
          <w:b/>
          <w:lang w:val="en-US"/>
        </w:rPr>
        <w:t xml:space="preserve"> </w:t>
      </w:r>
      <w:r w:rsidR="0007137B" w:rsidRPr="0038045B">
        <w:rPr>
          <w:b/>
          <w:lang w:val="en-US"/>
        </w:rPr>
        <w:t xml:space="preserve">of the Bank for International Settlements (BIS) </w:t>
      </w:r>
      <w:r w:rsidRPr="0038045B">
        <w:rPr>
          <w:b/>
          <w:lang w:val="en-US"/>
        </w:rPr>
        <w:t xml:space="preserve">and the World Bank Group </w:t>
      </w:r>
      <w:r w:rsidR="00334B36" w:rsidRPr="0038045B">
        <w:rPr>
          <w:b/>
          <w:lang w:val="en-US"/>
        </w:rPr>
        <w:t>issued the “Payments aspects of financial inclusion report” or “PAFI report”,</w:t>
      </w:r>
      <w:r w:rsidR="00334B36" w:rsidRPr="0038045B">
        <w:rPr>
          <w:lang w:val="en-US"/>
        </w:rPr>
        <w:t xml:space="preserve"> covering </w:t>
      </w:r>
      <w:r w:rsidRPr="0038045B">
        <w:rPr>
          <w:lang w:val="en-US"/>
        </w:rPr>
        <w:t xml:space="preserve"> demand and supply side factors affecting financial inclusion in the context of payment systems and services. </w:t>
      </w:r>
      <w:r w:rsidR="00334B36" w:rsidRPr="0038045B">
        <w:rPr>
          <w:lang w:val="en-US"/>
        </w:rPr>
        <w:t xml:space="preserve">The report calls for </w:t>
      </w:r>
      <w:r w:rsidRPr="0038045B">
        <w:rPr>
          <w:lang w:val="en-US"/>
        </w:rPr>
        <w:t xml:space="preserve"> all individuals and micro- and small-sized enterprises </w:t>
      </w:r>
      <w:r w:rsidR="00334B36" w:rsidRPr="0038045B">
        <w:rPr>
          <w:lang w:val="en-US"/>
        </w:rPr>
        <w:t xml:space="preserve">to </w:t>
      </w:r>
      <w:r w:rsidRPr="0038045B">
        <w:rPr>
          <w:lang w:val="en-US"/>
        </w:rPr>
        <w:t xml:space="preserve"> be able to have and use at least one transaction account operated by a regulated/authorized payment service provider: (i) to perform most, if not all, of their payment needs; (ii) to safely store some value; and, (iii) to serve as a gateway to other financial services. To this end, the PAFI report proposes a framework to address </w:t>
      </w:r>
      <w:r w:rsidR="00275558" w:rsidRPr="0038045B">
        <w:rPr>
          <w:lang w:val="en-US"/>
        </w:rPr>
        <w:t xml:space="preserve">identified </w:t>
      </w:r>
      <w:r w:rsidRPr="0038045B">
        <w:rPr>
          <w:lang w:val="en-US"/>
        </w:rPr>
        <w:t xml:space="preserve">barriers </w:t>
      </w:r>
      <w:r w:rsidR="00275558" w:rsidRPr="0038045B">
        <w:rPr>
          <w:lang w:val="en-US"/>
        </w:rPr>
        <w:t>to access to, and usage of, transaction accounts, consisting of</w:t>
      </w:r>
      <w:r w:rsidRPr="0038045B">
        <w:rPr>
          <w:lang w:val="en-US"/>
        </w:rPr>
        <w:t xml:space="preserve"> </w:t>
      </w:r>
      <w:r w:rsidR="00275558" w:rsidRPr="0038045B">
        <w:rPr>
          <w:lang w:val="en-US"/>
        </w:rPr>
        <w:t xml:space="preserve">three “foundations” – i.e., </w:t>
      </w:r>
      <w:r w:rsidRPr="0038045B">
        <w:rPr>
          <w:lang w:val="en-US"/>
        </w:rPr>
        <w:t>the critical enablers for payment systems and the provision of payment services in general</w:t>
      </w:r>
      <w:r w:rsidR="00275558" w:rsidRPr="0038045B">
        <w:rPr>
          <w:lang w:val="en-US"/>
        </w:rPr>
        <w:t xml:space="preserve"> – and the </w:t>
      </w:r>
      <w:r w:rsidRPr="0038045B">
        <w:rPr>
          <w:lang w:val="en-US"/>
        </w:rPr>
        <w:t xml:space="preserve">“catalytic pillars” as the drivers for access and usage. The end objective is </w:t>
      </w:r>
      <w:r w:rsidR="00275558" w:rsidRPr="0038045B">
        <w:rPr>
          <w:lang w:val="en-US"/>
        </w:rPr>
        <w:t>to achieve</w:t>
      </w:r>
      <w:r w:rsidRPr="0038045B">
        <w:rPr>
          <w:lang w:val="en-US"/>
        </w:rPr>
        <w:t xml:space="preserve"> universal access to and frequent usage of transaction accounts. </w:t>
      </w:r>
    </w:p>
    <w:p w14:paraId="7E53C73E" w14:textId="77777777" w:rsidR="00275558" w:rsidRPr="0038045B" w:rsidRDefault="00275558" w:rsidP="00275558">
      <w:pPr>
        <w:pStyle w:val="Body"/>
        <w:numPr>
          <w:ilvl w:val="0"/>
          <w:numId w:val="9"/>
        </w:numPr>
        <w:spacing w:after="120" w:line="276" w:lineRule="auto"/>
        <w:ind w:left="0" w:firstLine="0"/>
        <w:rPr>
          <w:lang w:val="en-US"/>
        </w:rPr>
      </w:pPr>
      <w:r w:rsidRPr="0038045B">
        <w:rPr>
          <w:b/>
          <w:lang w:val="en-US"/>
        </w:rPr>
        <w:t>Under the SECO-funded Remittances and Payments Program (RPP), a World Bank Group mission,</w:t>
      </w:r>
      <w:r w:rsidRPr="0038045B">
        <w:rPr>
          <w:rStyle w:val="FootnoteReference"/>
          <w:b/>
          <w:lang w:val="en-US"/>
        </w:rPr>
        <w:footnoteReference w:id="2"/>
      </w:r>
      <w:r w:rsidRPr="0038045B">
        <w:rPr>
          <w:b/>
          <w:lang w:val="en-US"/>
        </w:rPr>
        <w:t xml:space="preserve"> visited Albania in September 2016 </w:t>
      </w:r>
      <w:r w:rsidR="0007137B" w:rsidRPr="0038045B">
        <w:rPr>
          <w:b/>
          <w:lang w:val="en-US"/>
        </w:rPr>
        <w:t xml:space="preserve">and January 2017 </w:t>
      </w:r>
      <w:r w:rsidRPr="0038045B">
        <w:rPr>
          <w:b/>
          <w:lang w:val="en-US"/>
        </w:rPr>
        <w:t>to</w:t>
      </w:r>
      <w:r w:rsidRPr="0038045B">
        <w:rPr>
          <w:lang w:val="en-US"/>
        </w:rPr>
        <w:t xml:space="preserve"> conduct a review of the country’s national payments system (NPS) in order to make recommendations for possible improvements with regard to achieving effective financial inclusion from a payments perspective. In parallel, an assessment based on the CPMI-WB General Principles for International Remittance Services was undertaken by the team. To the extent that these assessments were conducted at the same time and address common issues such as the legal framework, the payments infrastructure etc., although from different perspectives, some observations and recommendations overlap. </w:t>
      </w:r>
    </w:p>
    <w:p w14:paraId="6F0F81F1" w14:textId="77777777" w:rsidR="00CD2E59" w:rsidRPr="0038045B" w:rsidRDefault="00275558" w:rsidP="00334B36">
      <w:pPr>
        <w:pStyle w:val="Body"/>
        <w:numPr>
          <w:ilvl w:val="0"/>
          <w:numId w:val="9"/>
        </w:numPr>
        <w:spacing w:after="120" w:line="276" w:lineRule="auto"/>
        <w:ind w:left="0" w:firstLine="0"/>
        <w:rPr>
          <w:lang w:val="en-US"/>
        </w:rPr>
      </w:pPr>
      <w:r w:rsidRPr="0038045B">
        <w:rPr>
          <w:b/>
          <w:lang w:val="en-US"/>
        </w:rPr>
        <w:t>Less than 40% of adults</w:t>
      </w:r>
      <w:r w:rsidRPr="0038045B">
        <w:rPr>
          <w:b/>
          <w:vertAlign w:val="superscript"/>
        </w:rPr>
        <w:footnoteReference w:id="3"/>
      </w:r>
      <w:r w:rsidRPr="0038045B">
        <w:rPr>
          <w:b/>
          <w:lang w:val="en-US"/>
        </w:rPr>
        <w:t xml:space="preserve"> in Albania have an account at a financial institution.</w:t>
      </w:r>
      <w:r w:rsidRPr="0038045B">
        <w:rPr>
          <w:lang w:val="en-US"/>
        </w:rPr>
        <w:t xml:space="preserve"> While there has been some progress from year 2011, the share of adults </w:t>
      </w:r>
      <w:r w:rsidR="00CD2E59" w:rsidRPr="0038045B">
        <w:rPr>
          <w:lang w:val="en-US"/>
        </w:rPr>
        <w:t>with</w:t>
      </w:r>
      <w:r w:rsidRPr="0038045B">
        <w:rPr>
          <w:lang w:val="en-US"/>
        </w:rPr>
        <w:t xml:space="preserve"> an account still compare</w:t>
      </w:r>
      <w:r w:rsidR="00CD2E59" w:rsidRPr="0038045B">
        <w:rPr>
          <w:lang w:val="en-US"/>
        </w:rPr>
        <w:t>s</w:t>
      </w:r>
      <w:r w:rsidRPr="0038045B">
        <w:rPr>
          <w:lang w:val="en-US"/>
        </w:rPr>
        <w:t xml:space="preserve"> unfavorably to peer countries in the ECA region, and more even so to upper MICs around the world. The situation is somewhat worse for women, young adults and adults living in rural areas,</w:t>
      </w:r>
      <w:r w:rsidRPr="0038045B">
        <w:rPr>
          <w:vertAlign w:val="superscript"/>
        </w:rPr>
        <w:footnoteReference w:id="4"/>
      </w:r>
      <w:r w:rsidRPr="0038045B">
        <w:rPr>
          <w:lang w:val="en-US"/>
        </w:rPr>
        <w:t xml:space="preserve"> </w:t>
      </w:r>
      <w:r w:rsidR="00CD2E59" w:rsidRPr="0038045B">
        <w:rPr>
          <w:lang w:val="en-US"/>
        </w:rPr>
        <w:t xml:space="preserve">and </w:t>
      </w:r>
      <w:r w:rsidRPr="0038045B">
        <w:rPr>
          <w:lang w:val="en-US"/>
        </w:rPr>
        <w:t xml:space="preserve">significantly worse for adults belonging to the poorest 40%. </w:t>
      </w:r>
      <w:r w:rsidR="00CD2E59" w:rsidRPr="0038045B">
        <w:rPr>
          <w:lang w:val="en-US"/>
        </w:rPr>
        <w:t>World Bank data estimate debit card ownership between 21.8% and 24%.</w:t>
      </w:r>
      <w:r w:rsidR="00CD2E59" w:rsidRPr="0038045B">
        <w:rPr>
          <w:rStyle w:val="FootnoteReference"/>
          <w:lang w:val="en-US"/>
        </w:rPr>
        <w:footnoteReference w:id="5"/>
      </w:r>
      <w:r w:rsidR="00CD2E59" w:rsidRPr="0038045B">
        <w:rPr>
          <w:lang w:val="en-US"/>
        </w:rPr>
        <w:t xml:space="preserve"> </w:t>
      </w:r>
      <w:r w:rsidRPr="0038045B">
        <w:rPr>
          <w:lang w:val="en-US"/>
        </w:rPr>
        <w:t>Use of non-cash payment instruments in Albania for transactions other than cash withdrawals is low, despite a steady increase</w:t>
      </w:r>
      <w:r w:rsidR="00CD2E59" w:rsidRPr="0038045B">
        <w:rPr>
          <w:lang w:val="en-US"/>
        </w:rPr>
        <w:t xml:space="preserve"> since 2011, with </w:t>
      </w:r>
      <w:r w:rsidRPr="0038045B">
        <w:rPr>
          <w:lang w:val="en-US"/>
        </w:rPr>
        <w:t xml:space="preserve">paper-based credit transfers </w:t>
      </w:r>
      <w:r w:rsidR="00CD2E59" w:rsidRPr="0038045B">
        <w:rPr>
          <w:lang w:val="en-US"/>
        </w:rPr>
        <w:t>being</w:t>
      </w:r>
      <w:r w:rsidRPr="0038045B">
        <w:rPr>
          <w:lang w:val="en-US"/>
        </w:rPr>
        <w:t xml:space="preserve"> the most heavily used non-cash </w:t>
      </w:r>
      <w:r w:rsidRPr="0038045B">
        <w:rPr>
          <w:lang w:val="en-US"/>
        </w:rPr>
        <w:lastRenderedPageBreak/>
        <w:t xml:space="preserve">payment instrument. </w:t>
      </w:r>
      <w:r w:rsidR="00CD2E59" w:rsidRPr="0038045B">
        <w:rPr>
          <w:lang w:val="en-US"/>
        </w:rPr>
        <w:t>P</w:t>
      </w:r>
      <w:r w:rsidRPr="0038045B">
        <w:rPr>
          <w:lang w:val="en-US"/>
        </w:rPr>
        <w:t>ayment cards in Albania are mostly used for cash withdrawals at automated teller machines (ATMs).</w:t>
      </w:r>
      <w:r w:rsidR="00CD2E59" w:rsidRPr="0038045B">
        <w:rPr>
          <w:lang w:val="en-US"/>
        </w:rPr>
        <w:t xml:space="preserve"> </w:t>
      </w:r>
      <w:r w:rsidR="00EF5BE5" w:rsidRPr="0038045B">
        <w:rPr>
          <w:lang w:val="en-US"/>
        </w:rPr>
        <w:t xml:space="preserve">Cashless transactions per capita reached 4.3 as of end-2016, </w:t>
      </w:r>
      <w:r w:rsidR="00EF5BE5" w:rsidRPr="0038045B">
        <w:rPr>
          <w:lang w:val="en-US" w:eastAsia="en-US"/>
        </w:rPr>
        <w:t xml:space="preserve">far below upper MICs average and from developed economies. </w:t>
      </w:r>
      <w:r w:rsidR="00EF5BE5" w:rsidRPr="0038045B">
        <w:rPr>
          <w:lang w:val="en-US"/>
        </w:rPr>
        <w:t>Similarly</w:t>
      </w:r>
      <w:r w:rsidR="00CD2E59" w:rsidRPr="0038045B">
        <w:rPr>
          <w:lang w:val="en-US"/>
        </w:rPr>
        <w:t>, b</w:t>
      </w:r>
      <w:r w:rsidRPr="0038045B">
        <w:rPr>
          <w:lang w:val="en-US"/>
        </w:rPr>
        <w:t xml:space="preserve">anking and retail payments infrastructure is relatively less developed in Albania than in neighboring countries and peer upper MICs. </w:t>
      </w:r>
    </w:p>
    <w:p w14:paraId="40F8F476" w14:textId="77777777" w:rsidR="005E2114" w:rsidRPr="0038045B" w:rsidRDefault="005E2114" w:rsidP="005E2114">
      <w:pPr>
        <w:pStyle w:val="Body"/>
        <w:numPr>
          <w:ilvl w:val="0"/>
          <w:numId w:val="9"/>
        </w:numPr>
        <w:spacing w:after="120" w:line="276" w:lineRule="auto"/>
        <w:ind w:left="0" w:firstLine="0"/>
        <w:rPr>
          <w:lang w:val="en-US"/>
        </w:rPr>
      </w:pPr>
      <w:r w:rsidRPr="0038045B">
        <w:rPr>
          <w:b/>
          <w:lang w:val="en-US"/>
        </w:rPr>
        <w:t>Explicit, strong, and continued commitment towards financial access and inclusion is the first PAFI “foundation”</w:t>
      </w:r>
      <w:r w:rsidR="00334B36" w:rsidRPr="0038045B">
        <w:rPr>
          <w:b/>
          <w:lang w:val="en-US"/>
        </w:rPr>
        <w:t xml:space="preserve"> and could be more explicitly articulated in Albania</w:t>
      </w:r>
      <w:r w:rsidRPr="0038045B">
        <w:rPr>
          <w:b/>
          <w:lang w:val="en-US"/>
        </w:rPr>
        <w:t xml:space="preserve">. </w:t>
      </w:r>
      <w:r w:rsidR="00CD2E59" w:rsidRPr="0038045B">
        <w:rPr>
          <w:lang w:val="en-US"/>
        </w:rPr>
        <w:t xml:space="preserve">Other than a reference in the National Payment System Committee’s </w:t>
      </w:r>
      <w:r w:rsidRPr="0038045B">
        <w:rPr>
          <w:lang w:val="en-US"/>
        </w:rPr>
        <w:t xml:space="preserve">(NPCS) </w:t>
      </w:r>
      <w:r w:rsidR="00CD2E59" w:rsidRPr="0038045B">
        <w:rPr>
          <w:lang w:val="en-US"/>
        </w:rPr>
        <w:t>Mid-Term Strategy, in Albania there is no explicit commitment from public authorities and/or the financial services industry to foster or promote financial inclusion. At the global level, as of the end of 2014 more than 50 countries had made headline financial inclusion commitments, and many of them are developing explicit strategies, often referred to as National Financial Inclusion Strategies (NFIS), to ensure that resources and actions are put in place in a coordinate fashion to achieve those commitments.</w:t>
      </w:r>
      <w:r w:rsidRPr="0038045B">
        <w:rPr>
          <w:lang w:val="en-US"/>
        </w:rPr>
        <w:t xml:space="preserve"> </w:t>
      </w:r>
      <w:r w:rsidR="00CD2E59" w:rsidRPr="0038045B">
        <w:rPr>
          <w:lang w:val="en-US"/>
        </w:rPr>
        <w:t>Albania could benefit from putting in place a NFIS that includes explicit and specific goals and strategies for advancing access to</w:t>
      </w:r>
      <w:r w:rsidRPr="0038045B">
        <w:rPr>
          <w:lang w:val="en-US"/>
        </w:rPr>
        <w:t>,</w:t>
      </w:r>
      <w:r w:rsidR="00CD2E59" w:rsidRPr="0038045B">
        <w:rPr>
          <w:lang w:val="en-US"/>
        </w:rPr>
        <w:t xml:space="preserve"> and usage of</w:t>
      </w:r>
      <w:r w:rsidRPr="0038045B">
        <w:rPr>
          <w:lang w:val="en-US"/>
        </w:rPr>
        <w:t>,</w:t>
      </w:r>
      <w:r w:rsidR="00CD2E59" w:rsidRPr="0038045B">
        <w:rPr>
          <w:lang w:val="en-US"/>
        </w:rPr>
        <w:t xml:space="preserve"> the various financial services that should be broadly available to individuals and businesses, like bank and other transaction accounts, credit, savings and insurance.</w:t>
      </w:r>
      <w:r w:rsidRPr="0038045B">
        <w:rPr>
          <w:lang w:val="en-US"/>
        </w:rPr>
        <w:t xml:space="preserve"> </w:t>
      </w:r>
      <w:r w:rsidR="00CD2E59" w:rsidRPr="0038045B">
        <w:rPr>
          <w:lang w:val="en-US"/>
        </w:rPr>
        <w:t xml:space="preserve">NFIS </w:t>
      </w:r>
      <w:r w:rsidRPr="0038045B">
        <w:rPr>
          <w:lang w:val="en-US"/>
        </w:rPr>
        <w:t xml:space="preserve">must </w:t>
      </w:r>
      <w:r w:rsidR="00CD2E59" w:rsidRPr="0038045B">
        <w:rPr>
          <w:lang w:val="en-US"/>
        </w:rPr>
        <w:t>rely on a leadership/coordination structure</w:t>
      </w:r>
      <w:r w:rsidR="00334B36" w:rsidRPr="0038045B">
        <w:rPr>
          <w:lang w:val="en-US"/>
        </w:rPr>
        <w:t>. I</w:t>
      </w:r>
      <w:r w:rsidR="00CD2E59" w:rsidRPr="0038045B">
        <w:rPr>
          <w:lang w:val="en-US"/>
        </w:rPr>
        <w:t>n this regard, the NPSC of Albania is an important forum to facilit</w:t>
      </w:r>
      <w:r w:rsidRPr="0038045B">
        <w:rPr>
          <w:lang w:val="en-US"/>
        </w:rPr>
        <w:t>ate a cross-sectoral discussion; h</w:t>
      </w:r>
      <w:r w:rsidR="00CD2E59" w:rsidRPr="0038045B">
        <w:rPr>
          <w:lang w:val="en-US"/>
        </w:rPr>
        <w:t xml:space="preserve">owever, broader financial inclusion efforts </w:t>
      </w:r>
      <w:r w:rsidRPr="0038045B">
        <w:rPr>
          <w:lang w:val="en-US"/>
        </w:rPr>
        <w:t xml:space="preserve">that </w:t>
      </w:r>
      <w:r w:rsidR="00CD2E59" w:rsidRPr="0038045B">
        <w:rPr>
          <w:lang w:val="en-US"/>
        </w:rPr>
        <w:t xml:space="preserve">beyond financial access </w:t>
      </w:r>
      <w:r w:rsidRPr="0038045B">
        <w:rPr>
          <w:lang w:val="en-US"/>
        </w:rPr>
        <w:t xml:space="preserve">might require setting up an ad-hoc structure with an explicit mandate. </w:t>
      </w:r>
    </w:p>
    <w:p w14:paraId="29C71ABA" w14:textId="77777777" w:rsidR="008728DE" w:rsidRPr="0038045B" w:rsidRDefault="00CD2E59" w:rsidP="00227D3B">
      <w:pPr>
        <w:pStyle w:val="Body"/>
        <w:numPr>
          <w:ilvl w:val="0"/>
          <w:numId w:val="9"/>
        </w:numPr>
        <w:spacing w:after="120" w:line="276" w:lineRule="auto"/>
        <w:ind w:left="0" w:firstLine="0"/>
        <w:rPr>
          <w:lang w:val="en-US"/>
        </w:rPr>
      </w:pPr>
      <w:r w:rsidRPr="0038045B">
        <w:rPr>
          <w:b/>
          <w:lang w:val="en-US"/>
        </w:rPr>
        <w:t xml:space="preserve">In Albania, </w:t>
      </w:r>
      <w:r w:rsidR="005E2114" w:rsidRPr="0038045B">
        <w:rPr>
          <w:b/>
          <w:lang w:val="en-US"/>
        </w:rPr>
        <w:t xml:space="preserve">the legal and regulatory framework underpinning financial inclusion </w:t>
      </w:r>
      <w:r w:rsidR="00334B36" w:rsidRPr="0038045B">
        <w:rPr>
          <w:b/>
          <w:lang w:val="en-US"/>
        </w:rPr>
        <w:t xml:space="preserve">is </w:t>
      </w:r>
      <w:r w:rsidR="008B123B" w:rsidRPr="0038045B">
        <w:rPr>
          <w:b/>
          <w:lang w:val="en-US"/>
        </w:rPr>
        <w:t xml:space="preserve">well-developed though </w:t>
      </w:r>
      <w:r w:rsidR="005E2114" w:rsidRPr="0038045B">
        <w:rPr>
          <w:b/>
          <w:lang w:val="en-US"/>
        </w:rPr>
        <w:t>incomplete.</w:t>
      </w:r>
      <w:r w:rsidR="005E2114" w:rsidRPr="0038045B">
        <w:rPr>
          <w:lang w:val="en-US"/>
        </w:rPr>
        <w:t xml:space="preserve"> At the outset, a</w:t>
      </w:r>
      <w:r w:rsidRPr="0038045B">
        <w:rPr>
          <w:lang w:val="en-US"/>
        </w:rPr>
        <w:t xml:space="preserve"> general development that bears significant importance to the</w:t>
      </w:r>
      <w:r w:rsidR="005E2114" w:rsidRPr="0038045B">
        <w:rPr>
          <w:lang w:val="en-US"/>
        </w:rPr>
        <w:t xml:space="preserve"> evolution of</w:t>
      </w:r>
      <w:r w:rsidRPr="0038045B">
        <w:rPr>
          <w:lang w:val="en-US"/>
        </w:rPr>
        <w:t xml:space="preserve"> legal and regulatory framework is the country having received, on 27 June 2014, “European Union (EU) Candidate” status. As a result, the BoA and other national authorities are working to bring the national legislation in line with the EU acquis in the field of payments (</w:t>
      </w:r>
      <w:r w:rsidR="005E2114" w:rsidRPr="0038045B">
        <w:rPr>
          <w:lang w:val="en-US"/>
        </w:rPr>
        <w:t xml:space="preserve">e.g., through the transposition of </w:t>
      </w:r>
      <w:r w:rsidRPr="0038045B">
        <w:rPr>
          <w:lang w:val="en-US"/>
        </w:rPr>
        <w:t>E</w:t>
      </w:r>
      <w:r w:rsidR="005E2114" w:rsidRPr="0038045B">
        <w:rPr>
          <w:lang w:val="en-US"/>
        </w:rPr>
        <w:t xml:space="preserve">U Payment Services Directive 2 – </w:t>
      </w:r>
      <w:r w:rsidRPr="0038045B">
        <w:rPr>
          <w:lang w:val="en-US"/>
        </w:rPr>
        <w:t>PSD 2)</w:t>
      </w:r>
      <w:r w:rsidR="005E2114" w:rsidRPr="0038045B">
        <w:rPr>
          <w:lang w:val="en-US"/>
        </w:rPr>
        <w:t>.</w:t>
      </w:r>
      <w:r w:rsidR="008728DE" w:rsidRPr="0038045B">
        <w:rPr>
          <w:lang w:val="en-US"/>
        </w:rPr>
        <w:t xml:space="preserve"> </w:t>
      </w:r>
      <w:r w:rsidRPr="0038045B">
        <w:rPr>
          <w:lang w:val="en-US"/>
        </w:rPr>
        <w:t xml:space="preserve">The adoption of the Payment System Law of 2013 has significantly strengthened the </w:t>
      </w:r>
      <w:r w:rsidR="008728DE" w:rsidRPr="0038045B">
        <w:rPr>
          <w:lang w:val="en-US"/>
        </w:rPr>
        <w:t>legal basis of the NPS</w:t>
      </w:r>
      <w:r w:rsidRPr="0038045B">
        <w:rPr>
          <w:lang w:val="en-US"/>
        </w:rPr>
        <w:t xml:space="preserve">, including payment instruments. </w:t>
      </w:r>
      <w:r w:rsidR="008728DE" w:rsidRPr="0038045B">
        <w:rPr>
          <w:lang w:val="en-US"/>
        </w:rPr>
        <w:t xml:space="preserve">A robust framework has been established to foster sound risk management practices in the payments industry in Albania, including through the regulation and the supervision/oversight of providers of payment services and operators of payment systems. In parallel with allowing non-bank financial institutions </w:t>
      </w:r>
      <w:r w:rsidR="00227D3B" w:rsidRPr="0038045B">
        <w:rPr>
          <w:lang w:val="en-US"/>
        </w:rPr>
        <w:t xml:space="preserve">(NBFIs) </w:t>
      </w:r>
      <w:r w:rsidR="008728DE" w:rsidRPr="0038045B">
        <w:rPr>
          <w:lang w:val="en-US"/>
        </w:rPr>
        <w:t xml:space="preserve">to provide payment services, the legal framework sets out the risk management provisions that are applicable to them. </w:t>
      </w:r>
      <w:r w:rsidR="00227D3B" w:rsidRPr="0038045B">
        <w:rPr>
          <w:lang w:val="en-US"/>
        </w:rPr>
        <w:t>Protection of deposits and of e-money customer funds is adequately addressed through deposit insurance (covering banks and savings and credit cooperatives</w:t>
      </w:r>
      <w:r w:rsidR="00B40F8D" w:rsidRPr="0038045B">
        <w:rPr>
          <w:lang w:val="en-US"/>
        </w:rPr>
        <w:t>, SCAs</w:t>
      </w:r>
      <w:r w:rsidR="00227D3B" w:rsidRPr="0038045B">
        <w:rPr>
          <w:lang w:val="en-US"/>
        </w:rPr>
        <w:t xml:space="preserve">) and other preventive measures, respectively. Finally, significant progress was made to enhance AML/CFT </w:t>
      </w:r>
      <w:r w:rsidR="008B123B" w:rsidRPr="0038045B">
        <w:rPr>
          <w:lang w:val="en-US"/>
        </w:rPr>
        <w:t>regulation to bring it</w:t>
      </w:r>
      <w:r w:rsidR="00227D3B" w:rsidRPr="0038045B">
        <w:rPr>
          <w:lang w:val="en-US"/>
        </w:rPr>
        <w:t xml:space="preserve"> in li</w:t>
      </w:r>
      <w:r w:rsidR="008B123B" w:rsidRPr="0038045B">
        <w:rPr>
          <w:lang w:val="en-US"/>
        </w:rPr>
        <w:t>ne with international standards by adopting a risk-based approach does not unnecessarily inhibit individuals and businesses from accessing and using well-regulated financial services.</w:t>
      </w:r>
    </w:p>
    <w:p w14:paraId="56590C77" w14:textId="77777777" w:rsidR="008B123B" w:rsidRPr="0038045B" w:rsidRDefault="00334B36" w:rsidP="008B123B">
      <w:pPr>
        <w:pStyle w:val="Body"/>
        <w:numPr>
          <w:ilvl w:val="0"/>
          <w:numId w:val="9"/>
        </w:numPr>
        <w:spacing w:after="120" w:line="276" w:lineRule="auto"/>
        <w:ind w:left="0" w:firstLine="0"/>
        <w:rPr>
          <w:lang w:val="en-US"/>
        </w:rPr>
      </w:pPr>
      <w:r w:rsidRPr="0038045B">
        <w:rPr>
          <w:b/>
          <w:lang w:val="en-US"/>
        </w:rPr>
        <w:lastRenderedPageBreak/>
        <w:t>A</w:t>
      </w:r>
      <w:r w:rsidR="008728DE" w:rsidRPr="0038045B">
        <w:rPr>
          <w:b/>
          <w:lang w:val="en-US"/>
        </w:rPr>
        <w:t xml:space="preserve"> number of gaps and areas of improvement have been noted that have a bearing on the enabling environment and customer’s protection</w:t>
      </w:r>
      <w:r w:rsidR="00CD2E59" w:rsidRPr="0038045B">
        <w:rPr>
          <w:b/>
          <w:lang w:val="en-US"/>
        </w:rPr>
        <w:t>.</w:t>
      </w:r>
      <w:r w:rsidR="00CD2E59" w:rsidRPr="0038045B">
        <w:rPr>
          <w:lang w:val="en-US"/>
        </w:rPr>
        <w:t xml:space="preserve"> The use of third parties as agents for the provision of payment and payment-related services </w:t>
      </w:r>
      <w:r w:rsidR="008728DE" w:rsidRPr="0038045B">
        <w:rPr>
          <w:lang w:val="en-US"/>
        </w:rPr>
        <w:t xml:space="preserve">is limited to NBFIs, and outsourcing in general is not coherently disciplined. </w:t>
      </w:r>
      <w:r w:rsidR="00FD4027" w:rsidRPr="0038045B">
        <w:rPr>
          <w:lang w:val="en-US"/>
        </w:rPr>
        <w:t>Although the legal and regulatory framework for the provision of payment services was amended to accommodate new technologies and business models</w:t>
      </w:r>
      <w:r w:rsidR="00205BD7" w:rsidRPr="0038045B">
        <w:rPr>
          <w:lang w:val="en-US"/>
        </w:rPr>
        <w:t xml:space="preserve">, </w:t>
      </w:r>
      <w:r w:rsidR="00FD4027" w:rsidRPr="0038045B">
        <w:rPr>
          <w:lang w:val="en-US"/>
        </w:rPr>
        <w:t>payment services remain the prerogative of banks and NBFIs, i.e., non-financial institutions wanting to provide payment services and e-money apply for a license under NBFIs licensing regulations. In this regard, the transposition of PSD 2 will contribute to ensure a more consistent outcome in terms of licensing of non-financial institutions, thus further facilitating market</w:t>
      </w:r>
      <w:r w:rsidR="00205BD7" w:rsidRPr="0038045B">
        <w:rPr>
          <w:lang w:val="en-US"/>
        </w:rPr>
        <w:t xml:space="preserve"> entrance</w:t>
      </w:r>
      <w:r w:rsidR="00FD4027" w:rsidRPr="0038045B">
        <w:rPr>
          <w:lang w:val="en-US"/>
        </w:rPr>
        <w:t>.</w:t>
      </w:r>
      <w:r w:rsidR="00FD4027" w:rsidRPr="0038045B">
        <w:rPr>
          <w:i/>
          <w:lang w:val="en-US"/>
        </w:rPr>
        <w:t xml:space="preserve"> </w:t>
      </w:r>
      <w:r w:rsidR="00227D3B" w:rsidRPr="0038045B">
        <w:rPr>
          <w:lang w:val="en-US"/>
        </w:rPr>
        <w:t>The legal basis and t</w:t>
      </w:r>
      <w:r w:rsidR="00CD2E59" w:rsidRPr="0038045B">
        <w:rPr>
          <w:lang w:val="en-US"/>
        </w:rPr>
        <w:t xml:space="preserve">rust on e-evidence in court </w:t>
      </w:r>
      <w:r w:rsidR="00227D3B" w:rsidRPr="0038045B">
        <w:rPr>
          <w:lang w:val="en-US"/>
        </w:rPr>
        <w:t>should</w:t>
      </w:r>
      <w:r w:rsidR="00CD2E59" w:rsidRPr="0038045B">
        <w:rPr>
          <w:lang w:val="en-US"/>
        </w:rPr>
        <w:t xml:space="preserve"> be enhanced.</w:t>
      </w:r>
      <w:r w:rsidR="00227D3B" w:rsidRPr="0038045B">
        <w:rPr>
          <w:lang w:val="en-US"/>
        </w:rPr>
        <w:t xml:space="preserve"> As mentioned</w:t>
      </w:r>
      <w:r w:rsidR="008B123B" w:rsidRPr="0038045B">
        <w:rPr>
          <w:lang w:val="en-US"/>
        </w:rPr>
        <w:t xml:space="preserve"> above</w:t>
      </w:r>
      <w:r w:rsidR="00227D3B" w:rsidRPr="0038045B">
        <w:rPr>
          <w:lang w:val="en-US"/>
        </w:rPr>
        <w:t xml:space="preserve">, </w:t>
      </w:r>
      <w:r w:rsidR="00CD2E59" w:rsidRPr="0038045B">
        <w:rPr>
          <w:lang w:val="en-US"/>
        </w:rPr>
        <w:t xml:space="preserve">regulatory and oversight powers </w:t>
      </w:r>
      <w:r w:rsidR="00227D3B" w:rsidRPr="0038045B">
        <w:rPr>
          <w:lang w:val="en-US"/>
        </w:rPr>
        <w:t xml:space="preserve">of BoA are properly articulated, although </w:t>
      </w:r>
      <w:r w:rsidR="00CD2E59" w:rsidRPr="0038045B">
        <w:rPr>
          <w:lang w:val="en-US"/>
        </w:rPr>
        <w:t xml:space="preserve">the BoA </w:t>
      </w:r>
      <w:r w:rsidR="00227D3B" w:rsidRPr="0038045B">
        <w:rPr>
          <w:lang w:val="en-US"/>
        </w:rPr>
        <w:t>lack</w:t>
      </w:r>
      <w:r w:rsidR="008B123B" w:rsidRPr="0038045B">
        <w:rPr>
          <w:lang w:val="en-US"/>
        </w:rPr>
        <w:t>s</w:t>
      </w:r>
      <w:r w:rsidR="00227D3B" w:rsidRPr="0038045B">
        <w:rPr>
          <w:lang w:val="en-US"/>
        </w:rPr>
        <w:t xml:space="preserve"> </w:t>
      </w:r>
      <w:r w:rsidR="00CD2E59" w:rsidRPr="0038045B">
        <w:rPr>
          <w:lang w:val="en-US"/>
        </w:rPr>
        <w:t xml:space="preserve">explicit powers </w:t>
      </w:r>
      <w:r w:rsidR="00227D3B" w:rsidRPr="0038045B">
        <w:rPr>
          <w:lang w:val="en-US"/>
        </w:rPr>
        <w:t xml:space="preserve">on </w:t>
      </w:r>
      <w:r w:rsidR="00CD2E59" w:rsidRPr="0038045B">
        <w:rPr>
          <w:lang w:val="en-US"/>
        </w:rPr>
        <w:t>payment services</w:t>
      </w:r>
      <w:r w:rsidR="00227D3B" w:rsidRPr="0038045B">
        <w:rPr>
          <w:lang w:val="en-US"/>
        </w:rPr>
        <w:t xml:space="preserve"> (as opposed to systems and instruments)</w:t>
      </w:r>
      <w:r w:rsidR="00CD2E59" w:rsidRPr="0038045B">
        <w:rPr>
          <w:lang w:val="en-US"/>
        </w:rPr>
        <w:t xml:space="preserve">. </w:t>
      </w:r>
      <w:r w:rsidR="00227D3B" w:rsidRPr="0038045B">
        <w:rPr>
          <w:lang w:val="en-US"/>
        </w:rPr>
        <w:t xml:space="preserve">The financial </w:t>
      </w:r>
      <w:r w:rsidR="00CD2E59" w:rsidRPr="0038045B">
        <w:rPr>
          <w:lang w:val="en-US"/>
        </w:rPr>
        <w:t>consumer protection framework</w:t>
      </w:r>
      <w:r w:rsidR="00227D3B" w:rsidRPr="0038045B">
        <w:rPr>
          <w:lang w:val="en-US"/>
        </w:rPr>
        <w:t xml:space="preserve"> needs to b</w:t>
      </w:r>
      <w:r w:rsidR="008B123B" w:rsidRPr="0038045B">
        <w:rPr>
          <w:lang w:val="en-US"/>
        </w:rPr>
        <w:t>e</w:t>
      </w:r>
      <w:r w:rsidR="00227D3B" w:rsidRPr="0038045B">
        <w:rPr>
          <w:lang w:val="en-US"/>
        </w:rPr>
        <w:t xml:space="preserve"> further elaborated</w:t>
      </w:r>
      <w:r w:rsidR="00CD2E59" w:rsidRPr="0038045B">
        <w:rPr>
          <w:lang w:val="en-US"/>
        </w:rPr>
        <w:t xml:space="preserve">, including </w:t>
      </w:r>
      <w:r w:rsidR="008B123B" w:rsidRPr="0038045B">
        <w:rPr>
          <w:lang w:val="en-US"/>
        </w:rPr>
        <w:t>by entrusting</w:t>
      </w:r>
      <w:r w:rsidR="00CD2E59" w:rsidRPr="0038045B">
        <w:rPr>
          <w:lang w:val="en-US"/>
        </w:rPr>
        <w:t xml:space="preserve"> an office/Authority with powers and responsibility to monitor and enforce protection of users of payment services. </w:t>
      </w:r>
      <w:r w:rsidR="008B123B" w:rsidRPr="0038045B">
        <w:rPr>
          <w:lang w:val="en-US"/>
        </w:rPr>
        <w:t>In this regard, i</w:t>
      </w:r>
      <w:r w:rsidR="00CD2E59" w:rsidRPr="0038045B">
        <w:rPr>
          <w:lang w:val="en-US"/>
        </w:rPr>
        <w:t xml:space="preserve">t is expected that the transposition of PSD2 </w:t>
      </w:r>
      <w:r w:rsidR="00227D3B" w:rsidRPr="0038045B">
        <w:rPr>
          <w:lang w:val="en-US"/>
        </w:rPr>
        <w:t xml:space="preserve">will contribute significantly to address </w:t>
      </w:r>
      <w:r w:rsidR="00CD2E59" w:rsidRPr="0038045B">
        <w:rPr>
          <w:lang w:val="en-US"/>
        </w:rPr>
        <w:t xml:space="preserve">transparency and consumer protection </w:t>
      </w:r>
      <w:r w:rsidR="00227D3B" w:rsidRPr="0038045B">
        <w:rPr>
          <w:lang w:val="en-US"/>
        </w:rPr>
        <w:t>for payment services</w:t>
      </w:r>
      <w:r w:rsidR="00CD2E59" w:rsidRPr="0038045B">
        <w:rPr>
          <w:lang w:val="en-US"/>
        </w:rPr>
        <w:t xml:space="preserve">. </w:t>
      </w:r>
      <w:r w:rsidR="008B123B" w:rsidRPr="0038045B">
        <w:rPr>
          <w:lang w:val="en-US"/>
        </w:rPr>
        <w:t>From an integrity perspective, although a</w:t>
      </w:r>
      <w:r w:rsidR="00CD2E59" w:rsidRPr="0038045B">
        <w:rPr>
          <w:lang w:val="en-US"/>
        </w:rPr>
        <w:t xml:space="preserve"> tiered compliance structure </w:t>
      </w:r>
      <w:r w:rsidR="008B123B" w:rsidRPr="0038045B">
        <w:rPr>
          <w:lang w:val="en-US"/>
        </w:rPr>
        <w:t xml:space="preserve">is in place that </w:t>
      </w:r>
      <w:r w:rsidR="00CD2E59" w:rsidRPr="0038045B">
        <w:rPr>
          <w:lang w:val="en-US"/>
        </w:rPr>
        <w:t>permits a suitable balance between risk and compliance relative to transaction size and volume</w:t>
      </w:r>
      <w:r w:rsidR="008B123B" w:rsidRPr="0038045B">
        <w:rPr>
          <w:lang w:val="en-US"/>
        </w:rPr>
        <w:t>, this approach</w:t>
      </w:r>
      <w:r w:rsidR="00CD2E59" w:rsidRPr="0038045B">
        <w:rPr>
          <w:lang w:val="en-US"/>
        </w:rPr>
        <w:t xml:space="preserve"> </w:t>
      </w:r>
      <w:r w:rsidR="008B123B" w:rsidRPr="0038045B">
        <w:rPr>
          <w:lang w:val="en-US"/>
        </w:rPr>
        <w:t xml:space="preserve">should </w:t>
      </w:r>
      <w:r w:rsidR="00CD2E59" w:rsidRPr="0038045B">
        <w:rPr>
          <w:lang w:val="en-US"/>
        </w:rPr>
        <w:t xml:space="preserve">be </w:t>
      </w:r>
      <w:r w:rsidR="008B123B" w:rsidRPr="0038045B">
        <w:rPr>
          <w:lang w:val="en-US"/>
        </w:rPr>
        <w:t>reinforced</w:t>
      </w:r>
      <w:r w:rsidR="00CD2E59" w:rsidRPr="0038045B">
        <w:rPr>
          <w:lang w:val="en-US"/>
        </w:rPr>
        <w:t xml:space="preserve"> </w:t>
      </w:r>
      <w:r w:rsidR="008B123B" w:rsidRPr="0038045B">
        <w:rPr>
          <w:lang w:val="en-US"/>
        </w:rPr>
        <w:t xml:space="preserve">by </w:t>
      </w:r>
      <w:r w:rsidR="00CD2E59" w:rsidRPr="0038045B">
        <w:rPr>
          <w:lang w:val="en-US"/>
        </w:rPr>
        <w:t xml:space="preserve">disciplining it through laws and regulations </w:t>
      </w:r>
      <w:r w:rsidR="008B123B" w:rsidRPr="0038045B">
        <w:rPr>
          <w:lang w:val="en-US"/>
        </w:rPr>
        <w:t>rather than</w:t>
      </w:r>
      <w:r w:rsidR="00CD2E59" w:rsidRPr="0038045B">
        <w:rPr>
          <w:lang w:val="en-US"/>
        </w:rPr>
        <w:t xml:space="preserve"> </w:t>
      </w:r>
      <w:r w:rsidR="008B123B" w:rsidRPr="0038045B">
        <w:rPr>
          <w:lang w:val="en-US"/>
        </w:rPr>
        <w:t xml:space="preserve">mere </w:t>
      </w:r>
      <w:r w:rsidR="00CD2E59" w:rsidRPr="0038045B">
        <w:rPr>
          <w:lang w:val="en-US"/>
        </w:rPr>
        <w:t xml:space="preserve">guidelines. </w:t>
      </w:r>
    </w:p>
    <w:p w14:paraId="3140023B" w14:textId="77777777" w:rsidR="008B123B" w:rsidRPr="0038045B" w:rsidRDefault="00CD2E59" w:rsidP="008B123B">
      <w:pPr>
        <w:pStyle w:val="Body"/>
        <w:numPr>
          <w:ilvl w:val="0"/>
          <w:numId w:val="9"/>
        </w:numPr>
        <w:spacing w:after="120" w:line="276" w:lineRule="auto"/>
        <w:ind w:left="0" w:firstLine="0"/>
        <w:rPr>
          <w:lang w:val="en-US"/>
        </w:rPr>
      </w:pPr>
      <w:r w:rsidRPr="0038045B">
        <w:rPr>
          <w:b/>
          <w:lang w:val="en-US"/>
        </w:rPr>
        <w:t xml:space="preserve">Albania has made important progress in establishing a modern and robust </w:t>
      </w:r>
      <w:r w:rsidR="008B123B" w:rsidRPr="0038045B">
        <w:rPr>
          <w:b/>
          <w:lang w:val="en-US"/>
        </w:rPr>
        <w:t>payments infrastructure</w:t>
      </w:r>
      <w:r w:rsidRPr="0038045B">
        <w:rPr>
          <w:b/>
          <w:lang w:val="en-US"/>
        </w:rPr>
        <w:t>.</w:t>
      </w:r>
      <w:r w:rsidRPr="0038045B">
        <w:rPr>
          <w:lang w:val="en-US"/>
        </w:rPr>
        <w:t xml:space="preserve"> To a large extent, the core payment infrastructures operated by the BoA are safe and efficient</w:t>
      </w:r>
      <w:r w:rsidR="008B123B" w:rsidRPr="0038045B">
        <w:rPr>
          <w:lang w:val="en-US"/>
        </w:rPr>
        <w:t xml:space="preserve">. </w:t>
      </w:r>
      <w:r w:rsidRPr="0038045B">
        <w:rPr>
          <w:lang w:val="en-US"/>
        </w:rPr>
        <w:t xml:space="preserve">Some other important challenges exist, the major one being probably that </w:t>
      </w:r>
      <w:r w:rsidR="00334B36" w:rsidRPr="0038045B">
        <w:rPr>
          <w:lang w:val="en-US"/>
        </w:rPr>
        <w:t xml:space="preserve">- </w:t>
      </w:r>
      <w:r w:rsidRPr="0038045B">
        <w:rPr>
          <w:lang w:val="en-US"/>
        </w:rPr>
        <w:t>despite the availability of modern payment infrastructures</w:t>
      </w:r>
      <w:r w:rsidR="00334B36" w:rsidRPr="0038045B">
        <w:rPr>
          <w:lang w:val="en-US"/>
        </w:rPr>
        <w:t xml:space="preserve"> -</w:t>
      </w:r>
      <w:r w:rsidRPr="0038045B">
        <w:rPr>
          <w:lang w:val="en-US"/>
        </w:rPr>
        <w:t xml:space="preserve"> cash remains the dominant means of payment for the vast majority of the country’s population – even for those that already have bank accounts. The ongoing initiative in Albania to develop a domestic infrastructure for card payments (i.e. Pay Link) could be a solution to achieve increased</w:t>
      </w:r>
      <w:r w:rsidR="008B123B" w:rsidRPr="0038045B">
        <w:rPr>
          <w:lang w:val="en-US"/>
        </w:rPr>
        <w:t xml:space="preserve"> or even full interoperability, and could provide </w:t>
      </w:r>
      <w:r w:rsidRPr="0038045B">
        <w:rPr>
          <w:lang w:val="en-US"/>
        </w:rPr>
        <w:t>additional advantages</w:t>
      </w:r>
      <w:r w:rsidR="008B123B" w:rsidRPr="0038045B">
        <w:rPr>
          <w:lang w:val="en-US"/>
        </w:rPr>
        <w:t xml:space="preserve">, such as </w:t>
      </w:r>
      <w:r w:rsidRPr="0038045B">
        <w:rPr>
          <w:lang w:val="en-US"/>
        </w:rPr>
        <w:t>competition with existing global brands</w:t>
      </w:r>
      <w:r w:rsidR="008B123B" w:rsidRPr="0038045B">
        <w:rPr>
          <w:lang w:val="en-US"/>
        </w:rPr>
        <w:t>, i</w:t>
      </w:r>
      <w:r w:rsidRPr="0038045B">
        <w:rPr>
          <w:lang w:val="en-US"/>
        </w:rPr>
        <w:t>mproved abil</w:t>
      </w:r>
      <w:r w:rsidR="008B123B" w:rsidRPr="0038045B">
        <w:rPr>
          <w:lang w:val="en-US"/>
        </w:rPr>
        <w:t>ity to meet local market needs, and l</w:t>
      </w:r>
      <w:r w:rsidRPr="0038045B">
        <w:rPr>
          <w:lang w:val="en-US"/>
        </w:rPr>
        <w:t>ocal decision-making and governance benefits.</w:t>
      </w:r>
      <w:r w:rsidR="008B123B" w:rsidRPr="0038045B">
        <w:rPr>
          <w:lang w:val="en-US"/>
        </w:rPr>
        <w:t xml:space="preserve"> However, in order to realize these benefits, </w:t>
      </w:r>
      <w:r w:rsidRPr="0038045B">
        <w:rPr>
          <w:lang w:val="en-US"/>
        </w:rPr>
        <w:t>a payment cards switch must achieve broad participation from card issuer</w:t>
      </w:r>
      <w:r w:rsidR="008B123B" w:rsidRPr="0038045B">
        <w:rPr>
          <w:lang w:val="en-US"/>
        </w:rPr>
        <w:t xml:space="preserve">s in the country </w:t>
      </w:r>
      <w:r w:rsidRPr="0038045B">
        <w:rPr>
          <w:lang w:val="en-US"/>
        </w:rPr>
        <w:t xml:space="preserve">(and eventually also from issuers of other payment instruments that could also be switched). Hence, its ownership and governance structures should not deter participation, but rather promote it. </w:t>
      </w:r>
    </w:p>
    <w:p w14:paraId="7FA25278" w14:textId="77777777" w:rsidR="00B57EAD" w:rsidRPr="0038045B" w:rsidRDefault="008B123B" w:rsidP="00B57EAD">
      <w:pPr>
        <w:pStyle w:val="Body"/>
        <w:numPr>
          <w:ilvl w:val="0"/>
          <w:numId w:val="9"/>
        </w:numPr>
        <w:spacing w:after="120" w:line="276" w:lineRule="auto"/>
        <w:ind w:left="0" w:firstLine="0"/>
        <w:rPr>
          <w:lang w:val="en-US"/>
        </w:rPr>
      </w:pPr>
      <w:r w:rsidRPr="0038045B">
        <w:rPr>
          <w:b/>
          <w:lang w:val="en-US"/>
        </w:rPr>
        <w:t>Another factor that might be impacting negatively the efficiency and effectiveness of the payments infrastructure in Albania</w:t>
      </w:r>
      <w:r w:rsidR="00CD2E59" w:rsidRPr="0038045B">
        <w:rPr>
          <w:b/>
          <w:lang w:val="en-US"/>
        </w:rPr>
        <w:t xml:space="preserve"> is</w:t>
      </w:r>
      <w:r w:rsidR="00F7740D" w:rsidRPr="0038045B">
        <w:rPr>
          <w:b/>
          <w:lang w:val="en-US"/>
        </w:rPr>
        <w:t xml:space="preserve"> that, despite some relevant changes in recent years,</w:t>
      </w:r>
      <w:r w:rsidR="00CD2E59" w:rsidRPr="0038045B">
        <w:rPr>
          <w:b/>
          <w:lang w:val="en-US"/>
        </w:rPr>
        <w:t xml:space="preserve"> the</w:t>
      </w:r>
      <w:r w:rsidR="00F7740D" w:rsidRPr="0038045B">
        <w:rPr>
          <w:b/>
          <w:lang w:val="en-US"/>
        </w:rPr>
        <w:t>re is</w:t>
      </w:r>
      <w:r w:rsidR="00CD2E59" w:rsidRPr="0038045B">
        <w:rPr>
          <w:b/>
          <w:lang w:val="en-US"/>
        </w:rPr>
        <w:t xml:space="preserve"> </w:t>
      </w:r>
      <w:r w:rsidR="00F7740D" w:rsidRPr="0038045B">
        <w:rPr>
          <w:b/>
          <w:lang w:val="en-US"/>
        </w:rPr>
        <w:t xml:space="preserve">still </w:t>
      </w:r>
      <w:r w:rsidR="00B57EAD" w:rsidRPr="0038045B">
        <w:rPr>
          <w:b/>
          <w:lang w:val="en-US"/>
        </w:rPr>
        <w:t xml:space="preserve">limited </w:t>
      </w:r>
      <w:r w:rsidR="00CD2E59" w:rsidRPr="0038045B">
        <w:rPr>
          <w:b/>
          <w:lang w:val="en-US"/>
        </w:rPr>
        <w:t>involvement of non-bank players in the electronic payments value chain</w:t>
      </w:r>
      <w:r w:rsidR="00CD2E59" w:rsidRPr="0038045B">
        <w:rPr>
          <w:lang w:val="en-US"/>
        </w:rPr>
        <w:t xml:space="preserve">. For example, non-banks have no access to the settlement or clearing layers, nor can they issue well-known payment instruments such as payment cards. Partly because of this, the two licensed e-money issuers and the other NBFIs licensed to provide payment services focus almost exclusively on bill payments (and where applicable </w:t>
      </w:r>
      <w:r w:rsidR="00CD2E59" w:rsidRPr="0038045B">
        <w:rPr>
          <w:lang w:val="en-US"/>
        </w:rPr>
        <w:lastRenderedPageBreak/>
        <w:t xml:space="preserve">also on cross-border remittances, solely on a cash basis). Hence, there is room for the provision of a wider range of front-end, electronic payment services to the general public by non-banks (e.g. including person-to-person payments, </w:t>
      </w:r>
      <w:r w:rsidR="00CA2203" w:rsidRPr="0038045B">
        <w:rPr>
          <w:lang w:val="en-US"/>
        </w:rPr>
        <w:t>etc.)</w:t>
      </w:r>
      <w:r w:rsidR="00CD2E59" w:rsidRPr="0038045B">
        <w:rPr>
          <w:lang w:val="en-US"/>
        </w:rPr>
        <w:t xml:space="preserve"> In this regard, an initial action item has to do with the composition of the NPSC, which could be broadened to also include non-bank </w:t>
      </w:r>
      <w:r w:rsidR="00B57EAD" w:rsidRPr="0038045B">
        <w:rPr>
          <w:lang w:val="en-US"/>
        </w:rPr>
        <w:t xml:space="preserve">providers </w:t>
      </w:r>
      <w:r w:rsidR="00CD2E59" w:rsidRPr="0038045B">
        <w:rPr>
          <w:lang w:val="en-US"/>
        </w:rPr>
        <w:t>as voting members</w:t>
      </w:r>
      <w:r w:rsidR="00B57EAD" w:rsidRPr="0038045B">
        <w:rPr>
          <w:lang w:val="en-US"/>
        </w:rPr>
        <w:t xml:space="preserve"> through a representation</w:t>
      </w:r>
      <w:r w:rsidR="00CD2E59" w:rsidRPr="0038045B">
        <w:rPr>
          <w:lang w:val="en-US"/>
        </w:rPr>
        <w:t xml:space="preserve">. </w:t>
      </w:r>
      <w:r w:rsidR="00B57EAD" w:rsidRPr="0038045B">
        <w:rPr>
          <w:lang w:val="en-US"/>
        </w:rPr>
        <w:t>Further, the transposition of the PSD2 represent an opportunity to reconsider access policies to the BoA-operated automated clearinghouse (AECH) – in parallel with credit risk management. Finally, the implementation of direct debit should be expedited</w:t>
      </w:r>
      <w:r w:rsidR="00CD2E59" w:rsidRPr="0038045B">
        <w:rPr>
          <w:lang w:val="en-US"/>
        </w:rPr>
        <w:t xml:space="preserve">.  </w:t>
      </w:r>
    </w:p>
    <w:p w14:paraId="1142B8E9" w14:textId="77777777" w:rsidR="00B57EAD" w:rsidRPr="0038045B" w:rsidRDefault="00CD2E59" w:rsidP="00B57EAD">
      <w:pPr>
        <w:pStyle w:val="Body"/>
        <w:numPr>
          <w:ilvl w:val="0"/>
          <w:numId w:val="9"/>
        </w:numPr>
        <w:spacing w:after="120" w:line="276" w:lineRule="auto"/>
        <w:ind w:left="0" w:firstLine="0"/>
        <w:rPr>
          <w:lang w:val="en-US"/>
        </w:rPr>
      </w:pPr>
      <w:r w:rsidRPr="0038045B">
        <w:rPr>
          <w:b/>
          <w:lang w:val="en-US"/>
        </w:rPr>
        <w:t>Reliable identity verification is a cornerstone for expanding the provision of financial services.</w:t>
      </w:r>
      <w:r w:rsidRPr="0038045B">
        <w:rPr>
          <w:lang w:val="en-US"/>
        </w:rPr>
        <w:t xml:space="preserve"> A modern and robust electronic ID system ensures that identity (and potentially other relevant citizenship data) can be securely and unambiguously asserted and verified through electronic means for delivery of services. Albania has taken important steps in this direction, including through the modernization of the National Civil Status Registry,</w:t>
      </w:r>
      <w:r w:rsidR="00B57EAD" w:rsidRPr="0038045B">
        <w:rPr>
          <w:lang w:val="en-US"/>
        </w:rPr>
        <w:t xml:space="preserve"> the issuance of smart ID cards, </w:t>
      </w:r>
      <w:r w:rsidRPr="0038045B">
        <w:rPr>
          <w:lang w:val="en-US"/>
        </w:rPr>
        <w:t>and by enabling the provision of electronic and remote verification of identity services</w:t>
      </w:r>
      <w:r w:rsidR="00B57EAD" w:rsidRPr="0038045B">
        <w:rPr>
          <w:lang w:val="en-US"/>
        </w:rPr>
        <w:t xml:space="preserve"> through eAleat</w:t>
      </w:r>
      <w:r w:rsidRPr="0038045B">
        <w:rPr>
          <w:lang w:val="en-US"/>
        </w:rPr>
        <w:t>.</w:t>
      </w:r>
      <w:r w:rsidR="00B57EAD" w:rsidRPr="0038045B">
        <w:rPr>
          <w:lang w:val="en-US"/>
        </w:rPr>
        <w:t xml:space="preserve"> Authorities </w:t>
      </w:r>
      <w:r w:rsidRPr="0038045B">
        <w:rPr>
          <w:lang w:val="en-US"/>
        </w:rPr>
        <w:t xml:space="preserve">must </w:t>
      </w:r>
      <w:r w:rsidR="00B57EAD" w:rsidRPr="0038045B">
        <w:rPr>
          <w:lang w:val="en-US"/>
        </w:rPr>
        <w:t>ensure</w:t>
      </w:r>
      <w:r w:rsidRPr="0038045B">
        <w:rPr>
          <w:lang w:val="en-US"/>
        </w:rPr>
        <w:t xml:space="preserve"> </w:t>
      </w:r>
      <w:r w:rsidR="00B57EAD" w:rsidRPr="0038045B">
        <w:rPr>
          <w:lang w:val="en-US"/>
        </w:rPr>
        <w:t>smart ID card holders</w:t>
      </w:r>
      <w:r w:rsidRPr="0038045B">
        <w:rPr>
          <w:lang w:val="en-US"/>
        </w:rPr>
        <w:t xml:space="preserve"> can “activate” their cards easily and conveniently </w:t>
      </w:r>
      <w:r w:rsidR="00F7740D" w:rsidRPr="0038045B">
        <w:rPr>
          <w:lang w:val="en-US"/>
        </w:rPr>
        <w:t xml:space="preserve">with eAleat </w:t>
      </w:r>
      <w:r w:rsidRPr="0038045B">
        <w:rPr>
          <w:lang w:val="en-US"/>
        </w:rPr>
        <w:t xml:space="preserve">so that the electronic </w:t>
      </w:r>
      <w:r w:rsidR="00B57EAD" w:rsidRPr="0038045B">
        <w:rPr>
          <w:lang w:val="en-US"/>
        </w:rPr>
        <w:t xml:space="preserve">ID </w:t>
      </w:r>
      <w:r w:rsidRPr="0038045B">
        <w:rPr>
          <w:lang w:val="en-US"/>
        </w:rPr>
        <w:t xml:space="preserve">verification service may be provided smoothly. At the same time, in order to maintain a level playing field, all financial service providers and other external parties with a legitimate purpose </w:t>
      </w:r>
      <w:r w:rsidR="00B57EAD" w:rsidRPr="0038045B">
        <w:rPr>
          <w:lang w:val="en-US"/>
        </w:rPr>
        <w:t>should be</w:t>
      </w:r>
      <w:r w:rsidRPr="0038045B">
        <w:rPr>
          <w:lang w:val="en-US"/>
        </w:rPr>
        <w:t xml:space="preserve"> able to use </w:t>
      </w:r>
      <w:r w:rsidR="00B57EAD" w:rsidRPr="0038045B">
        <w:rPr>
          <w:lang w:val="en-US"/>
        </w:rPr>
        <w:t>this service</w:t>
      </w:r>
      <w:r w:rsidRPr="0038045B">
        <w:rPr>
          <w:lang w:val="en-US"/>
        </w:rPr>
        <w:t xml:space="preserve"> in a fair and equitable basis. </w:t>
      </w:r>
      <w:r w:rsidR="00B57EAD" w:rsidRPr="0038045B">
        <w:rPr>
          <w:lang w:val="en-US"/>
        </w:rPr>
        <w:t>In fact, w</w:t>
      </w:r>
      <w:r w:rsidRPr="0038045B">
        <w:rPr>
          <w:lang w:val="en-US"/>
        </w:rPr>
        <w:t>hile eAleat Identity Services is a private venture, it should be operated largely as a utility</w:t>
      </w:r>
      <w:r w:rsidR="00B57EAD" w:rsidRPr="0038045B">
        <w:rPr>
          <w:lang w:val="en-US"/>
        </w:rPr>
        <w:t xml:space="preserve">. </w:t>
      </w:r>
    </w:p>
    <w:p w14:paraId="47BC8B1A" w14:textId="77777777" w:rsidR="00073D7B" w:rsidRPr="0038045B" w:rsidRDefault="00CD2E59" w:rsidP="00073D7B">
      <w:pPr>
        <w:pStyle w:val="Body"/>
        <w:numPr>
          <w:ilvl w:val="0"/>
          <w:numId w:val="9"/>
        </w:numPr>
        <w:spacing w:after="120" w:line="276" w:lineRule="auto"/>
        <w:ind w:left="0" w:firstLine="0"/>
        <w:rPr>
          <w:lang w:val="en-US"/>
        </w:rPr>
      </w:pPr>
      <w:r w:rsidRPr="0038045B">
        <w:rPr>
          <w:b/>
          <w:lang w:val="en-US"/>
        </w:rPr>
        <w:t>Regarding credit reporting, while credit reporting systems</w:t>
      </w:r>
      <w:r w:rsidR="00116E55" w:rsidRPr="0038045B">
        <w:rPr>
          <w:rStyle w:val="FootnoteReference"/>
          <w:b/>
          <w:lang w:val="en-US"/>
        </w:rPr>
        <w:footnoteReference w:id="6"/>
      </w:r>
      <w:r w:rsidRPr="0038045B">
        <w:rPr>
          <w:b/>
          <w:lang w:val="en-US"/>
        </w:rPr>
        <w:t xml:space="preserve"> are only rarely used as a means of facilitating access to accounts for payments, they can be especially useful to open up the path to broader financial services.</w:t>
      </w:r>
      <w:r w:rsidRPr="0038045B">
        <w:rPr>
          <w:lang w:val="en-US"/>
        </w:rPr>
        <w:t xml:space="preserve"> Indeed, the PAFI report stresses the role of accounts as a gateway to credit, savings and/or insurance. In this regard, the initiative to build a credit bureau or credit reference center in Albania </w:t>
      </w:r>
      <w:r w:rsidR="008F77E3" w:rsidRPr="0038045B">
        <w:rPr>
          <w:lang w:val="en-US"/>
        </w:rPr>
        <w:t xml:space="preserve">– which would also capture data from the payment of recurrent obligations such as utilities, mobile phone bills, educational services, etc. – </w:t>
      </w:r>
      <w:r w:rsidR="00B57EAD" w:rsidRPr="0038045B">
        <w:rPr>
          <w:lang w:val="en-US"/>
        </w:rPr>
        <w:t xml:space="preserve">should be supported. </w:t>
      </w:r>
    </w:p>
    <w:p w14:paraId="273130B9" w14:textId="77777777" w:rsidR="00073D7B" w:rsidRPr="0038045B" w:rsidRDefault="00EF5BE5" w:rsidP="00073D7B">
      <w:pPr>
        <w:pStyle w:val="Body"/>
        <w:numPr>
          <w:ilvl w:val="0"/>
          <w:numId w:val="9"/>
        </w:numPr>
        <w:spacing w:after="120" w:line="276" w:lineRule="auto"/>
        <w:ind w:left="0" w:firstLine="0"/>
        <w:rPr>
          <w:lang w:val="en-US"/>
        </w:rPr>
      </w:pPr>
      <w:r w:rsidRPr="0038045B">
        <w:rPr>
          <w:b/>
          <w:lang w:val="en-US"/>
        </w:rPr>
        <w:t>In terms of transaction account product design, the</w:t>
      </w:r>
      <w:r w:rsidR="005E0239" w:rsidRPr="0038045B">
        <w:rPr>
          <w:b/>
          <w:lang w:val="en-US"/>
        </w:rPr>
        <w:t>re is little diversification of deposit transaction accounts</w:t>
      </w:r>
      <w:r w:rsidR="00986F50" w:rsidRPr="0038045B">
        <w:rPr>
          <w:b/>
          <w:lang w:val="en-US"/>
        </w:rPr>
        <w:t xml:space="preserve"> from both a design and pricing standpoint.</w:t>
      </w:r>
      <w:r w:rsidR="005E0239" w:rsidRPr="0038045B">
        <w:rPr>
          <w:lang w:val="en-US"/>
        </w:rPr>
        <w:t xml:space="preserve"> </w:t>
      </w:r>
      <w:r w:rsidRPr="0038045B">
        <w:rPr>
          <w:lang w:val="en-US"/>
        </w:rPr>
        <w:t xml:space="preserve">No special accounts such as “basic” or “no-frills” current accounts </w:t>
      </w:r>
      <w:r w:rsidR="005E0239" w:rsidRPr="0038045B">
        <w:rPr>
          <w:lang w:val="en-US"/>
        </w:rPr>
        <w:t xml:space="preserve">are offered </w:t>
      </w:r>
      <w:r w:rsidRPr="0038045B">
        <w:rPr>
          <w:lang w:val="en-US"/>
        </w:rPr>
        <w:t xml:space="preserve">to </w:t>
      </w:r>
      <w:r w:rsidR="005E0239" w:rsidRPr="0038045B">
        <w:rPr>
          <w:lang w:val="en-US"/>
        </w:rPr>
        <w:t xml:space="preserve">the unbanked. </w:t>
      </w:r>
      <w:r w:rsidRPr="0038045B">
        <w:rPr>
          <w:lang w:val="en-US"/>
        </w:rPr>
        <w:t xml:space="preserve">Nor is there a system of tiered accounts in the banking system </w:t>
      </w:r>
      <w:r w:rsidR="005E0239" w:rsidRPr="0038045B">
        <w:rPr>
          <w:lang w:val="en-US"/>
        </w:rPr>
        <w:t xml:space="preserve">whereby accounts </w:t>
      </w:r>
      <w:r w:rsidRPr="0038045B">
        <w:rPr>
          <w:lang w:val="en-US"/>
        </w:rPr>
        <w:t>of a very basic nature</w:t>
      </w:r>
      <w:r w:rsidR="005E0239" w:rsidRPr="0038045B">
        <w:rPr>
          <w:lang w:val="en-US"/>
        </w:rPr>
        <w:t xml:space="preserve"> </w:t>
      </w:r>
      <w:r w:rsidRPr="0038045B">
        <w:rPr>
          <w:lang w:val="en-US"/>
        </w:rPr>
        <w:t xml:space="preserve">may be opened with simplified requirements. </w:t>
      </w:r>
      <w:r w:rsidR="00073D7B" w:rsidRPr="0038045B">
        <w:rPr>
          <w:lang w:val="en-US"/>
        </w:rPr>
        <w:t xml:space="preserve">The BoA and the banking industry should reconsider the existing pricing structure and design of deposit transaction accounts. First, regardless of price levels, upfront costs for opening a bank account and mandatory </w:t>
      </w:r>
      <w:r w:rsidR="00073D7B" w:rsidRPr="0038045B">
        <w:rPr>
          <w:lang w:val="en-US"/>
        </w:rPr>
        <w:lastRenderedPageBreak/>
        <w:t xml:space="preserve">monthly/annual maintenance fees are perceived by customers as key negative elements of having an account, especially as those charges are independent of the actual usage of the account or the relative cost of instruments and channels for the bank. Second, </w:t>
      </w:r>
      <w:r w:rsidR="005E0239" w:rsidRPr="0038045B">
        <w:rPr>
          <w:lang w:val="en-US"/>
        </w:rPr>
        <w:t>“basic account</w:t>
      </w:r>
      <w:r w:rsidR="00073D7B" w:rsidRPr="0038045B">
        <w:rPr>
          <w:lang w:val="en-US"/>
        </w:rPr>
        <w:t>s” have</w:t>
      </w:r>
      <w:r w:rsidR="005E0239" w:rsidRPr="0038045B">
        <w:rPr>
          <w:lang w:val="en-US"/>
        </w:rPr>
        <w:t xml:space="preserve"> been launched in many jurisdictions and </w:t>
      </w:r>
      <w:r w:rsidR="00073D7B" w:rsidRPr="0038045B">
        <w:rPr>
          <w:lang w:val="en-US"/>
        </w:rPr>
        <w:t>are</w:t>
      </w:r>
      <w:r w:rsidR="005E0239" w:rsidRPr="0038045B">
        <w:rPr>
          <w:lang w:val="en-US"/>
        </w:rPr>
        <w:t xml:space="preserve"> being used as an alternative to advance access to </w:t>
      </w:r>
      <w:r w:rsidR="00073D7B" w:rsidRPr="0038045B">
        <w:rPr>
          <w:lang w:val="en-US"/>
        </w:rPr>
        <w:t xml:space="preserve">transaction accounts. </w:t>
      </w:r>
      <w:r w:rsidR="005E0239" w:rsidRPr="0038045B">
        <w:rPr>
          <w:lang w:val="en-US"/>
        </w:rPr>
        <w:t>In Albania, this space has been filled to some extent by the NBFIs licensed as e-money issuers. However, the banking system could also play an important role</w:t>
      </w:r>
      <w:r w:rsidR="00F7740D" w:rsidRPr="0038045B">
        <w:rPr>
          <w:lang w:val="en-US"/>
        </w:rPr>
        <w:t xml:space="preserve"> in this specific area</w:t>
      </w:r>
      <w:r w:rsidR="005E0239" w:rsidRPr="0038045B">
        <w:rPr>
          <w:lang w:val="en-US"/>
        </w:rPr>
        <w:t>.</w:t>
      </w:r>
    </w:p>
    <w:p w14:paraId="2526FF9A" w14:textId="77777777" w:rsidR="00EF5BE5" w:rsidRPr="0038045B" w:rsidRDefault="00EF5BE5" w:rsidP="00073D7B">
      <w:pPr>
        <w:pStyle w:val="Body"/>
        <w:numPr>
          <w:ilvl w:val="0"/>
          <w:numId w:val="9"/>
        </w:numPr>
        <w:spacing w:after="120" w:line="276" w:lineRule="auto"/>
        <w:ind w:left="0" w:firstLine="0"/>
        <w:rPr>
          <w:lang w:val="en-US"/>
        </w:rPr>
      </w:pPr>
      <w:r w:rsidRPr="0038045B">
        <w:rPr>
          <w:lang w:val="en-US"/>
        </w:rPr>
        <w:t xml:space="preserve">In any event, to be truly useful all transaction/current accounts should be able to accommodate the key transaction and store-of-value needs and habits of their respective target populations. This naturally includes being able to transfer funds and pay electronically to as many parties as possible, although with a strong focus on those parties with which accountholders transact regularly for routine issues. In this regard, </w:t>
      </w:r>
      <w:r w:rsidRPr="0038045B">
        <w:rPr>
          <w:b/>
          <w:lang w:val="en-US"/>
        </w:rPr>
        <w:t xml:space="preserve">one aspect that would increase the usefulness of accounts in Albania would be to achieve </w:t>
      </w:r>
      <w:r w:rsidR="00F7740D" w:rsidRPr="0038045B">
        <w:rPr>
          <w:b/>
          <w:lang w:val="en-US"/>
        </w:rPr>
        <w:t xml:space="preserve">full </w:t>
      </w:r>
      <w:r w:rsidRPr="0038045B">
        <w:rPr>
          <w:b/>
          <w:lang w:val="en-US"/>
        </w:rPr>
        <w:t xml:space="preserve">interoperability </w:t>
      </w:r>
      <w:r w:rsidR="00F7740D" w:rsidRPr="0038045B">
        <w:rPr>
          <w:b/>
          <w:lang w:val="en-US"/>
        </w:rPr>
        <w:t xml:space="preserve">across bank accounts, </w:t>
      </w:r>
      <w:r w:rsidRPr="0038045B">
        <w:rPr>
          <w:b/>
          <w:lang w:val="en-US"/>
        </w:rPr>
        <w:t xml:space="preserve">between </w:t>
      </w:r>
      <w:r w:rsidR="00F7740D" w:rsidRPr="0038045B">
        <w:rPr>
          <w:b/>
          <w:lang w:val="en-US"/>
        </w:rPr>
        <w:t>bank accounts</w:t>
      </w:r>
      <w:r w:rsidRPr="0038045B">
        <w:rPr>
          <w:b/>
          <w:lang w:val="en-US"/>
        </w:rPr>
        <w:t xml:space="preserve"> and e-money issuers, as well as among e-money issuers themselves</w:t>
      </w:r>
      <w:r w:rsidRPr="0038045B">
        <w:rPr>
          <w:lang w:val="en-US"/>
        </w:rPr>
        <w:t>.</w:t>
      </w:r>
    </w:p>
    <w:p w14:paraId="64287AFA" w14:textId="77777777" w:rsidR="00F208FE" w:rsidRPr="0038045B" w:rsidRDefault="00B40F8D" w:rsidP="00F208FE">
      <w:pPr>
        <w:pStyle w:val="Body"/>
        <w:numPr>
          <w:ilvl w:val="0"/>
          <w:numId w:val="9"/>
        </w:numPr>
        <w:spacing w:after="120" w:line="276" w:lineRule="auto"/>
        <w:ind w:left="0" w:firstLine="0"/>
        <w:rPr>
          <w:lang w:val="en-US"/>
        </w:rPr>
      </w:pPr>
      <w:r w:rsidRPr="0038045B">
        <w:rPr>
          <w:lang w:val="en-US"/>
        </w:rPr>
        <w:t xml:space="preserve">Given the scarce penetration of banking infrastructure in Albania as compared to other regional peers and middle-income countries (MICs), </w:t>
      </w:r>
      <w:r w:rsidR="00F7740D" w:rsidRPr="0038045B">
        <w:rPr>
          <w:b/>
          <w:lang w:val="en-US"/>
        </w:rPr>
        <w:t xml:space="preserve">an </w:t>
      </w:r>
      <w:r w:rsidRPr="0038045B">
        <w:rPr>
          <w:b/>
          <w:lang w:val="en-US"/>
        </w:rPr>
        <w:t>agent banking model could prove beneficial to increase the reachability and convenience of bank accounts to the population, especially for those individuals that live/work far from major financial districts.</w:t>
      </w:r>
      <w:r w:rsidRPr="0038045B">
        <w:rPr>
          <w:lang w:val="en-US"/>
        </w:rPr>
        <w:t xml:space="preserve"> As it is the case in numerous countries in which this model has been implemented successfully, agents (e.g. small family shops, convenience stores, gas stations, real sector retailer chains, etc.) perform basic transactional operations on behalf of one or more banks, with the latter maintaining full responsibility vis-à-vis customers and authorities. In this regard, the Albanian Post Office and SCAs, among other entities, could play a major role as agents given their experience in serving rural and other isolated communities. In any case, banks should be able to freely select those agents that they believe are most appropriate to their business plan and needs. The reach of access points can also be augmented </w:t>
      </w:r>
      <w:r w:rsidR="00F208FE" w:rsidRPr="0038045B">
        <w:rPr>
          <w:lang w:val="en-US"/>
        </w:rPr>
        <w:t xml:space="preserve">through </w:t>
      </w:r>
      <w:r w:rsidRPr="0038045B">
        <w:rPr>
          <w:lang w:val="en-US"/>
        </w:rPr>
        <w:t xml:space="preserve">interoperability of </w:t>
      </w:r>
      <w:r w:rsidR="00F208FE" w:rsidRPr="0038045B">
        <w:rPr>
          <w:lang w:val="en-US"/>
        </w:rPr>
        <w:t>existi</w:t>
      </w:r>
      <w:r w:rsidR="00F504A1" w:rsidRPr="0038045B">
        <w:rPr>
          <w:lang w:val="en-US"/>
        </w:rPr>
        <w:t>ng and new channels and outlets</w:t>
      </w:r>
      <w:r w:rsidRPr="0038045B">
        <w:rPr>
          <w:lang w:val="en-US"/>
        </w:rPr>
        <w:t xml:space="preserve">. </w:t>
      </w:r>
    </w:p>
    <w:p w14:paraId="0002C654" w14:textId="77777777" w:rsidR="00F23AB8" w:rsidRPr="0038045B" w:rsidRDefault="00F208FE" w:rsidP="00F23AB8">
      <w:pPr>
        <w:pStyle w:val="Body"/>
        <w:numPr>
          <w:ilvl w:val="0"/>
          <w:numId w:val="9"/>
        </w:numPr>
        <w:spacing w:after="120" w:line="276" w:lineRule="auto"/>
        <w:ind w:left="0" w:firstLine="0"/>
        <w:rPr>
          <w:lang w:val="en-US"/>
        </w:rPr>
      </w:pPr>
      <w:r w:rsidRPr="0038045B">
        <w:rPr>
          <w:b/>
          <w:lang w:val="en-US"/>
        </w:rPr>
        <w:t>The BoA, the government and financial sector entities are active in the promotion of financial literacy in Albania</w:t>
      </w:r>
      <w:r w:rsidR="00334B36" w:rsidRPr="0038045B">
        <w:rPr>
          <w:b/>
          <w:lang w:val="en-US"/>
        </w:rPr>
        <w:t xml:space="preserve"> and can be leveraged further</w:t>
      </w:r>
      <w:r w:rsidRPr="0038045B">
        <w:rPr>
          <w:b/>
          <w:lang w:val="en-US"/>
        </w:rPr>
        <w:t>.</w:t>
      </w:r>
      <w:r w:rsidRPr="0038045B">
        <w:rPr>
          <w:lang w:val="en-US"/>
        </w:rPr>
        <w:t xml:space="preserve"> Led by the BoA and the Albanian Association of Banks (AAB), existing financial education initiatives are mostly focused at increasing the level of financial literacy among school students. These are commendable efforts, and should be continued and strengthened. However, these initiatives seem to lack an explicit long-range strategy. Coordination of the various efforts could be</w:t>
      </w:r>
      <w:r w:rsidR="00F23AB8" w:rsidRPr="0038045B">
        <w:rPr>
          <w:lang w:val="en-US"/>
        </w:rPr>
        <w:t xml:space="preserve"> improved, and p</w:t>
      </w:r>
      <w:r w:rsidRPr="0038045B">
        <w:rPr>
          <w:lang w:val="en-US"/>
        </w:rPr>
        <w:t xml:space="preserve">articipation by additional stakeholders </w:t>
      </w:r>
      <w:r w:rsidR="00F23AB8" w:rsidRPr="0038045B">
        <w:rPr>
          <w:lang w:val="en-US"/>
        </w:rPr>
        <w:t xml:space="preserve">(from at least the public sector, such as </w:t>
      </w:r>
      <w:r w:rsidRPr="0038045B">
        <w:rPr>
          <w:lang w:val="en-US"/>
        </w:rPr>
        <w:t>authorities responsible for consumer education, labor and employment, social protection, among others)</w:t>
      </w:r>
      <w:r w:rsidR="00F23AB8" w:rsidRPr="0038045B">
        <w:rPr>
          <w:lang w:val="en-US"/>
        </w:rPr>
        <w:t xml:space="preserve"> would be beneficial</w:t>
      </w:r>
      <w:r w:rsidRPr="0038045B">
        <w:rPr>
          <w:lang w:val="en-US"/>
        </w:rPr>
        <w:t xml:space="preserve">. A monitoring &amp; evaluation framework for financial literacy programs should be developed. </w:t>
      </w:r>
      <w:r w:rsidR="00F23AB8" w:rsidRPr="0038045B">
        <w:rPr>
          <w:lang w:val="en-US"/>
        </w:rPr>
        <w:t>More importantly, e</w:t>
      </w:r>
      <w:r w:rsidRPr="0038045B">
        <w:rPr>
          <w:lang w:val="en-US"/>
        </w:rPr>
        <w:t xml:space="preserve">fforts should be steered towards </w:t>
      </w:r>
      <w:r w:rsidR="00F23AB8" w:rsidRPr="0038045B">
        <w:rPr>
          <w:lang w:val="en-US"/>
        </w:rPr>
        <w:t xml:space="preserve">addressing individual’s payment and store-of-value needs, and should target those individuals </w:t>
      </w:r>
      <w:r w:rsidR="00F23AB8" w:rsidRPr="0038045B">
        <w:rPr>
          <w:lang w:val="en-US"/>
        </w:rPr>
        <w:lastRenderedPageBreak/>
        <w:t xml:space="preserve">that do not have an account and those that obtained one only recently. </w:t>
      </w:r>
      <w:r w:rsidRPr="0038045B">
        <w:rPr>
          <w:lang w:val="en-US"/>
        </w:rPr>
        <w:t xml:space="preserve">Remittances – as a basic service that is often the first to be accessed by the un(der)served population – </w:t>
      </w:r>
      <w:r w:rsidR="00F23AB8" w:rsidRPr="0038045B">
        <w:rPr>
          <w:lang w:val="en-US"/>
        </w:rPr>
        <w:t xml:space="preserve">and remittance recipients </w:t>
      </w:r>
      <w:r w:rsidRPr="0038045B">
        <w:rPr>
          <w:lang w:val="en-US"/>
        </w:rPr>
        <w:t>should also be covered by awareness and literacy efforts.</w:t>
      </w:r>
    </w:p>
    <w:p w14:paraId="057F4183" w14:textId="77777777" w:rsidR="00F23AB8" w:rsidRPr="0038045B" w:rsidRDefault="00F23AB8" w:rsidP="00F23AB8">
      <w:pPr>
        <w:pStyle w:val="Body"/>
        <w:numPr>
          <w:ilvl w:val="0"/>
          <w:numId w:val="9"/>
        </w:numPr>
        <w:spacing w:after="120" w:line="276" w:lineRule="auto"/>
        <w:ind w:left="0" w:firstLine="0"/>
        <w:rPr>
          <w:lang w:val="en-US"/>
        </w:rPr>
      </w:pPr>
      <w:r w:rsidRPr="0038045B">
        <w:rPr>
          <w:b/>
          <w:lang w:val="en-GB"/>
        </w:rPr>
        <w:t>Government disbursements and collections as a powerful vehicle of financial access would benefit from a coherent approach that take into account inclusion objectives along with efficiency.</w:t>
      </w:r>
      <w:r w:rsidRPr="0038045B">
        <w:rPr>
          <w:lang w:val="en-GB"/>
        </w:rPr>
        <w:t xml:space="preserve"> While public sector salaries are channelled through bank accounts, efforts to enable government disbursements to accounts should be broadened beyond public sector employees to include</w:t>
      </w:r>
      <w:r w:rsidR="00A315B7" w:rsidRPr="0038045B">
        <w:rPr>
          <w:lang w:val="en-GB"/>
        </w:rPr>
        <w:t xml:space="preserve"> pensioners and</w:t>
      </w:r>
      <w:r w:rsidRPr="0038045B">
        <w:rPr>
          <w:lang w:val="en-GB"/>
        </w:rPr>
        <w:t xml:space="preserve"> the beneficiaries of social programs from both central and local government, which currently rely to a great extent on cash. At the same time, these efforts should ensure that the conditions and incentives are in place to use the transaction account to which funds have been credited instead of cashing out immediately after the payment has been received. This aspect in currently not in focus, and would need to be coordinated in parallel with other policies that address bank/transaction account product design to meet the recipients’ needs, and the availability of access points, for instance. For example, ad-hoc transaction account products for the disbursement of social welfare programs could be explored/designed, provided that certain conditions are met (e.g., adequate branding and a robust rollout and customer support strategy, preserving customer choice, and multi-purpose and interoperable features, among others).</w:t>
      </w:r>
    </w:p>
    <w:p w14:paraId="7E00EC85" w14:textId="77777777" w:rsidR="00F504A1" w:rsidRPr="0038045B" w:rsidRDefault="00F504A1" w:rsidP="00F504A1">
      <w:pPr>
        <w:pStyle w:val="Body"/>
        <w:numPr>
          <w:ilvl w:val="0"/>
          <w:numId w:val="9"/>
        </w:numPr>
        <w:spacing w:after="120" w:line="276" w:lineRule="auto"/>
        <w:ind w:left="0" w:firstLine="0"/>
        <w:rPr>
          <w:lang w:val="en-US"/>
        </w:rPr>
      </w:pPr>
      <w:r w:rsidRPr="0038045B">
        <w:rPr>
          <w:b/>
          <w:lang w:val="en-US"/>
        </w:rPr>
        <w:t>Government collections and utility bill payments are to a great extent cash-based, notwithstanding an increasing number of service providers.</w:t>
      </w:r>
      <w:r w:rsidRPr="0038045B">
        <w:rPr>
          <w:lang w:val="en-US"/>
        </w:rPr>
        <w:t xml:space="preserve"> The </w:t>
      </w:r>
      <w:r w:rsidRPr="0038045B">
        <w:rPr>
          <w:lang w:val="en-GB"/>
        </w:rPr>
        <w:t>expansion of</w:t>
      </w:r>
      <w:r w:rsidR="00F23AB8" w:rsidRPr="0038045B">
        <w:rPr>
          <w:lang w:val="en-GB"/>
        </w:rPr>
        <w:t xml:space="preserve"> the range of </w:t>
      </w:r>
      <w:r w:rsidRPr="0038045B">
        <w:rPr>
          <w:lang w:val="en-GB"/>
        </w:rPr>
        <w:t xml:space="preserve">electronic and online </w:t>
      </w:r>
      <w:r w:rsidR="00F23AB8" w:rsidRPr="0038045B">
        <w:rPr>
          <w:lang w:val="en-GB"/>
        </w:rPr>
        <w:t>payment services should be encouraged. First, the implementation of direct debit will be instrumental to enhancing the efficiency and convenience of collecting and pay</w:t>
      </w:r>
      <w:r w:rsidRPr="0038045B">
        <w:rPr>
          <w:lang w:val="en-GB"/>
        </w:rPr>
        <w:t>ing utility bills, respectively</w:t>
      </w:r>
      <w:r w:rsidR="00F23AB8" w:rsidRPr="0038045B">
        <w:rPr>
          <w:lang w:val="en-GB"/>
        </w:rPr>
        <w:t xml:space="preserve">. In part, the uptake will </w:t>
      </w:r>
      <w:r w:rsidRPr="0038045B">
        <w:rPr>
          <w:lang w:val="en-GB"/>
        </w:rPr>
        <w:t xml:space="preserve">depend on the </w:t>
      </w:r>
      <w:r w:rsidR="00F23AB8" w:rsidRPr="0038045B">
        <w:rPr>
          <w:lang w:val="en-GB"/>
        </w:rPr>
        <w:t>implement</w:t>
      </w:r>
      <w:r w:rsidRPr="0038045B">
        <w:rPr>
          <w:lang w:val="en-GB"/>
        </w:rPr>
        <w:t>ation of</w:t>
      </w:r>
      <w:r w:rsidR="00F23AB8" w:rsidRPr="0038045B">
        <w:rPr>
          <w:lang w:val="en-GB"/>
        </w:rPr>
        <w:t xml:space="preserve"> direct debit, e.g., on the necessary protections being in place for the customers, and the awareness/marketing efforts being conducted in parallel. </w:t>
      </w:r>
      <w:r w:rsidRPr="0038045B">
        <w:rPr>
          <w:lang w:val="en-GB"/>
        </w:rPr>
        <w:t xml:space="preserve">Similarly, the efforts to integrate more services into the e-government portal should be accompanied by a coordinated approach to awareness raising and education for both consumers and billers. </w:t>
      </w:r>
      <w:r w:rsidR="00F23AB8" w:rsidRPr="0038045B">
        <w:rPr>
          <w:lang w:val="en-GB"/>
        </w:rPr>
        <w:t xml:space="preserve">Second, any remaining legal barriers to collections by non-banks should be eliminated. The fees that the Government may incur in enabling collection through non-bank providers would be compensated by the elimination of costly cash logistics, among other benefits. </w:t>
      </w:r>
      <w:r w:rsidRPr="0038045B">
        <w:rPr>
          <w:lang w:val="en-GB"/>
        </w:rPr>
        <w:t>Finally, a</w:t>
      </w:r>
      <w:r w:rsidR="00F23AB8" w:rsidRPr="0038045B">
        <w:rPr>
          <w:lang w:val="en-GB"/>
        </w:rPr>
        <w:t xml:space="preserve">uthorities should determine whether, given the current situation of dominance of cash, more deliberate actions to discourage use of cash and incentivize electronic alternative are warranted. In the same vein, ad hoc incentives may be considered by large billers and transit system operators. </w:t>
      </w:r>
    </w:p>
    <w:p w14:paraId="047E9F41" w14:textId="77777777" w:rsidR="00986F50" w:rsidRPr="0038045B" w:rsidRDefault="00F23AB8" w:rsidP="00986F50">
      <w:pPr>
        <w:pStyle w:val="Body"/>
        <w:numPr>
          <w:ilvl w:val="0"/>
          <w:numId w:val="9"/>
        </w:numPr>
        <w:spacing w:after="120" w:line="276" w:lineRule="auto"/>
        <w:ind w:left="0" w:firstLine="0"/>
        <w:rPr>
          <w:lang w:val="en-US"/>
        </w:rPr>
      </w:pPr>
      <w:r w:rsidRPr="0038045B">
        <w:rPr>
          <w:b/>
          <w:lang w:val="en-GB"/>
        </w:rPr>
        <w:t xml:space="preserve">Currently remittances are underutilized as a means to </w:t>
      </w:r>
      <w:r w:rsidR="00E05468" w:rsidRPr="0038045B">
        <w:rPr>
          <w:b/>
          <w:lang w:val="en-GB"/>
        </w:rPr>
        <w:t>foster</w:t>
      </w:r>
      <w:r w:rsidRPr="0038045B">
        <w:rPr>
          <w:b/>
          <w:lang w:val="en-GB"/>
        </w:rPr>
        <w:t xml:space="preserve"> financial access in Albania.</w:t>
      </w:r>
      <w:r w:rsidRPr="0038045B">
        <w:rPr>
          <w:lang w:val="en-GB"/>
        </w:rPr>
        <w:t xml:space="preserve"> Increasing competition and fostering innovation in the remittance market are pre-conditions to realizing the potential of remittances as a vehicle of financial access and inclusion. Competition can be increased by eliminating exclusivity contracts that bind </w:t>
      </w:r>
      <w:r w:rsidR="00F504A1" w:rsidRPr="0038045B">
        <w:rPr>
          <w:lang w:val="en-GB"/>
        </w:rPr>
        <w:t>international money transfer operators (</w:t>
      </w:r>
      <w:r w:rsidRPr="0038045B">
        <w:rPr>
          <w:lang w:val="en-GB"/>
        </w:rPr>
        <w:t>MTO</w:t>
      </w:r>
      <w:r w:rsidR="00F504A1" w:rsidRPr="0038045B">
        <w:rPr>
          <w:lang w:val="en-GB"/>
        </w:rPr>
        <w:t>)</w:t>
      </w:r>
      <w:r w:rsidRPr="0038045B">
        <w:rPr>
          <w:lang w:val="en-GB"/>
        </w:rPr>
        <w:t xml:space="preserve"> agents to their sub-agents. Among other </w:t>
      </w:r>
      <w:r w:rsidRPr="0038045B">
        <w:rPr>
          <w:lang w:val="en-GB"/>
        </w:rPr>
        <w:lastRenderedPageBreak/>
        <w:t>implications, exclusivity inhibits the full exploitation of the network of access points throughout the country. Also, liberalizing access criteria to the A</w:t>
      </w:r>
      <w:r w:rsidR="00F504A1" w:rsidRPr="0038045B">
        <w:rPr>
          <w:lang w:val="en-GB"/>
        </w:rPr>
        <w:t>E</w:t>
      </w:r>
      <w:r w:rsidRPr="0038045B">
        <w:rPr>
          <w:lang w:val="en-GB"/>
        </w:rPr>
        <w:t xml:space="preserve">CH (i.e., enabling the participation of NBFIs provided that they comply with the participation requirements) would enable them to develop new products and better serve their customers. Cooperation between banks and MTOs is also desirable to enable product innovation through partnership. </w:t>
      </w:r>
    </w:p>
    <w:p w14:paraId="08B04194" w14:textId="594CDF76" w:rsidR="00A67600" w:rsidRPr="0038045B" w:rsidRDefault="00986F50" w:rsidP="00116E55">
      <w:pPr>
        <w:pStyle w:val="Body"/>
        <w:numPr>
          <w:ilvl w:val="0"/>
          <w:numId w:val="9"/>
        </w:numPr>
        <w:spacing w:after="120" w:line="276" w:lineRule="auto"/>
        <w:ind w:left="0" w:firstLine="0"/>
        <w:rPr>
          <w:lang w:val="en-US"/>
        </w:rPr>
      </w:pPr>
      <w:r w:rsidRPr="0038045B">
        <w:rPr>
          <w:b/>
          <w:lang w:val="en-US"/>
        </w:rPr>
        <w:t>In conclusion, Albania is well-placed</w:t>
      </w:r>
      <w:r w:rsidR="00A67600" w:rsidRPr="0038045B">
        <w:rPr>
          <w:b/>
          <w:lang w:val="en-US"/>
        </w:rPr>
        <w:t xml:space="preserve"> to make swift progress on financial access </w:t>
      </w:r>
      <w:r w:rsidR="00267DE1" w:rsidRPr="0038045B">
        <w:rPr>
          <w:b/>
          <w:lang w:val="en-US"/>
        </w:rPr>
        <w:t>provided that timely actions are taken following a strategic approach.</w:t>
      </w:r>
      <w:r w:rsidR="00267DE1" w:rsidRPr="0038045B">
        <w:rPr>
          <w:lang w:val="en-US"/>
        </w:rPr>
        <w:t xml:space="preserve"> The</w:t>
      </w:r>
      <w:r w:rsidR="00D034CF" w:rsidRPr="0038045B">
        <w:rPr>
          <w:lang w:val="en-US"/>
        </w:rPr>
        <w:t xml:space="preserve"> report highlights </w:t>
      </w:r>
      <w:r w:rsidR="00267DE1" w:rsidRPr="0038045B">
        <w:rPr>
          <w:lang w:val="en-US"/>
        </w:rPr>
        <w:t xml:space="preserve">a </w:t>
      </w:r>
      <w:r w:rsidR="00A67600" w:rsidRPr="0038045B">
        <w:rPr>
          <w:lang w:val="en-US"/>
        </w:rPr>
        <w:t xml:space="preserve">number of </w:t>
      </w:r>
      <w:r w:rsidR="00D034CF" w:rsidRPr="0038045B">
        <w:rPr>
          <w:lang w:val="en-US"/>
        </w:rPr>
        <w:t>strengths on which to build on</w:t>
      </w:r>
      <w:r w:rsidR="00A67600" w:rsidRPr="0038045B">
        <w:rPr>
          <w:lang w:val="en-US"/>
        </w:rPr>
        <w:t xml:space="preserve">, including </w:t>
      </w:r>
      <w:r w:rsidRPr="0038045B">
        <w:rPr>
          <w:lang w:val="en-US"/>
        </w:rPr>
        <w:t xml:space="preserve">strong </w:t>
      </w:r>
      <w:r w:rsidR="00A67600" w:rsidRPr="0038045B">
        <w:rPr>
          <w:lang w:val="en-US"/>
        </w:rPr>
        <w:t xml:space="preserve">leadership, a largely </w:t>
      </w:r>
      <w:r w:rsidRPr="0038045B">
        <w:rPr>
          <w:lang w:val="en-US"/>
        </w:rPr>
        <w:t>enabling environment for innovation and competition</w:t>
      </w:r>
      <w:r w:rsidR="00A67600" w:rsidRPr="0038045B">
        <w:rPr>
          <w:lang w:val="en-US"/>
        </w:rPr>
        <w:t xml:space="preserve">, </w:t>
      </w:r>
      <w:r w:rsidRPr="0038045B">
        <w:rPr>
          <w:lang w:val="en-US"/>
        </w:rPr>
        <w:t>proportionate risk management</w:t>
      </w:r>
      <w:r w:rsidR="00A67600" w:rsidRPr="0038045B">
        <w:rPr>
          <w:lang w:val="en-US"/>
        </w:rPr>
        <w:t>, and a sound core clearing</w:t>
      </w:r>
      <w:r w:rsidRPr="0038045B">
        <w:rPr>
          <w:lang w:val="en-US"/>
        </w:rPr>
        <w:t xml:space="preserve"> </w:t>
      </w:r>
      <w:r w:rsidR="00A67600" w:rsidRPr="0038045B">
        <w:rPr>
          <w:lang w:val="en-US"/>
        </w:rPr>
        <w:t xml:space="preserve">infrastructure. </w:t>
      </w:r>
      <w:r w:rsidRPr="0038045B">
        <w:rPr>
          <w:lang w:val="en-US"/>
        </w:rPr>
        <w:t>Nevertheless, some important challenges remain that might cripple the current efforts</w:t>
      </w:r>
      <w:r w:rsidR="00DF409B" w:rsidRPr="0038045B">
        <w:rPr>
          <w:lang w:val="en-US"/>
        </w:rPr>
        <w:t xml:space="preserve"> being undertaken</w:t>
      </w:r>
      <w:r w:rsidRPr="0038045B">
        <w:rPr>
          <w:lang w:val="en-US"/>
        </w:rPr>
        <w:t>, the major one being that</w:t>
      </w:r>
      <w:r w:rsidR="00A67600" w:rsidRPr="0038045B">
        <w:rPr>
          <w:lang w:val="en-US"/>
        </w:rPr>
        <w:t>,</w:t>
      </w:r>
      <w:r w:rsidRPr="0038045B">
        <w:rPr>
          <w:lang w:val="en-US"/>
        </w:rPr>
        <w:t xml:space="preserve"> despite the progress made so far to promote electronic instruments, cash remains the dominant means of payment for a very significant share of the country’s population, even for those that already have transaction accounts. This can </w:t>
      </w:r>
      <w:r w:rsidR="00116E55" w:rsidRPr="0038045B">
        <w:rPr>
          <w:lang w:val="en-US"/>
        </w:rPr>
        <w:t>in part</w:t>
      </w:r>
      <w:r w:rsidRPr="0038045B">
        <w:rPr>
          <w:lang w:val="en-US"/>
        </w:rPr>
        <w:t xml:space="preserve"> be explained by limitations in the transaction account and payment product design</w:t>
      </w:r>
      <w:r w:rsidR="00116E55" w:rsidRPr="0038045B">
        <w:rPr>
          <w:lang w:val="en-US"/>
        </w:rPr>
        <w:t>, a</w:t>
      </w:r>
      <w:r w:rsidRPr="0038045B">
        <w:rPr>
          <w:lang w:val="en-US"/>
        </w:rPr>
        <w:t xml:space="preserve">s well as the poor distribution of access points, and low levels of financial literacy. </w:t>
      </w:r>
      <w:r w:rsidR="00116E55" w:rsidRPr="0038045B">
        <w:rPr>
          <w:lang w:val="en-US"/>
        </w:rPr>
        <w:t xml:space="preserve">As a result, of all recommendations presented in the report the following would </w:t>
      </w:r>
      <w:r w:rsidR="00A67600" w:rsidRPr="0038045B">
        <w:rPr>
          <w:lang w:val="en-GB"/>
        </w:rPr>
        <w:t xml:space="preserve">deserve </w:t>
      </w:r>
      <w:r w:rsidR="00116E55" w:rsidRPr="0038045B">
        <w:rPr>
          <w:lang w:val="en-GB"/>
        </w:rPr>
        <w:t>priority</w:t>
      </w:r>
      <w:r w:rsidR="00A67600" w:rsidRPr="0038045B">
        <w:rPr>
          <w:lang w:val="en-GB"/>
        </w:rPr>
        <w:t xml:space="preserve"> attention: (i) enhancing the opportunities for non-banks to participate and compete fairly in the NPS; (ii) achieving increased coverage of access points and enhanced interoperability; (iii) diversifying and improving transaction account product design to meet the needs of the unbanked and incentivize usage; and, (iv) curbing cash usage through coordinated cross-</w:t>
      </w:r>
      <w:r w:rsidR="00267829" w:rsidRPr="0038045B">
        <w:rPr>
          <w:lang w:val="en-GB"/>
        </w:rPr>
        <w:t>sectorial</w:t>
      </w:r>
      <w:r w:rsidR="00A67600" w:rsidRPr="0038045B">
        <w:rPr>
          <w:lang w:val="en-GB"/>
        </w:rPr>
        <w:t xml:space="preserve"> policies and incentives, and by leveraging large-volume payment streams to the greatest extent possible. </w:t>
      </w:r>
    </w:p>
    <w:p w14:paraId="6CD090BF" w14:textId="77777777" w:rsidR="008F77E3" w:rsidRPr="0038045B" w:rsidRDefault="008F77E3" w:rsidP="00293E31">
      <w:r w:rsidRPr="0038045B">
        <w:br w:type="page"/>
      </w:r>
    </w:p>
    <w:p w14:paraId="184DE241" w14:textId="77777777" w:rsidR="004B3941" w:rsidRPr="0038045B" w:rsidRDefault="00FA4DCD" w:rsidP="00D4605E">
      <w:pPr>
        <w:pStyle w:val="Heading1"/>
        <w:numPr>
          <w:ilvl w:val="0"/>
          <w:numId w:val="0"/>
        </w:numPr>
        <w:jc w:val="center"/>
      </w:pPr>
      <w:bookmarkStart w:id="14" w:name="_Toc476239696"/>
      <w:r w:rsidRPr="0038045B">
        <w:lastRenderedPageBreak/>
        <w:t xml:space="preserve">PAFI </w:t>
      </w:r>
      <w:r w:rsidR="001527C1" w:rsidRPr="0038045B">
        <w:t>ASSESSMENT REPORT</w:t>
      </w:r>
      <w:bookmarkEnd w:id="13"/>
      <w:bookmarkEnd w:id="14"/>
    </w:p>
    <w:p w14:paraId="7EED9C9E" w14:textId="77777777" w:rsidR="00B24CF6" w:rsidRPr="0038045B" w:rsidRDefault="00B24CF6" w:rsidP="00D4605E">
      <w:bookmarkStart w:id="15" w:name="_Toc191803748"/>
      <w:bookmarkEnd w:id="0"/>
      <w:bookmarkEnd w:id="1"/>
      <w:bookmarkEnd w:id="2"/>
    </w:p>
    <w:p w14:paraId="7C9E64C3" w14:textId="77777777" w:rsidR="00B30EE0" w:rsidRPr="0038045B" w:rsidRDefault="00B30EE0" w:rsidP="00D4605E"/>
    <w:p w14:paraId="638C8759" w14:textId="77777777" w:rsidR="00B457CC" w:rsidRPr="0038045B" w:rsidRDefault="00B457CC" w:rsidP="00D4605E">
      <w:pPr>
        <w:pStyle w:val="Heading1"/>
      </w:pPr>
      <w:bookmarkStart w:id="16" w:name="_Toc388044574"/>
      <w:bookmarkStart w:id="17" w:name="_Toc476239697"/>
      <w:r w:rsidRPr="0038045B">
        <w:t>INTRODUCTION</w:t>
      </w:r>
      <w:bookmarkEnd w:id="15"/>
      <w:bookmarkEnd w:id="16"/>
      <w:bookmarkEnd w:id="17"/>
      <w:r w:rsidR="00CB5716" w:rsidRPr="0038045B">
        <w:t xml:space="preserve"> </w:t>
      </w:r>
    </w:p>
    <w:p w14:paraId="21313A93" w14:textId="77777777" w:rsidR="00BD0B62" w:rsidRPr="0038045B" w:rsidRDefault="00BD0B62" w:rsidP="00D4605E"/>
    <w:p w14:paraId="78A0D9B0" w14:textId="77777777" w:rsidR="00BA7B74" w:rsidRPr="0038045B" w:rsidRDefault="00F50FF3" w:rsidP="005E0239">
      <w:pPr>
        <w:pStyle w:val="Body"/>
        <w:numPr>
          <w:ilvl w:val="0"/>
          <w:numId w:val="40"/>
        </w:numPr>
        <w:spacing w:after="120" w:line="276" w:lineRule="auto"/>
        <w:ind w:left="0" w:firstLine="0"/>
        <w:rPr>
          <w:lang w:val="en-US"/>
        </w:rPr>
      </w:pPr>
      <w:r w:rsidRPr="0038045B">
        <w:rPr>
          <w:lang w:val="en-US"/>
        </w:rPr>
        <w:t xml:space="preserve">The Remittances and Payments Program (RPP) is a technical assistance program in Eastern Europe and Central Asia funded by </w:t>
      </w:r>
      <w:r w:rsidR="00BA7B74" w:rsidRPr="0038045B">
        <w:rPr>
          <w:lang w:val="en-US"/>
        </w:rPr>
        <w:t xml:space="preserve">Switzerland’s </w:t>
      </w:r>
      <w:r w:rsidRPr="0038045B">
        <w:rPr>
          <w:lang w:val="en-US"/>
        </w:rPr>
        <w:t xml:space="preserve">State Secretariat for Economic Affairs (SECO) and managed by the World Bank Group (WBG) Finance &amp; Markets Global Practice through the Payment Systems Development Group (PSDG). The RPP aims to increase the efficiency of retail payments in selected countries by creating an enabling environment for innovation, with a specific focus on international remittances.  It aims to provide technical assistance in support of policy and regulatory reforms and capacity building for government agencies and ministries, regulators, financial institutions, the civil society, and other relevant entities. Albania being one of the countries that fall within the geographical scope of RPP in Eastern Europe, will take part in this initiative under the leadership of the Bank of Albania (BoA). </w:t>
      </w:r>
    </w:p>
    <w:p w14:paraId="4DCC2F4B" w14:textId="77777777" w:rsidR="00A10315" w:rsidRPr="0038045B" w:rsidRDefault="00F50FF3" w:rsidP="005E0239">
      <w:pPr>
        <w:pStyle w:val="Body"/>
        <w:numPr>
          <w:ilvl w:val="0"/>
          <w:numId w:val="40"/>
        </w:numPr>
        <w:spacing w:after="120" w:line="276" w:lineRule="auto"/>
        <w:ind w:left="0" w:firstLine="0"/>
        <w:rPr>
          <w:lang w:val="en-US"/>
        </w:rPr>
      </w:pPr>
      <w:r w:rsidRPr="0038045B">
        <w:rPr>
          <w:lang w:val="en-US"/>
        </w:rPr>
        <w:t>The overall objective of RPP Albania is to increase access to, and usage of</w:t>
      </w:r>
      <w:r w:rsidR="00A46FD5" w:rsidRPr="0038045B">
        <w:rPr>
          <w:lang w:val="en-US"/>
        </w:rPr>
        <w:t>,</w:t>
      </w:r>
      <w:r w:rsidRPr="0038045B">
        <w:rPr>
          <w:lang w:val="en-US"/>
        </w:rPr>
        <w:t xml:space="preserve"> transaction accounts and electronic payment instruments, by improving the efficiency of domestic retail payments and international remittances. </w:t>
      </w:r>
      <w:r w:rsidR="00BA7B74" w:rsidRPr="0038045B">
        <w:rPr>
          <w:lang w:val="en-US"/>
        </w:rPr>
        <w:t>A transaction account is an essential financial service that can serve as a gateway to other financial services such as savings, credit and insurance. However, nearly 40% of the world’s adult population – about 2 billion people – still have no account with a bank or another regulated and/or authorized non-bank payment service provider.</w:t>
      </w:r>
    </w:p>
    <w:p w14:paraId="2D3F41EA" w14:textId="77777777" w:rsidR="00A75031" w:rsidRPr="0038045B" w:rsidRDefault="00A10315" w:rsidP="005E0239">
      <w:pPr>
        <w:pStyle w:val="Body"/>
        <w:numPr>
          <w:ilvl w:val="0"/>
          <w:numId w:val="40"/>
        </w:numPr>
        <w:spacing w:after="120" w:line="276" w:lineRule="auto"/>
        <w:ind w:left="0" w:firstLine="0"/>
        <w:rPr>
          <w:lang w:val="en-US"/>
        </w:rPr>
      </w:pPr>
      <w:r w:rsidRPr="0038045B">
        <w:rPr>
          <w:lang w:val="en-US"/>
        </w:rPr>
        <w:t>A mission comprised of Carlo Corazza, Senior Payment System</w:t>
      </w:r>
      <w:r w:rsidR="00BB3C66" w:rsidRPr="0038045B">
        <w:rPr>
          <w:lang w:val="en-US"/>
        </w:rPr>
        <w:t>s</w:t>
      </w:r>
      <w:r w:rsidRPr="0038045B">
        <w:rPr>
          <w:lang w:val="en-US"/>
        </w:rPr>
        <w:t xml:space="preserve"> and Remittances Specialist, Finance &amp; Markets Global Practice, and Nenad Bosiljcic, Elisabetta Cervone</w:t>
      </w:r>
      <w:r w:rsidR="00BA7B74" w:rsidRPr="0038045B">
        <w:rPr>
          <w:lang w:val="en-US"/>
        </w:rPr>
        <w:t xml:space="preserve"> and</w:t>
      </w:r>
      <w:r w:rsidRPr="0038045B">
        <w:rPr>
          <w:lang w:val="en-US"/>
        </w:rPr>
        <w:t xml:space="preserve"> Jose Antonio Garcia, all World Bank Group consultants</w:t>
      </w:r>
      <w:r w:rsidR="00BA7B74" w:rsidRPr="0038045B">
        <w:rPr>
          <w:lang w:val="en-US"/>
        </w:rPr>
        <w:t>,</w:t>
      </w:r>
      <w:r w:rsidR="00BB3C66" w:rsidRPr="0038045B">
        <w:rPr>
          <w:rStyle w:val="FootnoteReference"/>
          <w:lang w:val="en-US"/>
        </w:rPr>
        <w:footnoteReference w:id="7"/>
      </w:r>
      <w:r w:rsidR="00A75031" w:rsidRPr="0038045B">
        <w:rPr>
          <w:lang w:val="en-US"/>
        </w:rPr>
        <w:t xml:space="preserve"> visited </w:t>
      </w:r>
      <w:r w:rsidR="00877A3A" w:rsidRPr="0038045B">
        <w:rPr>
          <w:lang w:val="en-US"/>
        </w:rPr>
        <w:t>Albania in September 2</w:t>
      </w:r>
      <w:r w:rsidR="00A75031" w:rsidRPr="0038045B">
        <w:rPr>
          <w:lang w:val="en-US"/>
        </w:rPr>
        <w:t>01</w:t>
      </w:r>
      <w:r w:rsidR="00877A3A" w:rsidRPr="0038045B">
        <w:rPr>
          <w:lang w:val="en-US"/>
        </w:rPr>
        <w:t>6</w:t>
      </w:r>
      <w:r w:rsidR="00A75031" w:rsidRPr="0038045B">
        <w:rPr>
          <w:lang w:val="en-US"/>
        </w:rPr>
        <w:t xml:space="preserve"> to conduct a review of the </w:t>
      </w:r>
      <w:r w:rsidR="00B30EE0" w:rsidRPr="0038045B">
        <w:rPr>
          <w:lang w:val="en-US"/>
        </w:rPr>
        <w:t xml:space="preserve">country’s </w:t>
      </w:r>
      <w:r w:rsidR="00A75031" w:rsidRPr="0038045B">
        <w:rPr>
          <w:lang w:val="en-US"/>
        </w:rPr>
        <w:t xml:space="preserve">National Payments System </w:t>
      </w:r>
      <w:r w:rsidR="00B30EE0" w:rsidRPr="0038045B">
        <w:rPr>
          <w:lang w:val="en-US"/>
        </w:rPr>
        <w:t xml:space="preserve">(NPS) in order </w:t>
      </w:r>
      <w:r w:rsidR="00237EA8" w:rsidRPr="0038045B">
        <w:rPr>
          <w:lang w:val="en-US"/>
        </w:rPr>
        <w:t xml:space="preserve">to make recommendations for possible improvements </w:t>
      </w:r>
      <w:r w:rsidR="00877A3A" w:rsidRPr="0038045B">
        <w:rPr>
          <w:lang w:val="en-US"/>
        </w:rPr>
        <w:t>with regard to achieving e</w:t>
      </w:r>
      <w:r w:rsidR="00237EA8" w:rsidRPr="0038045B">
        <w:rPr>
          <w:lang w:val="en-US"/>
        </w:rPr>
        <w:t xml:space="preserve">ffective financial inclusion </w:t>
      </w:r>
      <w:r w:rsidR="00877A3A" w:rsidRPr="0038045B">
        <w:rPr>
          <w:lang w:val="en-US"/>
        </w:rPr>
        <w:t>f</w:t>
      </w:r>
      <w:r w:rsidR="00237EA8" w:rsidRPr="0038045B">
        <w:rPr>
          <w:lang w:val="en-US"/>
        </w:rPr>
        <w:t>rom a payments perspective</w:t>
      </w:r>
      <w:r w:rsidR="00A75031" w:rsidRPr="0038045B">
        <w:rPr>
          <w:lang w:val="en-US"/>
        </w:rPr>
        <w:t xml:space="preserve">. Numerous </w:t>
      </w:r>
      <w:r w:rsidR="00B30EE0" w:rsidRPr="0038045B">
        <w:rPr>
          <w:lang w:val="en-US"/>
        </w:rPr>
        <w:t xml:space="preserve">meetings and </w:t>
      </w:r>
      <w:r w:rsidR="00A75031" w:rsidRPr="0038045B">
        <w:rPr>
          <w:lang w:val="en-US"/>
        </w:rPr>
        <w:t xml:space="preserve">discussions with public and private sector stakeholders were held and the team considers that it has gathered representative opinions from different participants on the current status of the market and on-going reforms. </w:t>
      </w:r>
      <w:r w:rsidR="00C9192B" w:rsidRPr="0038045B">
        <w:rPr>
          <w:lang w:val="en-US"/>
        </w:rPr>
        <w:t xml:space="preserve">The team wishes to thank the BoA for the excellent coordination of the mission’s agenda and inputs. </w:t>
      </w:r>
    </w:p>
    <w:p w14:paraId="6ED07689" w14:textId="77777777" w:rsidR="00B30EE0" w:rsidRPr="0038045B" w:rsidRDefault="00A75031" w:rsidP="005E0239">
      <w:pPr>
        <w:pStyle w:val="Body"/>
        <w:numPr>
          <w:ilvl w:val="0"/>
          <w:numId w:val="40"/>
        </w:numPr>
        <w:spacing w:after="120" w:line="276" w:lineRule="auto"/>
        <w:ind w:left="0" w:firstLine="0"/>
        <w:rPr>
          <w:lang w:val="en-US"/>
        </w:rPr>
      </w:pPr>
      <w:r w:rsidRPr="0038045B">
        <w:rPr>
          <w:lang w:val="en-US"/>
        </w:rPr>
        <w:t>This report presents the results of the analysis</w:t>
      </w:r>
      <w:r w:rsidR="00012E5D" w:rsidRPr="0038045B">
        <w:rPr>
          <w:lang w:val="en-US"/>
        </w:rPr>
        <w:t>, which</w:t>
      </w:r>
      <w:r w:rsidRPr="0038045B">
        <w:rPr>
          <w:lang w:val="en-US"/>
        </w:rPr>
        <w:t xml:space="preserve"> </w:t>
      </w:r>
      <w:r w:rsidR="00012E5D" w:rsidRPr="0038045B">
        <w:rPr>
          <w:lang w:val="en-US"/>
        </w:rPr>
        <w:t xml:space="preserve">was </w:t>
      </w:r>
      <w:r w:rsidRPr="0038045B">
        <w:rPr>
          <w:lang w:val="en-US"/>
        </w:rPr>
        <w:t xml:space="preserve">based on the </w:t>
      </w:r>
      <w:r w:rsidR="00012E5D" w:rsidRPr="0038045B">
        <w:rPr>
          <w:lang w:val="en-US"/>
        </w:rPr>
        <w:t xml:space="preserve">recently released </w:t>
      </w:r>
      <w:r w:rsidR="00B30EE0" w:rsidRPr="0038045B">
        <w:rPr>
          <w:lang w:val="en-US"/>
        </w:rPr>
        <w:t>report “Payment Aspects of Financial Inclusion” (PAFI) issued jointly by the Committee on Payments and Market Infrastructures (</w:t>
      </w:r>
      <w:r w:rsidR="00012E5D" w:rsidRPr="0038045B">
        <w:rPr>
          <w:lang w:val="en-US"/>
        </w:rPr>
        <w:t>CPMI</w:t>
      </w:r>
      <w:r w:rsidR="00B30EE0" w:rsidRPr="0038045B">
        <w:rPr>
          <w:lang w:val="en-US"/>
        </w:rPr>
        <w:t xml:space="preserve">) and the </w:t>
      </w:r>
      <w:r w:rsidR="00012E5D" w:rsidRPr="0038045B">
        <w:rPr>
          <w:lang w:val="en-US"/>
        </w:rPr>
        <w:t>World Bank</w:t>
      </w:r>
      <w:r w:rsidR="00A10315" w:rsidRPr="0038045B">
        <w:rPr>
          <w:lang w:val="en-US"/>
        </w:rPr>
        <w:t xml:space="preserve"> Group</w:t>
      </w:r>
      <w:r w:rsidR="00B30EE0" w:rsidRPr="0038045B">
        <w:rPr>
          <w:lang w:val="en-US"/>
        </w:rPr>
        <w:t>.</w:t>
      </w:r>
      <w:r w:rsidR="00D55322" w:rsidRPr="0038045B">
        <w:rPr>
          <w:rStyle w:val="FootnoteReference"/>
          <w:lang w:val="en-US"/>
        </w:rPr>
        <w:footnoteReference w:id="8"/>
      </w:r>
      <w:r w:rsidR="00B30EE0" w:rsidRPr="0038045B">
        <w:rPr>
          <w:lang w:val="en-US"/>
        </w:rPr>
        <w:t xml:space="preserve"> This work in Albania has also benefited </w:t>
      </w:r>
      <w:r w:rsidRPr="0038045B">
        <w:rPr>
          <w:lang w:val="en-US"/>
        </w:rPr>
        <w:t xml:space="preserve">from </w:t>
      </w:r>
      <w:r w:rsidR="00877A3A" w:rsidRPr="0038045B">
        <w:rPr>
          <w:lang w:val="en-US"/>
        </w:rPr>
        <w:t>previous experiences of t</w:t>
      </w:r>
      <w:r w:rsidRPr="0038045B">
        <w:rPr>
          <w:lang w:val="en-US"/>
        </w:rPr>
        <w:t xml:space="preserve">he </w:t>
      </w:r>
      <w:r w:rsidR="00B30EE0" w:rsidRPr="0038045B">
        <w:rPr>
          <w:lang w:val="en-US"/>
        </w:rPr>
        <w:t>PSDG</w:t>
      </w:r>
      <w:r w:rsidRPr="0038045B">
        <w:rPr>
          <w:lang w:val="en-US"/>
        </w:rPr>
        <w:t xml:space="preserve"> </w:t>
      </w:r>
      <w:r w:rsidR="00877A3A" w:rsidRPr="0038045B">
        <w:rPr>
          <w:lang w:val="en-US"/>
        </w:rPr>
        <w:t xml:space="preserve">using this </w:t>
      </w:r>
      <w:r w:rsidR="00877A3A" w:rsidRPr="0038045B">
        <w:rPr>
          <w:lang w:val="en-US"/>
        </w:rPr>
        <w:lastRenderedPageBreak/>
        <w:t xml:space="preserve">same </w:t>
      </w:r>
      <w:r w:rsidR="00B30EE0" w:rsidRPr="0038045B">
        <w:rPr>
          <w:lang w:val="en-US"/>
        </w:rPr>
        <w:t xml:space="preserve">“PAFI </w:t>
      </w:r>
      <w:r w:rsidR="00877A3A" w:rsidRPr="0038045B">
        <w:rPr>
          <w:lang w:val="en-US"/>
        </w:rPr>
        <w:t>framework</w:t>
      </w:r>
      <w:r w:rsidR="00E3641C" w:rsidRPr="0038045B">
        <w:rPr>
          <w:lang w:val="en-US"/>
        </w:rPr>
        <w:t>”</w:t>
      </w:r>
      <w:r w:rsidR="00877A3A" w:rsidRPr="0038045B">
        <w:rPr>
          <w:lang w:val="en-US"/>
        </w:rPr>
        <w:t xml:space="preserve"> </w:t>
      </w:r>
      <w:r w:rsidRPr="0038045B">
        <w:rPr>
          <w:lang w:val="en-US"/>
        </w:rPr>
        <w:t>in other countries.</w:t>
      </w:r>
      <w:r w:rsidR="00237EA8" w:rsidRPr="0038045B">
        <w:rPr>
          <w:lang w:val="en-US"/>
        </w:rPr>
        <w:t xml:space="preserve"> </w:t>
      </w:r>
    </w:p>
    <w:p w14:paraId="4E605F61" w14:textId="77777777" w:rsidR="00E24C50" w:rsidRPr="0038045B" w:rsidRDefault="00237EA8" w:rsidP="005E0239">
      <w:pPr>
        <w:pStyle w:val="Body"/>
        <w:numPr>
          <w:ilvl w:val="0"/>
          <w:numId w:val="40"/>
        </w:numPr>
        <w:spacing w:after="120" w:line="276" w:lineRule="auto"/>
        <w:ind w:left="0" w:firstLine="0"/>
        <w:rPr>
          <w:lang w:val="en-US"/>
        </w:rPr>
      </w:pPr>
      <w:r w:rsidRPr="0038045B">
        <w:rPr>
          <w:lang w:val="en-US"/>
        </w:rPr>
        <w:t xml:space="preserve">The PAFI report, in addition to outlining </w:t>
      </w:r>
      <w:r w:rsidR="00B30EE0" w:rsidRPr="0038045B">
        <w:rPr>
          <w:lang w:val="en-US"/>
        </w:rPr>
        <w:t xml:space="preserve">guiding </w:t>
      </w:r>
      <w:r w:rsidRPr="0038045B">
        <w:rPr>
          <w:lang w:val="en-US"/>
        </w:rPr>
        <w:t>principles to help countries advance financial inclusion</w:t>
      </w:r>
      <w:r w:rsidR="00B30EE0" w:rsidRPr="0038045B">
        <w:rPr>
          <w:lang w:val="en-US"/>
        </w:rPr>
        <w:t xml:space="preserve"> in the form of enhanced access to and usage of transaction accounts</w:t>
      </w:r>
      <w:r w:rsidRPr="0038045B">
        <w:rPr>
          <w:lang w:val="en-US"/>
        </w:rPr>
        <w:t xml:space="preserve">, suggests </w:t>
      </w:r>
      <w:r w:rsidR="00B30EE0" w:rsidRPr="0038045B">
        <w:rPr>
          <w:lang w:val="en-US"/>
        </w:rPr>
        <w:t xml:space="preserve">a number of </w:t>
      </w:r>
      <w:r w:rsidRPr="0038045B">
        <w:rPr>
          <w:lang w:val="en-US"/>
        </w:rPr>
        <w:t>possible key actions</w:t>
      </w:r>
      <w:r w:rsidR="00B30EE0" w:rsidRPr="0038045B">
        <w:rPr>
          <w:lang w:val="en-US"/>
        </w:rPr>
        <w:t xml:space="preserve"> for each of these principles</w:t>
      </w:r>
      <w:r w:rsidRPr="0038045B">
        <w:rPr>
          <w:lang w:val="en-US"/>
        </w:rPr>
        <w:t xml:space="preserve">. </w:t>
      </w:r>
    </w:p>
    <w:p w14:paraId="6237DE95" w14:textId="77777777" w:rsidR="00E24C50" w:rsidRPr="0038045B" w:rsidRDefault="00E24C50" w:rsidP="005E0239">
      <w:pPr>
        <w:pStyle w:val="Body"/>
        <w:numPr>
          <w:ilvl w:val="0"/>
          <w:numId w:val="40"/>
        </w:numPr>
        <w:spacing w:after="120" w:line="276" w:lineRule="auto"/>
        <w:ind w:left="0" w:firstLine="0"/>
        <w:rPr>
          <w:lang w:val="en-US"/>
        </w:rPr>
      </w:pPr>
      <w:r w:rsidRPr="0038045B">
        <w:rPr>
          <w:lang w:val="en-US" w:eastAsia="en-US"/>
        </w:rPr>
        <w:t>PAFI also stresses that beyond obtaining access to a financial service (e.g. h</w:t>
      </w:r>
      <w:r w:rsidR="00462E13" w:rsidRPr="0038045B">
        <w:rPr>
          <w:lang w:val="en-US" w:eastAsia="en-US"/>
        </w:rPr>
        <w:t xml:space="preserve">aving </w:t>
      </w:r>
      <w:r w:rsidRPr="0038045B">
        <w:rPr>
          <w:lang w:val="en-US" w:eastAsia="en-US"/>
        </w:rPr>
        <w:t>a</w:t>
      </w:r>
      <w:r w:rsidR="00462E13" w:rsidRPr="0038045B">
        <w:rPr>
          <w:lang w:val="en-US" w:eastAsia="en-US"/>
        </w:rPr>
        <w:t xml:space="preserve">n </w:t>
      </w:r>
      <w:r w:rsidRPr="0038045B">
        <w:rPr>
          <w:lang w:val="en-US" w:eastAsia="en-US"/>
        </w:rPr>
        <w:t xml:space="preserve">account), there is also the key issue of whether a financial service is actually valuable to its users, which is very often reflected in how frequently that service is used. This report </w:t>
      </w:r>
      <w:r w:rsidR="00462E13" w:rsidRPr="0038045B">
        <w:rPr>
          <w:lang w:val="en-US" w:eastAsia="en-US"/>
        </w:rPr>
        <w:t xml:space="preserve">for Albanian authorities </w:t>
      </w:r>
      <w:r w:rsidRPr="0038045B">
        <w:rPr>
          <w:lang w:val="en-US" w:eastAsia="en-US"/>
        </w:rPr>
        <w:t>stresses both the concepts of access to accounts and their usage as the relevant measures for determining the extent to which financial inclusion from a payments perspective is really effective.</w:t>
      </w:r>
    </w:p>
    <w:p w14:paraId="1462EBDF" w14:textId="77777777" w:rsidR="00237EA8" w:rsidRPr="0038045B" w:rsidRDefault="00E24C50" w:rsidP="005E0239">
      <w:pPr>
        <w:pStyle w:val="Body"/>
        <w:numPr>
          <w:ilvl w:val="0"/>
          <w:numId w:val="40"/>
        </w:numPr>
        <w:spacing w:after="120" w:line="276" w:lineRule="auto"/>
        <w:ind w:left="0" w:firstLine="0"/>
        <w:rPr>
          <w:lang w:val="en-US"/>
        </w:rPr>
      </w:pPr>
      <w:r w:rsidRPr="0038045B">
        <w:rPr>
          <w:lang w:val="en-US"/>
        </w:rPr>
        <w:t xml:space="preserve">Finally, the PAFI report also recognizes that </w:t>
      </w:r>
      <w:r w:rsidR="00877A3A" w:rsidRPr="0038045B">
        <w:rPr>
          <w:lang w:val="en-US"/>
        </w:rPr>
        <w:t>f</w:t>
      </w:r>
      <w:r w:rsidR="00237EA8" w:rsidRPr="0038045B">
        <w:rPr>
          <w:lang w:val="en-US"/>
        </w:rPr>
        <w:t xml:space="preserve">inancial inclusion efforts are beneficial not only for those who will </w:t>
      </w:r>
      <w:r w:rsidR="00B30EE0" w:rsidRPr="0038045B">
        <w:rPr>
          <w:lang w:val="en-US"/>
        </w:rPr>
        <w:t xml:space="preserve">eventually </w:t>
      </w:r>
      <w:r w:rsidR="00237EA8" w:rsidRPr="0038045B">
        <w:rPr>
          <w:lang w:val="en-US"/>
        </w:rPr>
        <w:t xml:space="preserve">become financially included, but also for the </w:t>
      </w:r>
      <w:r w:rsidR="00B30EE0" w:rsidRPr="0038045B">
        <w:rPr>
          <w:lang w:val="en-US"/>
        </w:rPr>
        <w:t>NPS</w:t>
      </w:r>
      <w:r w:rsidR="00237EA8" w:rsidRPr="0038045B">
        <w:rPr>
          <w:lang w:val="en-US"/>
        </w:rPr>
        <w:t xml:space="preserve"> and, ultimately, the economy.</w:t>
      </w:r>
      <w:r w:rsidRPr="0038045B">
        <w:rPr>
          <w:lang w:val="en-US"/>
        </w:rPr>
        <w:t xml:space="preserve"> </w:t>
      </w:r>
    </w:p>
    <w:p w14:paraId="31FF9983" w14:textId="77777777" w:rsidR="00EC088B" w:rsidRPr="0038045B" w:rsidRDefault="00A75031" w:rsidP="005E0239">
      <w:pPr>
        <w:pStyle w:val="Body"/>
        <w:numPr>
          <w:ilvl w:val="0"/>
          <w:numId w:val="40"/>
        </w:numPr>
        <w:spacing w:after="120" w:line="276" w:lineRule="auto"/>
        <w:ind w:left="0" w:firstLine="0"/>
        <w:rPr>
          <w:szCs w:val="24"/>
          <w:lang w:val="en-US"/>
        </w:rPr>
      </w:pPr>
      <w:r w:rsidRPr="0038045B">
        <w:rPr>
          <w:lang w:val="en-US"/>
        </w:rPr>
        <w:t xml:space="preserve">This </w:t>
      </w:r>
      <w:r w:rsidR="00877A3A" w:rsidRPr="0038045B">
        <w:rPr>
          <w:lang w:val="en-US"/>
        </w:rPr>
        <w:t xml:space="preserve">draft </w:t>
      </w:r>
      <w:r w:rsidR="008F4E85" w:rsidRPr="0038045B">
        <w:rPr>
          <w:lang w:val="en-US"/>
        </w:rPr>
        <w:t>r</w:t>
      </w:r>
      <w:r w:rsidRPr="0038045B">
        <w:rPr>
          <w:lang w:val="en-US"/>
        </w:rPr>
        <w:t xml:space="preserve">eport is organized as follows. </w:t>
      </w:r>
    </w:p>
    <w:p w14:paraId="35B105B7" w14:textId="77777777" w:rsidR="00EC088B" w:rsidRPr="0038045B" w:rsidRDefault="00A75031" w:rsidP="00EC088B">
      <w:pPr>
        <w:pStyle w:val="Body"/>
        <w:numPr>
          <w:ilvl w:val="0"/>
          <w:numId w:val="33"/>
        </w:numPr>
        <w:spacing w:after="120" w:line="276" w:lineRule="auto"/>
        <w:rPr>
          <w:szCs w:val="24"/>
          <w:lang w:val="en-US"/>
        </w:rPr>
      </w:pPr>
      <w:r w:rsidRPr="0038045B">
        <w:rPr>
          <w:lang w:val="en-US"/>
        </w:rPr>
        <w:t>Section II gives a</w:t>
      </w:r>
      <w:r w:rsidR="00877A3A" w:rsidRPr="0038045B">
        <w:rPr>
          <w:lang w:val="en-US"/>
        </w:rPr>
        <w:t xml:space="preserve"> brief </w:t>
      </w:r>
      <w:r w:rsidRPr="0038045B">
        <w:rPr>
          <w:lang w:val="en-US"/>
        </w:rPr>
        <w:t xml:space="preserve">overview of the socio-demographic context, the financial sector, the state of financial inclusion in </w:t>
      </w:r>
      <w:r w:rsidR="00877A3A" w:rsidRPr="0038045B">
        <w:rPr>
          <w:lang w:val="en-US"/>
        </w:rPr>
        <w:t xml:space="preserve">Albania </w:t>
      </w:r>
      <w:r w:rsidRPr="0038045B">
        <w:rPr>
          <w:lang w:val="en-US"/>
        </w:rPr>
        <w:t xml:space="preserve">from a payments perspective (and in comparison to select peer countries), </w:t>
      </w:r>
      <w:r w:rsidR="008F4E85" w:rsidRPr="0038045B">
        <w:rPr>
          <w:lang w:val="en-US"/>
        </w:rPr>
        <w:t xml:space="preserve">and </w:t>
      </w:r>
      <w:r w:rsidR="00877A3A" w:rsidRPr="0038045B">
        <w:rPr>
          <w:lang w:val="en-US"/>
        </w:rPr>
        <w:t xml:space="preserve">also includes a short discussion on </w:t>
      </w:r>
      <w:r w:rsidRPr="0038045B">
        <w:rPr>
          <w:lang w:val="en-US"/>
        </w:rPr>
        <w:t xml:space="preserve">recent international developments </w:t>
      </w:r>
      <w:r w:rsidR="00E3641C" w:rsidRPr="0038045B">
        <w:rPr>
          <w:lang w:val="en-US"/>
        </w:rPr>
        <w:t>and previous work that led to the creation of the PAFI framework.</w:t>
      </w:r>
      <w:r w:rsidR="008F4E85" w:rsidRPr="0038045B">
        <w:rPr>
          <w:lang w:val="en-US"/>
        </w:rPr>
        <w:t xml:space="preserve"> </w:t>
      </w:r>
    </w:p>
    <w:p w14:paraId="63351020" w14:textId="77777777" w:rsidR="00EC088B" w:rsidRPr="0038045B" w:rsidRDefault="008F4E85" w:rsidP="00EC088B">
      <w:pPr>
        <w:pStyle w:val="Body"/>
        <w:numPr>
          <w:ilvl w:val="0"/>
          <w:numId w:val="33"/>
        </w:numPr>
        <w:spacing w:after="120" w:line="276" w:lineRule="auto"/>
        <w:rPr>
          <w:szCs w:val="24"/>
          <w:lang w:val="en-US"/>
        </w:rPr>
      </w:pPr>
      <w:r w:rsidRPr="0038045B">
        <w:rPr>
          <w:lang w:val="en-US"/>
        </w:rPr>
        <w:t xml:space="preserve">Section III </w:t>
      </w:r>
      <w:r w:rsidR="00E3641C" w:rsidRPr="0038045B">
        <w:rPr>
          <w:lang w:val="en-US"/>
        </w:rPr>
        <w:t xml:space="preserve">then </w:t>
      </w:r>
      <w:r w:rsidRPr="0038045B">
        <w:rPr>
          <w:lang w:val="en-US"/>
        </w:rPr>
        <w:t>discusses the basic foundations for effective financial inclusion from a payments perspective</w:t>
      </w:r>
      <w:r w:rsidR="00A75031" w:rsidRPr="0038045B">
        <w:rPr>
          <w:lang w:val="en-US"/>
        </w:rPr>
        <w:t xml:space="preserve">, </w:t>
      </w:r>
      <w:r w:rsidRPr="0038045B">
        <w:rPr>
          <w:lang w:val="en-US"/>
        </w:rPr>
        <w:t>which are</w:t>
      </w:r>
      <w:r w:rsidR="00877A3A" w:rsidRPr="0038045B">
        <w:rPr>
          <w:lang w:val="en-US"/>
        </w:rPr>
        <w:t>: i)</w:t>
      </w:r>
      <w:r w:rsidRPr="0038045B">
        <w:rPr>
          <w:lang w:val="en-US"/>
        </w:rPr>
        <w:t xml:space="preserve"> commitment and coordination of stakeholders</w:t>
      </w:r>
      <w:r w:rsidR="00877A3A" w:rsidRPr="0038045B">
        <w:rPr>
          <w:lang w:val="en-US"/>
        </w:rPr>
        <w:t xml:space="preserve">; ii) </w:t>
      </w:r>
      <w:r w:rsidRPr="0038045B">
        <w:rPr>
          <w:lang w:val="en-US"/>
        </w:rPr>
        <w:t>legal and regulatory framework</w:t>
      </w:r>
      <w:r w:rsidR="00877A3A" w:rsidRPr="0038045B">
        <w:rPr>
          <w:lang w:val="en-US"/>
        </w:rPr>
        <w:t>;</w:t>
      </w:r>
      <w:r w:rsidRPr="0038045B">
        <w:rPr>
          <w:lang w:val="en-US"/>
        </w:rPr>
        <w:t xml:space="preserve"> and</w:t>
      </w:r>
      <w:r w:rsidR="00877A3A" w:rsidRPr="0038045B">
        <w:rPr>
          <w:lang w:val="en-US"/>
        </w:rPr>
        <w:t>, iii)</w:t>
      </w:r>
      <w:r w:rsidRPr="0038045B">
        <w:rPr>
          <w:lang w:val="en-US"/>
        </w:rPr>
        <w:t xml:space="preserve"> the payments and other relevant infrastructures. </w:t>
      </w:r>
    </w:p>
    <w:p w14:paraId="05B882E1" w14:textId="77777777" w:rsidR="00EC088B" w:rsidRPr="0038045B" w:rsidRDefault="00EC088B" w:rsidP="00EC088B">
      <w:pPr>
        <w:pStyle w:val="Body"/>
        <w:numPr>
          <w:ilvl w:val="0"/>
          <w:numId w:val="33"/>
        </w:numPr>
        <w:spacing w:after="120" w:line="276" w:lineRule="auto"/>
        <w:rPr>
          <w:szCs w:val="24"/>
          <w:lang w:val="en-US"/>
        </w:rPr>
      </w:pPr>
      <w:r w:rsidRPr="0038045B">
        <w:rPr>
          <w:lang w:val="en-US"/>
        </w:rPr>
        <w:t>Section IV discusses the driver</w:t>
      </w:r>
      <w:r w:rsidR="008F4E85" w:rsidRPr="0038045B">
        <w:rPr>
          <w:lang w:val="en-US"/>
        </w:rPr>
        <w:t xml:space="preserve"> of access to and usage of transaction accounts and associated electronic payment instruments</w:t>
      </w:r>
      <w:r w:rsidRPr="0038045B">
        <w:rPr>
          <w:lang w:val="en-US"/>
        </w:rPr>
        <w:t>, which are:</w:t>
      </w:r>
      <w:r w:rsidR="001A09C4" w:rsidRPr="0038045B">
        <w:rPr>
          <w:lang w:val="en-US"/>
        </w:rPr>
        <w:t xml:space="preserve"> i)</w:t>
      </w:r>
      <w:r w:rsidR="008F4E85" w:rsidRPr="0038045B">
        <w:rPr>
          <w:lang w:val="en-US"/>
        </w:rPr>
        <w:t xml:space="preserve"> a</w:t>
      </w:r>
      <w:r w:rsidR="00A75031" w:rsidRPr="0038045B">
        <w:rPr>
          <w:lang w:val="en-US"/>
        </w:rPr>
        <w:t>cc</w:t>
      </w:r>
      <w:r w:rsidR="008F4E85" w:rsidRPr="0038045B">
        <w:rPr>
          <w:lang w:val="en-US"/>
        </w:rPr>
        <w:t>ount and payment product design</w:t>
      </w:r>
      <w:r w:rsidR="001A09C4" w:rsidRPr="0038045B">
        <w:rPr>
          <w:lang w:val="en-US"/>
        </w:rPr>
        <w:t>; ii)</w:t>
      </w:r>
      <w:r w:rsidR="008F4E85" w:rsidRPr="0038045B">
        <w:rPr>
          <w:lang w:val="en-US"/>
        </w:rPr>
        <w:t xml:space="preserve"> r</w:t>
      </w:r>
      <w:r w:rsidR="00A75031" w:rsidRPr="0038045B">
        <w:rPr>
          <w:lang w:val="en-US"/>
        </w:rPr>
        <w:t>eadily available access points and access channels</w:t>
      </w:r>
      <w:r w:rsidR="001A09C4" w:rsidRPr="0038045B">
        <w:rPr>
          <w:lang w:val="en-US"/>
        </w:rPr>
        <w:t>; iii)</w:t>
      </w:r>
      <w:r w:rsidR="008F4E85" w:rsidRPr="0038045B">
        <w:rPr>
          <w:lang w:val="en-US"/>
        </w:rPr>
        <w:t xml:space="preserve"> awareness and financial literacy</w:t>
      </w:r>
      <w:r w:rsidR="001A09C4" w:rsidRPr="0038045B">
        <w:rPr>
          <w:lang w:val="en-US"/>
        </w:rPr>
        <w:t>;</w:t>
      </w:r>
      <w:r w:rsidR="008F4E85" w:rsidRPr="0038045B">
        <w:rPr>
          <w:lang w:val="en-US"/>
        </w:rPr>
        <w:t xml:space="preserve"> and</w:t>
      </w:r>
      <w:r w:rsidR="001A09C4" w:rsidRPr="0038045B">
        <w:rPr>
          <w:lang w:val="en-US"/>
        </w:rPr>
        <w:t>, iv)</w:t>
      </w:r>
      <w:r w:rsidR="008F4E85" w:rsidRPr="0038045B">
        <w:rPr>
          <w:lang w:val="en-US"/>
        </w:rPr>
        <w:t xml:space="preserve"> </w:t>
      </w:r>
      <w:r w:rsidR="00A75031" w:rsidRPr="0038045B">
        <w:rPr>
          <w:lang w:val="en-US"/>
        </w:rPr>
        <w:t>large</w:t>
      </w:r>
      <w:r w:rsidR="001A09C4" w:rsidRPr="0038045B">
        <w:rPr>
          <w:lang w:val="en-US"/>
        </w:rPr>
        <w:t>-</w:t>
      </w:r>
      <w:r w:rsidR="00A75031" w:rsidRPr="0038045B">
        <w:rPr>
          <w:lang w:val="en-US"/>
        </w:rPr>
        <w:t>volume recurrent payments</w:t>
      </w:r>
      <w:r w:rsidR="008F4E85" w:rsidRPr="0038045B">
        <w:rPr>
          <w:lang w:val="en-US"/>
        </w:rPr>
        <w:t xml:space="preserve">. </w:t>
      </w:r>
    </w:p>
    <w:p w14:paraId="1281B0C2" w14:textId="77777777" w:rsidR="001A09C4" w:rsidRPr="0038045B" w:rsidRDefault="00EC088B" w:rsidP="00F35D74">
      <w:pPr>
        <w:pStyle w:val="Body"/>
        <w:numPr>
          <w:ilvl w:val="0"/>
          <w:numId w:val="33"/>
        </w:numPr>
        <w:spacing w:after="120" w:line="276" w:lineRule="auto"/>
        <w:rPr>
          <w:szCs w:val="24"/>
          <w:lang w:val="en-US"/>
        </w:rPr>
      </w:pPr>
      <w:r w:rsidRPr="0038045B">
        <w:rPr>
          <w:lang w:val="en-US"/>
        </w:rPr>
        <w:t xml:space="preserve">Section V contains the key Conclusions of this report. </w:t>
      </w:r>
    </w:p>
    <w:p w14:paraId="1466ACBD" w14:textId="77777777" w:rsidR="00194157" w:rsidRPr="0038045B" w:rsidRDefault="00194157" w:rsidP="00F35D74">
      <w:pPr>
        <w:pStyle w:val="Body"/>
        <w:numPr>
          <w:ilvl w:val="0"/>
          <w:numId w:val="33"/>
        </w:numPr>
        <w:spacing w:after="120" w:line="276" w:lineRule="auto"/>
        <w:rPr>
          <w:szCs w:val="24"/>
          <w:lang w:val="en-US"/>
        </w:rPr>
      </w:pPr>
      <w:r w:rsidRPr="0038045B">
        <w:rPr>
          <w:lang w:val="en-US"/>
        </w:rPr>
        <w:t xml:space="preserve">The report concludes with a section with bibliographic references and a number of annexes that provide detailed insights on some of the aspects discuss herein. </w:t>
      </w:r>
    </w:p>
    <w:p w14:paraId="41FD9338" w14:textId="77777777" w:rsidR="000A191D" w:rsidRPr="0038045B" w:rsidRDefault="004B3941" w:rsidP="001A09C4">
      <w:pPr>
        <w:pStyle w:val="Body"/>
        <w:spacing w:after="120" w:line="276" w:lineRule="auto"/>
        <w:rPr>
          <w:szCs w:val="24"/>
          <w:lang w:val="en-US"/>
        </w:rPr>
      </w:pPr>
      <w:r w:rsidRPr="0038045B">
        <w:rPr>
          <w:szCs w:val="24"/>
          <w:lang w:val="en-US" w:eastAsia="en-US"/>
        </w:rPr>
        <w:br w:type="page"/>
      </w:r>
    </w:p>
    <w:p w14:paraId="3805ACE7" w14:textId="77777777" w:rsidR="002C2894" w:rsidRPr="0038045B" w:rsidRDefault="00472C24" w:rsidP="00FC1F11">
      <w:pPr>
        <w:pStyle w:val="Heading1"/>
        <w:pageBreakBefore/>
        <w:spacing w:before="120" w:after="240"/>
      </w:pPr>
      <w:bookmarkStart w:id="18" w:name="_Toc476239698"/>
      <w:bookmarkStart w:id="19" w:name="_Toc191803749"/>
      <w:bookmarkStart w:id="20" w:name="_Toc388044575"/>
      <w:r w:rsidRPr="0038045B">
        <w:lastRenderedPageBreak/>
        <w:t>C</w:t>
      </w:r>
      <w:r w:rsidR="002C2894" w:rsidRPr="0038045B">
        <w:t>ONTEXT</w:t>
      </w:r>
      <w:bookmarkEnd w:id="18"/>
    </w:p>
    <w:p w14:paraId="4CC6E06D" w14:textId="77777777" w:rsidR="00E81119" w:rsidRPr="0038045B" w:rsidRDefault="00B41E65" w:rsidP="00E81119">
      <w:pPr>
        <w:pStyle w:val="Heading2"/>
        <w:spacing w:before="360" w:after="240"/>
        <w:rPr>
          <w:b/>
          <w:smallCaps/>
          <w:sz w:val="24"/>
          <w:szCs w:val="24"/>
          <w:u w:val="none"/>
        </w:rPr>
      </w:pPr>
      <w:bookmarkStart w:id="21" w:name="_Toc476239699"/>
      <w:r w:rsidRPr="0038045B">
        <w:rPr>
          <w:b/>
          <w:smallCaps/>
          <w:sz w:val="24"/>
          <w:szCs w:val="24"/>
          <w:u w:val="none"/>
        </w:rPr>
        <w:t>General economic and s</w:t>
      </w:r>
      <w:r w:rsidR="006005B4" w:rsidRPr="0038045B">
        <w:rPr>
          <w:b/>
          <w:smallCaps/>
          <w:sz w:val="24"/>
          <w:szCs w:val="24"/>
          <w:u w:val="none"/>
        </w:rPr>
        <w:t xml:space="preserve">ocio-demographic </w:t>
      </w:r>
      <w:r w:rsidR="00E81119" w:rsidRPr="0038045B">
        <w:rPr>
          <w:b/>
          <w:smallCaps/>
          <w:sz w:val="24"/>
          <w:szCs w:val="24"/>
          <w:u w:val="none"/>
        </w:rPr>
        <w:t>context</w:t>
      </w:r>
      <w:r w:rsidR="006D0902" w:rsidRPr="0038045B">
        <w:rPr>
          <w:rStyle w:val="FootnoteReference"/>
          <w:smallCaps/>
          <w:lang w:eastAsia="en-US"/>
        </w:rPr>
        <w:footnoteReference w:id="9"/>
      </w:r>
      <w:bookmarkEnd w:id="21"/>
    </w:p>
    <w:p w14:paraId="049C8C85" w14:textId="77777777" w:rsidR="006A4D1B" w:rsidRPr="0038045B" w:rsidRDefault="006A4D1B" w:rsidP="00F35D74">
      <w:pPr>
        <w:pStyle w:val="Body"/>
        <w:numPr>
          <w:ilvl w:val="0"/>
          <w:numId w:val="15"/>
        </w:numPr>
        <w:spacing w:after="120" w:line="276" w:lineRule="auto"/>
        <w:ind w:left="0" w:firstLine="0"/>
        <w:rPr>
          <w:lang w:val="en-US"/>
        </w:rPr>
      </w:pPr>
      <w:r w:rsidRPr="0038045B">
        <w:rPr>
          <w:lang w:val="en-US" w:eastAsia="en-US"/>
        </w:rPr>
        <w:t>The economy of Albania grew by 2.</w:t>
      </w:r>
      <w:r w:rsidR="00F35D74" w:rsidRPr="0038045B">
        <w:rPr>
          <w:lang w:val="en-US" w:eastAsia="en-US"/>
        </w:rPr>
        <w:t>8</w:t>
      </w:r>
      <w:r w:rsidRPr="0038045B">
        <w:rPr>
          <w:lang w:val="en-US" w:eastAsia="en-US"/>
        </w:rPr>
        <w:t xml:space="preserve">% during 2015. Over the </w:t>
      </w:r>
      <w:r w:rsidR="00A46FD5" w:rsidRPr="0038045B">
        <w:rPr>
          <w:lang w:val="en-US" w:eastAsia="en-US"/>
        </w:rPr>
        <w:t>period 2011-2015</w:t>
      </w:r>
      <w:r w:rsidRPr="0038045B">
        <w:rPr>
          <w:lang w:val="en-US" w:eastAsia="en-US"/>
        </w:rPr>
        <w:t>, economic grow</w:t>
      </w:r>
      <w:r w:rsidR="00A46FD5" w:rsidRPr="0038045B">
        <w:rPr>
          <w:lang w:val="en-US" w:eastAsia="en-US"/>
        </w:rPr>
        <w:t xml:space="preserve">th has averaged </w:t>
      </w:r>
      <w:r w:rsidR="00F35D74" w:rsidRPr="0038045B">
        <w:rPr>
          <w:lang w:val="en-US" w:eastAsia="en-US"/>
        </w:rPr>
        <w:t>1.9</w:t>
      </w:r>
      <w:r w:rsidRPr="0038045B">
        <w:rPr>
          <w:lang w:val="en-US" w:eastAsia="en-US"/>
        </w:rPr>
        <w:t>%. Inflation h</w:t>
      </w:r>
      <w:r w:rsidR="00F35D74" w:rsidRPr="0038045B">
        <w:rPr>
          <w:lang w:val="en-US" w:eastAsia="en-US"/>
        </w:rPr>
        <w:t>as remained at very low levels –</w:t>
      </w:r>
      <w:r w:rsidR="00F35D74" w:rsidRPr="0038045B">
        <w:rPr>
          <w:lang w:val="en-US"/>
        </w:rPr>
        <w:t xml:space="preserve"> </w:t>
      </w:r>
      <w:r w:rsidR="00F35D74" w:rsidRPr="0038045B">
        <w:rPr>
          <w:lang w:val="en-US" w:eastAsia="en-US"/>
        </w:rPr>
        <w:t>less than 2% per year since 2012</w:t>
      </w:r>
      <w:r w:rsidRPr="0038045B">
        <w:rPr>
          <w:lang w:val="en-US" w:eastAsia="en-US"/>
        </w:rPr>
        <w:t>.</w:t>
      </w:r>
      <w:r w:rsidR="00F35D74" w:rsidRPr="0038045B">
        <w:rPr>
          <w:rStyle w:val="FootnoteReference"/>
          <w:lang w:val="en-US" w:eastAsia="en-US"/>
        </w:rPr>
        <w:footnoteReference w:id="10"/>
      </w:r>
    </w:p>
    <w:p w14:paraId="04C77268" w14:textId="77777777" w:rsidR="00886F35" w:rsidRPr="0038045B" w:rsidRDefault="00E81119" w:rsidP="00A46FD5">
      <w:pPr>
        <w:pStyle w:val="Body"/>
        <w:numPr>
          <w:ilvl w:val="0"/>
          <w:numId w:val="15"/>
        </w:numPr>
        <w:spacing w:after="120" w:line="276" w:lineRule="auto"/>
        <w:ind w:left="0" w:firstLine="0"/>
        <w:rPr>
          <w:rFonts w:ascii="MyriadPro-Regular" w:hAnsi="MyriadPro-Regular" w:cs="MyriadPro-Regular"/>
          <w:color w:val="333333"/>
          <w:sz w:val="20"/>
          <w:lang w:val="en-US" w:eastAsia="en-US"/>
        </w:rPr>
      </w:pPr>
      <w:r w:rsidRPr="0038045B">
        <w:rPr>
          <w:lang w:val="en-US"/>
        </w:rPr>
        <w:t>According</w:t>
      </w:r>
      <w:r w:rsidRPr="0038045B">
        <w:rPr>
          <w:lang w:val="en-US" w:eastAsia="en-US"/>
        </w:rPr>
        <w:t xml:space="preserve"> to the </w:t>
      </w:r>
      <w:r w:rsidR="00A46FD5" w:rsidRPr="0038045B">
        <w:rPr>
          <w:lang w:val="en-US" w:eastAsia="en-US"/>
        </w:rPr>
        <w:t xml:space="preserve">latest official data – </w:t>
      </w:r>
      <w:r w:rsidR="00886F35" w:rsidRPr="0038045B">
        <w:rPr>
          <w:lang w:val="en-US" w:eastAsia="en-US"/>
        </w:rPr>
        <w:t xml:space="preserve">the </w:t>
      </w:r>
      <w:r w:rsidRPr="0038045B">
        <w:rPr>
          <w:lang w:val="en-US" w:eastAsia="en-US"/>
        </w:rPr>
        <w:t xml:space="preserve">2011 Census, </w:t>
      </w:r>
      <w:r w:rsidR="00886F35" w:rsidRPr="0038045B">
        <w:rPr>
          <w:lang w:val="en-US" w:eastAsia="en-US"/>
        </w:rPr>
        <w:t xml:space="preserve">the total number of individuals permanently residing in Albania was 2,821,977. Compared to 2001, the population has declined </w:t>
      </w:r>
      <w:r w:rsidR="00A10315" w:rsidRPr="0038045B">
        <w:rPr>
          <w:lang w:val="en-US" w:eastAsia="en-US"/>
        </w:rPr>
        <w:t>by nearly 8%</w:t>
      </w:r>
      <w:r w:rsidR="00886F35" w:rsidRPr="0038045B">
        <w:rPr>
          <w:lang w:val="en-US" w:eastAsia="en-US"/>
        </w:rPr>
        <w:t xml:space="preserve">. </w:t>
      </w:r>
      <w:r w:rsidR="00A46FD5" w:rsidRPr="0038045B">
        <w:rPr>
          <w:lang w:val="en-US" w:eastAsia="en-US"/>
        </w:rPr>
        <w:t>Over this 10-year period, i</w:t>
      </w:r>
      <w:r w:rsidR="00A10315" w:rsidRPr="0038045B">
        <w:rPr>
          <w:lang w:val="en-US" w:eastAsia="en-US"/>
        </w:rPr>
        <w:t>t is estimated that around half-a-</w:t>
      </w:r>
      <w:r w:rsidR="00886F35" w:rsidRPr="0038045B">
        <w:rPr>
          <w:lang w:val="en-US" w:eastAsia="en-US"/>
        </w:rPr>
        <w:t xml:space="preserve">million </w:t>
      </w:r>
      <w:r w:rsidR="00A10315" w:rsidRPr="0038045B">
        <w:rPr>
          <w:lang w:val="en-US" w:eastAsia="en-US"/>
        </w:rPr>
        <w:t>people</w:t>
      </w:r>
      <w:r w:rsidR="00886F35" w:rsidRPr="0038045B">
        <w:rPr>
          <w:lang w:val="en-US" w:eastAsia="en-US"/>
        </w:rPr>
        <w:t xml:space="preserve"> migrated from Albania</w:t>
      </w:r>
      <w:r w:rsidR="006D0902" w:rsidRPr="0038045B">
        <w:rPr>
          <w:lang w:val="en-US" w:eastAsia="en-US"/>
        </w:rPr>
        <w:t>, while approximately 140,000 returned</w:t>
      </w:r>
      <w:r w:rsidR="00886F35" w:rsidRPr="0038045B">
        <w:rPr>
          <w:lang w:val="en-US" w:eastAsia="en-US"/>
        </w:rPr>
        <w:t xml:space="preserve">. At the same time, </w:t>
      </w:r>
      <w:r w:rsidR="00886F35" w:rsidRPr="0038045B">
        <w:rPr>
          <w:lang w:val="en-US"/>
        </w:rPr>
        <w:t xml:space="preserve">the population living in urban areas exceeded the </w:t>
      </w:r>
      <w:r w:rsidR="00727171" w:rsidRPr="0038045B">
        <w:rPr>
          <w:lang w:val="en-US"/>
        </w:rPr>
        <w:t xml:space="preserve">rural </w:t>
      </w:r>
      <w:r w:rsidR="00886F35" w:rsidRPr="0038045B">
        <w:rPr>
          <w:lang w:val="en-US"/>
        </w:rPr>
        <w:t>population for the first time, evidencing also intense internal migration: the resident population in urban areas was 53.5</w:t>
      </w:r>
      <w:r w:rsidR="00A01E54" w:rsidRPr="0038045B">
        <w:rPr>
          <w:lang w:val="en-US"/>
        </w:rPr>
        <w:t>%</w:t>
      </w:r>
      <w:r w:rsidR="00886F35" w:rsidRPr="0038045B">
        <w:rPr>
          <w:lang w:val="en-US"/>
        </w:rPr>
        <w:t xml:space="preserve"> while 46.5</w:t>
      </w:r>
      <w:r w:rsidR="00A01E54" w:rsidRPr="0038045B">
        <w:rPr>
          <w:lang w:val="en-US"/>
        </w:rPr>
        <w:t>%</w:t>
      </w:r>
      <w:r w:rsidR="00886F35" w:rsidRPr="0038045B">
        <w:rPr>
          <w:lang w:val="en-US"/>
        </w:rPr>
        <w:t xml:space="preserve"> of the population lived in rural areas.</w:t>
      </w:r>
    </w:p>
    <w:p w14:paraId="727CBA13" w14:textId="77777777" w:rsidR="006D0902" w:rsidRPr="0038045B" w:rsidRDefault="006D0902" w:rsidP="006D591E">
      <w:pPr>
        <w:pStyle w:val="Body"/>
        <w:numPr>
          <w:ilvl w:val="0"/>
          <w:numId w:val="15"/>
        </w:numPr>
        <w:spacing w:after="120" w:line="276" w:lineRule="auto"/>
        <w:ind w:left="0" w:firstLine="0"/>
        <w:rPr>
          <w:lang w:val="en-US"/>
        </w:rPr>
      </w:pPr>
      <w:r w:rsidRPr="0038045B">
        <w:rPr>
          <w:lang w:val="en-US"/>
        </w:rPr>
        <w:t>Population is concentrated in the prefecture of Tirana (27</w:t>
      </w:r>
      <w:r w:rsidR="00A01E54" w:rsidRPr="0038045B">
        <w:rPr>
          <w:lang w:val="en-US"/>
        </w:rPr>
        <w:t>%</w:t>
      </w:r>
      <w:r w:rsidRPr="0038045B">
        <w:rPr>
          <w:lang w:val="en-US"/>
        </w:rPr>
        <w:t>), followed by the prefectures of Fier (11</w:t>
      </w:r>
      <w:r w:rsidR="00A01E54" w:rsidRPr="0038045B">
        <w:rPr>
          <w:lang w:val="en-US"/>
        </w:rPr>
        <w:t>%</w:t>
      </w:r>
      <w:r w:rsidRPr="0038045B">
        <w:rPr>
          <w:lang w:val="en-US"/>
        </w:rPr>
        <w:t>), Elbasan (10</w:t>
      </w:r>
      <w:r w:rsidR="00A01E54" w:rsidRPr="0038045B">
        <w:rPr>
          <w:lang w:val="en-US"/>
        </w:rPr>
        <w:t>.</w:t>
      </w:r>
      <w:r w:rsidRPr="0038045B">
        <w:rPr>
          <w:lang w:val="en-US"/>
        </w:rPr>
        <w:t>5</w:t>
      </w:r>
      <w:r w:rsidR="00A01E54" w:rsidRPr="0038045B">
        <w:rPr>
          <w:lang w:val="en-US"/>
        </w:rPr>
        <w:t>%</w:t>
      </w:r>
      <w:r w:rsidRPr="0038045B">
        <w:rPr>
          <w:lang w:val="en-US"/>
        </w:rPr>
        <w:t>), Durrës (9.4</w:t>
      </w:r>
      <w:r w:rsidR="00A01E54" w:rsidRPr="0038045B">
        <w:rPr>
          <w:lang w:val="en-US"/>
        </w:rPr>
        <w:t>%</w:t>
      </w:r>
      <w:r w:rsidRPr="0038045B">
        <w:rPr>
          <w:lang w:val="en-US"/>
        </w:rPr>
        <w:t xml:space="preserve">), </w:t>
      </w:r>
      <w:r w:rsidR="00EA1992" w:rsidRPr="0038045B">
        <w:rPr>
          <w:lang w:val="en-US"/>
        </w:rPr>
        <w:t>Korçë</w:t>
      </w:r>
      <w:r w:rsidRPr="0038045B">
        <w:rPr>
          <w:lang w:val="en-US"/>
        </w:rPr>
        <w:t xml:space="preserve"> (7.8</w:t>
      </w:r>
      <w:r w:rsidR="00A01E54" w:rsidRPr="0038045B">
        <w:rPr>
          <w:lang w:val="en-US"/>
        </w:rPr>
        <w:t>%</w:t>
      </w:r>
      <w:r w:rsidRPr="0038045B">
        <w:rPr>
          <w:lang w:val="en-US"/>
        </w:rPr>
        <w:t>) and Shk</w:t>
      </w:r>
      <w:r w:rsidR="0058515E" w:rsidRPr="0038045B">
        <w:rPr>
          <w:lang w:val="en-US"/>
        </w:rPr>
        <w:t>o</w:t>
      </w:r>
      <w:r w:rsidRPr="0038045B">
        <w:rPr>
          <w:lang w:val="en-US"/>
        </w:rPr>
        <w:t>der (7.7</w:t>
      </w:r>
      <w:r w:rsidR="00A01E54" w:rsidRPr="0038045B">
        <w:rPr>
          <w:lang w:val="en-US"/>
        </w:rPr>
        <w:t>%</w:t>
      </w:r>
      <w:r w:rsidRPr="0038045B">
        <w:rPr>
          <w:lang w:val="en-US"/>
        </w:rPr>
        <w:t xml:space="preserve">), </w:t>
      </w:r>
      <w:r w:rsidR="00727171" w:rsidRPr="0038045B">
        <w:rPr>
          <w:lang w:val="en-US"/>
        </w:rPr>
        <w:t>each of</w:t>
      </w:r>
      <w:r w:rsidRPr="0038045B">
        <w:rPr>
          <w:lang w:val="en-US"/>
        </w:rPr>
        <w:t xml:space="preserve"> them with 200,000 or more inhabitants. </w:t>
      </w:r>
    </w:p>
    <w:p w14:paraId="35FB50E1" w14:textId="77777777" w:rsidR="00B70394" w:rsidRPr="0038045B" w:rsidRDefault="00886F35" w:rsidP="006D591E">
      <w:pPr>
        <w:pStyle w:val="Body"/>
        <w:numPr>
          <w:ilvl w:val="0"/>
          <w:numId w:val="15"/>
        </w:numPr>
        <w:spacing w:after="120" w:line="276" w:lineRule="auto"/>
        <w:ind w:left="0" w:firstLine="0"/>
        <w:rPr>
          <w:lang w:val="en-US"/>
        </w:rPr>
      </w:pPr>
      <w:r w:rsidRPr="0038045B">
        <w:rPr>
          <w:lang w:val="en-US"/>
        </w:rPr>
        <w:t xml:space="preserve">The average age of the </w:t>
      </w:r>
      <w:r w:rsidR="00B41E65" w:rsidRPr="0038045B">
        <w:rPr>
          <w:lang w:val="en-US"/>
        </w:rPr>
        <w:t xml:space="preserve">population residing in </w:t>
      </w:r>
      <w:r w:rsidRPr="0038045B">
        <w:rPr>
          <w:lang w:val="en-US"/>
        </w:rPr>
        <w:t>Albania</w:t>
      </w:r>
      <w:r w:rsidR="00B41E65" w:rsidRPr="0038045B">
        <w:rPr>
          <w:lang w:val="en-US"/>
        </w:rPr>
        <w:t xml:space="preserve"> </w:t>
      </w:r>
      <w:r w:rsidRPr="0038045B">
        <w:rPr>
          <w:lang w:val="en-US"/>
        </w:rPr>
        <w:t xml:space="preserve">increased from 30.6 years in 2001 to 35.3 in 2011. Meanwhile, the proportion of </w:t>
      </w:r>
      <w:r w:rsidR="00B41E65" w:rsidRPr="0038045B">
        <w:rPr>
          <w:lang w:val="en-US"/>
        </w:rPr>
        <w:t xml:space="preserve">the </w:t>
      </w:r>
      <w:r w:rsidRPr="0038045B">
        <w:rPr>
          <w:lang w:val="en-US"/>
        </w:rPr>
        <w:t>population 65 years and o</w:t>
      </w:r>
      <w:r w:rsidR="00B41E65" w:rsidRPr="0038045B">
        <w:rPr>
          <w:lang w:val="en-US"/>
        </w:rPr>
        <w:t>lder</w:t>
      </w:r>
      <w:r w:rsidRPr="0038045B">
        <w:rPr>
          <w:lang w:val="en-US"/>
        </w:rPr>
        <w:t xml:space="preserve"> in the total population increased from 8</w:t>
      </w:r>
      <w:r w:rsidR="00A01E54" w:rsidRPr="0038045B">
        <w:rPr>
          <w:lang w:val="en-US"/>
        </w:rPr>
        <w:t>%</w:t>
      </w:r>
      <w:r w:rsidRPr="0038045B">
        <w:rPr>
          <w:lang w:val="en-US"/>
        </w:rPr>
        <w:t xml:space="preserve"> in 2011 to 11</w:t>
      </w:r>
      <w:r w:rsidR="00A01E54" w:rsidRPr="0038045B">
        <w:rPr>
          <w:lang w:val="en-US"/>
        </w:rPr>
        <w:t>%</w:t>
      </w:r>
      <w:r w:rsidRPr="0038045B">
        <w:rPr>
          <w:lang w:val="en-US"/>
        </w:rPr>
        <w:t xml:space="preserve"> in 2011. </w:t>
      </w:r>
      <w:r w:rsidR="00B70394" w:rsidRPr="0038045B">
        <w:rPr>
          <w:lang w:val="en-US" w:eastAsia="en-US"/>
        </w:rPr>
        <w:t xml:space="preserve">Most of the individuals that have </w:t>
      </w:r>
      <w:r w:rsidR="00B41E65" w:rsidRPr="0038045B">
        <w:rPr>
          <w:lang w:val="en-US" w:eastAsia="en-US"/>
        </w:rPr>
        <w:t>e</w:t>
      </w:r>
      <w:r w:rsidR="00B70394" w:rsidRPr="0038045B">
        <w:rPr>
          <w:lang w:val="en-US" w:eastAsia="en-US"/>
        </w:rPr>
        <w:t>migrated from Albania are in the age range of 20-45.</w:t>
      </w:r>
    </w:p>
    <w:p w14:paraId="055AA9D3" w14:textId="77777777" w:rsidR="00244526" w:rsidRPr="0038045B" w:rsidRDefault="00244526" w:rsidP="006D591E">
      <w:pPr>
        <w:pStyle w:val="Body"/>
        <w:numPr>
          <w:ilvl w:val="0"/>
          <w:numId w:val="15"/>
        </w:numPr>
        <w:spacing w:after="120" w:line="276" w:lineRule="auto"/>
        <w:ind w:left="0" w:firstLine="0"/>
        <w:rPr>
          <w:lang w:val="en-US" w:eastAsia="en-US"/>
        </w:rPr>
      </w:pPr>
      <w:r w:rsidRPr="0038045B">
        <w:rPr>
          <w:lang w:val="en-US" w:eastAsia="en-US"/>
        </w:rPr>
        <w:t>According to the World Bank, there are 1.3 million Albanian migrants living abroad,</w:t>
      </w:r>
      <w:r w:rsidRPr="0038045B">
        <w:rPr>
          <w:vertAlign w:val="superscript"/>
          <w:lang w:val="en-US" w:eastAsia="en-US"/>
        </w:rPr>
        <w:footnoteReference w:id="11"/>
      </w:r>
      <w:r w:rsidRPr="0038045B">
        <w:rPr>
          <w:lang w:val="en-US" w:eastAsia="en-US"/>
        </w:rPr>
        <w:t xml:space="preserve"> which are equiva</w:t>
      </w:r>
      <w:r w:rsidR="008575CF" w:rsidRPr="0038045B">
        <w:rPr>
          <w:lang w:val="en-US" w:eastAsia="en-US"/>
        </w:rPr>
        <w:t>lent to approximately 40%</w:t>
      </w:r>
      <w:r w:rsidRPr="0038045B">
        <w:rPr>
          <w:lang w:val="en-US" w:eastAsia="en-US"/>
        </w:rPr>
        <w:t xml:space="preserve"> of the current population living within the Albanian borders. The </w:t>
      </w:r>
      <w:r w:rsidR="00D429D1" w:rsidRPr="0038045B">
        <w:rPr>
          <w:lang w:val="en-US" w:eastAsia="en-US"/>
        </w:rPr>
        <w:t xml:space="preserve">annual amount </w:t>
      </w:r>
      <w:r w:rsidRPr="0038045B">
        <w:rPr>
          <w:lang w:val="en-US" w:eastAsia="en-US"/>
        </w:rPr>
        <w:t xml:space="preserve">of </w:t>
      </w:r>
      <w:r w:rsidR="00A46FD5" w:rsidRPr="0038045B">
        <w:rPr>
          <w:lang w:val="en-US" w:eastAsia="en-US"/>
        </w:rPr>
        <w:t>remittance</w:t>
      </w:r>
      <w:r w:rsidR="00D429D1" w:rsidRPr="0038045B">
        <w:rPr>
          <w:lang w:val="en-US" w:eastAsia="en-US"/>
        </w:rPr>
        <w:t xml:space="preserve"> flows to Albania is</w:t>
      </w:r>
      <w:r w:rsidRPr="0038045B">
        <w:rPr>
          <w:lang w:val="en-US" w:eastAsia="en-US"/>
        </w:rPr>
        <w:t xml:space="preserve"> estimated </w:t>
      </w:r>
      <w:r w:rsidR="00D429D1" w:rsidRPr="0038045B">
        <w:rPr>
          <w:lang w:val="en-US" w:eastAsia="en-US"/>
        </w:rPr>
        <w:t xml:space="preserve">at </w:t>
      </w:r>
      <w:r w:rsidRPr="0038045B">
        <w:rPr>
          <w:lang w:val="en-US" w:eastAsia="en-US"/>
        </w:rPr>
        <w:t xml:space="preserve">USD </w:t>
      </w:r>
      <w:r w:rsidR="009613E0" w:rsidRPr="0038045B">
        <w:rPr>
          <w:lang w:val="en-US" w:eastAsia="en-US"/>
        </w:rPr>
        <w:t>665.2</w:t>
      </w:r>
      <w:r w:rsidRPr="0038045B">
        <w:rPr>
          <w:lang w:val="en-US" w:eastAsia="en-US"/>
        </w:rPr>
        <w:t xml:space="preserve"> </w:t>
      </w:r>
      <w:r w:rsidR="009613E0" w:rsidRPr="0038045B">
        <w:rPr>
          <w:lang w:val="en-US" w:eastAsia="en-US"/>
        </w:rPr>
        <w:t>million</w:t>
      </w:r>
      <w:r w:rsidRPr="0038045B">
        <w:rPr>
          <w:lang w:val="en-US" w:eastAsia="en-US"/>
        </w:rPr>
        <w:t xml:space="preserve">, </w:t>
      </w:r>
      <w:r w:rsidR="008575CF" w:rsidRPr="0038045B">
        <w:rPr>
          <w:lang w:val="en-US" w:eastAsia="en-US"/>
        </w:rPr>
        <w:t xml:space="preserve">equivalent to nearly </w:t>
      </w:r>
      <w:r w:rsidR="009613E0" w:rsidRPr="0038045B">
        <w:rPr>
          <w:lang w:val="en-US" w:eastAsia="en-US"/>
        </w:rPr>
        <w:t>5</w:t>
      </w:r>
      <w:r w:rsidR="008575CF" w:rsidRPr="0038045B">
        <w:rPr>
          <w:lang w:val="en-US" w:eastAsia="en-US"/>
        </w:rPr>
        <w:t>.</w:t>
      </w:r>
      <w:r w:rsidR="009613E0" w:rsidRPr="0038045B">
        <w:rPr>
          <w:lang w:val="en-US" w:eastAsia="en-US"/>
        </w:rPr>
        <w:t>8</w:t>
      </w:r>
      <w:r w:rsidR="008575CF" w:rsidRPr="0038045B">
        <w:rPr>
          <w:lang w:val="en-US" w:eastAsia="en-US"/>
        </w:rPr>
        <w:t>%</w:t>
      </w:r>
      <w:r w:rsidRPr="0038045B">
        <w:rPr>
          <w:lang w:val="en-US" w:eastAsia="en-US"/>
        </w:rPr>
        <w:t xml:space="preserve"> of the country’s GDP for </w:t>
      </w:r>
      <w:r w:rsidR="009613E0" w:rsidRPr="0038045B">
        <w:rPr>
          <w:lang w:val="en-US" w:eastAsia="en-US"/>
        </w:rPr>
        <w:t>2015</w:t>
      </w:r>
      <w:r w:rsidRPr="0038045B">
        <w:rPr>
          <w:lang w:val="en-US" w:eastAsia="en-US"/>
        </w:rPr>
        <w:t>.</w:t>
      </w:r>
      <w:r w:rsidRPr="0038045B">
        <w:rPr>
          <w:vertAlign w:val="superscript"/>
          <w:lang w:val="en-US" w:eastAsia="en-US"/>
        </w:rPr>
        <w:footnoteReference w:id="12"/>
      </w:r>
      <w:r w:rsidRPr="0038045B">
        <w:rPr>
          <w:lang w:val="en-US" w:eastAsia="en-US"/>
        </w:rPr>
        <w:t xml:space="preserve"> Until a few years ago, the majority of Albanian migrants lived in the neighboring countries of Greece and Italy. At present, </w:t>
      </w:r>
      <w:r w:rsidR="00A46FD5" w:rsidRPr="0038045B">
        <w:rPr>
          <w:lang w:val="en-US" w:eastAsia="en-US"/>
        </w:rPr>
        <w:t>Albanian migrants are more dispersed</w:t>
      </w:r>
      <w:r w:rsidRPr="0038045B">
        <w:rPr>
          <w:lang w:val="en-US" w:eastAsia="en-US"/>
        </w:rPr>
        <w:t xml:space="preserve"> across Europe, North America, and Australia, with </w:t>
      </w:r>
      <w:r w:rsidR="00A46FD5" w:rsidRPr="0038045B">
        <w:rPr>
          <w:lang w:val="en-US" w:eastAsia="en-US"/>
        </w:rPr>
        <w:t>larger</w:t>
      </w:r>
      <w:r w:rsidRPr="0038045B">
        <w:rPr>
          <w:lang w:val="en-US" w:eastAsia="en-US"/>
        </w:rPr>
        <w:t xml:space="preserve"> communities in Germany, the U</w:t>
      </w:r>
      <w:r w:rsidR="00727171" w:rsidRPr="0038045B">
        <w:rPr>
          <w:lang w:val="en-US" w:eastAsia="en-US"/>
        </w:rPr>
        <w:t>nited</w:t>
      </w:r>
      <w:r w:rsidR="00BF4224" w:rsidRPr="0038045B">
        <w:rPr>
          <w:lang w:val="en-US" w:eastAsia="en-US"/>
        </w:rPr>
        <w:t xml:space="preserve"> </w:t>
      </w:r>
      <w:r w:rsidRPr="0038045B">
        <w:rPr>
          <w:lang w:val="en-US" w:eastAsia="en-US"/>
        </w:rPr>
        <w:t>K</w:t>
      </w:r>
      <w:r w:rsidR="00727171" w:rsidRPr="0038045B">
        <w:rPr>
          <w:lang w:val="en-US" w:eastAsia="en-US"/>
        </w:rPr>
        <w:t>ingdom</w:t>
      </w:r>
      <w:r w:rsidRPr="0038045B">
        <w:rPr>
          <w:lang w:val="en-US" w:eastAsia="en-US"/>
        </w:rPr>
        <w:t xml:space="preserve"> and the United States. </w:t>
      </w:r>
    </w:p>
    <w:p w14:paraId="0231AE37" w14:textId="77777777" w:rsidR="00886F35" w:rsidRPr="0038045B" w:rsidRDefault="00B70394" w:rsidP="006D591E">
      <w:pPr>
        <w:pStyle w:val="Body"/>
        <w:numPr>
          <w:ilvl w:val="0"/>
          <w:numId w:val="15"/>
        </w:numPr>
        <w:spacing w:after="120" w:line="276" w:lineRule="auto"/>
        <w:ind w:left="0" w:firstLine="0"/>
        <w:rPr>
          <w:lang w:val="en-US"/>
        </w:rPr>
      </w:pPr>
      <w:r w:rsidRPr="0038045B">
        <w:rPr>
          <w:lang w:val="en-US"/>
        </w:rPr>
        <w:t xml:space="preserve">The general </w:t>
      </w:r>
      <w:r w:rsidR="00886F35" w:rsidRPr="0038045B">
        <w:rPr>
          <w:lang w:val="en-US"/>
        </w:rPr>
        <w:t>illiteracy</w:t>
      </w:r>
      <w:r w:rsidRPr="0038045B">
        <w:rPr>
          <w:lang w:val="en-US"/>
        </w:rPr>
        <w:t xml:space="preserve"> ra</w:t>
      </w:r>
      <w:r w:rsidR="00886F35" w:rsidRPr="0038045B">
        <w:rPr>
          <w:lang w:val="en-US"/>
        </w:rPr>
        <w:t xml:space="preserve">te for the population </w:t>
      </w:r>
      <w:r w:rsidR="00A46FD5" w:rsidRPr="0038045B">
        <w:rPr>
          <w:lang w:val="en-US"/>
        </w:rPr>
        <w:t xml:space="preserve">of </w:t>
      </w:r>
      <w:r w:rsidR="00886F35" w:rsidRPr="0038045B">
        <w:rPr>
          <w:lang w:val="en-US"/>
        </w:rPr>
        <w:t xml:space="preserve">10 years and </w:t>
      </w:r>
      <w:r w:rsidR="00A01E54" w:rsidRPr="0038045B">
        <w:rPr>
          <w:lang w:val="en-US"/>
        </w:rPr>
        <w:t>above</w:t>
      </w:r>
      <w:r w:rsidR="00886F35" w:rsidRPr="0038045B">
        <w:rPr>
          <w:lang w:val="en-US"/>
        </w:rPr>
        <w:t xml:space="preserve"> is 2.8</w:t>
      </w:r>
      <w:r w:rsidR="00A01E54" w:rsidRPr="0038045B">
        <w:rPr>
          <w:lang w:val="en-US"/>
        </w:rPr>
        <w:t>%</w:t>
      </w:r>
      <w:r w:rsidR="00886F35" w:rsidRPr="0038045B">
        <w:rPr>
          <w:lang w:val="en-US"/>
        </w:rPr>
        <w:t xml:space="preserve">. </w:t>
      </w:r>
      <w:r w:rsidR="00D429D1" w:rsidRPr="0038045B">
        <w:rPr>
          <w:lang w:val="en-US"/>
        </w:rPr>
        <w:t xml:space="preserve">Adults aged </w:t>
      </w:r>
      <w:r w:rsidR="00886F35" w:rsidRPr="0038045B">
        <w:rPr>
          <w:lang w:val="en-US"/>
        </w:rPr>
        <w:t>75 years and o</w:t>
      </w:r>
      <w:r w:rsidRPr="0038045B">
        <w:rPr>
          <w:lang w:val="en-US"/>
        </w:rPr>
        <w:t>lder</w:t>
      </w:r>
      <w:r w:rsidR="00886F35" w:rsidRPr="0038045B">
        <w:rPr>
          <w:lang w:val="en-US"/>
        </w:rPr>
        <w:t xml:space="preserve"> constitute about 50</w:t>
      </w:r>
      <w:r w:rsidR="00A01E54" w:rsidRPr="0038045B">
        <w:rPr>
          <w:lang w:val="en-US"/>
        </w:rPr>
        <w:t>%</w:t>
      </w:r>
      <w:r w:rsidRPr="0038045B">
        <w:rPr>
          <w:lang w:val="en-US"/>
        </w:rPr>
        <w:t xml:space="preserve"> </w:t>
      </w:r>
      <w:r w:rsidR="00886F35" w:rsidRPr="0038045B">
        <w:rPr>
          <w:lang w:val="en-US"/>
        </w:rPr>
        <w:t>of the total illiterate people</w:t>
      </w:r>
      <w:r w:rsidR="00D429D1" w:rsidRPr="0038045B">
        <w:rPr>
          <w:lang w:val="en-US"/>
        </w:rPr>
        <w:t xml:space="preserve"> in Albania</w:t>
      </w:r>
      <w:r w:rsidRPr="0038045B">
        <w:rPr>
          <w:lang w:val="en-US"/>
        </w:rPr>
        <w:t xml:space="preserve">. </w:t>
      </w:r>
      <w:r w:rsidR="00886F35" w:rsidRPr="0038045B">
        <w:rPr>
          <w:lang w:val="en-US"/>
        </w:rPr>
        <w:t>The percentage of illiterates is higher in</w:t>
      </w:r>
      <w:r w:rsidRPr="0038045B">
        <w:rPr>
          <w:lang w:val="en-US"/>
        </w:rPr>
        <w:t xml:space="preserve"> </w:t>
      </w:r>
      <w:r w:rsidR="00886F35" w:rsidRPr="0038045B">
        <w:rPr>
          <w:lang w:val="en-US"/>
        </w:rPr>
        <w:t>women, 3.7</w:t>
      </w:r>
      <w:r w:rsidR="00A01E54" w:rsidRPr="0038045B">
        <w:rPr>
          <w:lang w:val="en-US"/>
        </w:rPr>
        <w:t>%</w:t>
      </w:r>
      <w:r w:rsidR="00886F35" w:rsidRPr="0038045B">
        <w:rPr>
          <w:lang w:val="en-US"/>
        </w:rPr>
        <w:t>, than in m</w:t>
      </w:r>
      <w:r w:rsidRPr="0038045B">
        <w:rPr>
          <w:lang w:val="en-US"/>
        </w:rPr>
        <w:t>en</w:t>
      </w:r>
      <w:r w:rsidR="00886F35" w:rsidRPr="0038045B">
        <w:rPr>
          <w:lang w:val="en-US"/>
        </w:rPr>
        <w:t>, 1.7</w:t>
      </w:r>
      <w:r w:rsidR="00A01E54" w:rsidRPr="0038045B">
        <w:rPr>
          <w:lang w:val="en-US"/>
        </w:rPr>
        <w:t>%</w:t>
      </w:r>
      <w:r w:rsidR="00886F35" w:rsidRPr="0038045B">
        <w:rPr>
          <w:lang w:val="en-US"/>
        </w:rPr>
        <w:t>.</w:t>
      </w:r>
    </w:p>
    <w:p w14:paraId="46F52E0D" w14:textId="77777777" w:rsidR="00484C02" w:rsidRPr="0038045B" w:rsidRDefault="00484C02" w:rsidP="006D591E">
      <w:pPr>
        <w:pStyle w:val="Body"/>
        <w:numPr>
          <w:ilvl w:val="0"/>
          <w:numId w:val="15"/>
        </w:numPr>
        <w:spacing w:after="120" w:line="276" w:lineRule="auto"/>
        <w:ind w:left="0" w:firstLine="0"/>
        <w:rPr>
          <w:lang w:val="en-US"/>
        </w:rPr>
      </w:pPr>
      <w:r w:rsidRPr="0038045B">
        <w:rPr>
          <w:lang w:val="en-US"/>
        </w:rPr>
        <w:t>Population in working age (aged 15 to 64) was estimated at 1</w:t>
      </w:r>
      <w:r w:rsidR="00B94223" w:rsidRPr="0038045B">
        <w:rPr>
          <w:lang w:val="en-US"/>
        </w:rPr>
        <w:t xml:space="preserve">.9 million </w:t>
      </w:r>
      <w:r w:rsidR="00A46FD5" w:rsidRPr="0038045B">
        <w:rPr>
          <w:lang w:val="en-US"/>
        </w:rPr>
        <w:t xml:space="preserve">individuals as </w:t>
      </w:r>
      <w:r w:rsidR="00A46FD5" w:rsidRPr="0038045B">
        <w:rPr>
          <w:lang w:val="en-US"/>
        </w:rPr>
        <w:lastRenderedPageBreak/>
        <w:t>of</w:t>
      </w:r>
      <w:r w:rsidRPr="0038045B">
        <w:rPr>
          <w:lang w:val="en-US"/>
        </w:rPr>
        <w:t xml:space="preserve"> 2011, split evenly between men and women. According to </w:t>
      </w:r>
      <w:r w:rsidR="00D429D1" w:rsidRPr="0038045B">
        <w:rPr>
          <w:lang w:val="en-US"/>
        </w:rPr>
        <w:t xml:space="preserve">INSTAT </w:t>
      </w:r>
      <w:r w:rsidRPr="0038045B">
        <w:rPr>
          <w:lang w:val="en-US"/>
        </w:rPr>
        <w:t xml:space="preserve">Labor Force Surveys, </w:t>
      </w:r>
      <w:r w:rsidR="00A46FD5" w:rsidRPr="0038045B">
        <w:rPr>
          <w:lang w:val="en-US"/>
        </w:rPr>
        <w:t>as of</w:t>
      </w:r>
      <w:r w:rsidRPr="0038045B">
        <w:rPr>
          <w:lang w:val="en-US"/>
        </w:rPr>
        <w:t xml:space="preserve"> 2011 there were </w:t>
      </w:r>
      <w:r w:rsidR="00B94223" w:rsidRPr="0038045B">
        <w:rPr>
          <w:lang w:val="en-US"/>
        </w:rPr>
        <w:t>1.3 million p</w:t>
      </w:r>
      <w:r w:rsidRPr="0038045B">
        <w:rPr>
          <w:lang w:val="en-US"/>
        </w:rPr>
        <w:t xml:space="preserve">ersons in the labor force (i.e. economically active), representing </w:t>
      </w:r>
      <w:r w:rsidR="00B94223" w:rsidRPr="0038045B">
        <w:rPr>
          <w:lang w:val="en-US"/>
        </w:rPr>
        <w:t>68</w:t>
      </w:r>
      <w:r w:rsidRPr="0038045B">
        <w:rPr>
          <w:lang w:val="en-US"/>
        </w:rPr>
        <w:t>.</w:t>
      </w:r>
      <w:r w:rsidR="00B94223" w:rsidRPr="0038045B">
        <w:rPr>
          <w:lang w:val="en-US"/>
        </w:rPr>
        <w:t>5</w:t>
      </w:r>
      <w:r w:rsidR="00A01E54" w:rsidRPr="0038045B">
        <w:rPr>
          <w:lang w:val="en-US"/>
        </w:rPr>
        <w:t>%</w:t>
      </w:r>
      <w:r w:rsidRPr="0038045B">
        <w:rPr>
          <w:lang w:val="en-US"/>
        </w:rPr>
        <w:t xml:space="preserve"> of the working age population. This percentage is higher for men than for women (</w:t>
      </w:r>
      <w:r w:rsidR="00B94223" w:rsidRPr="0038045B">
        <w:rPr>
          <w:lang w:val="en-US"/>
        </w:rPr>
        <w:t>76</w:t>
      </w:r>
      <w:r w:rsidRPr="0038045B">
        <w:rPr>
          <w:lang w:val="en-US"/>
        </w:rPr>
        <w:t>.4</w:t>
      </w:r>
      <w:r w:rsidR="00A01E54" w:rsidRPr="0038045B">
        <w:rPr>
          <w:lang w:val="en-US"/>
        </w:rPr>
        <w:t xml:space="preserve">% </w:t>
      </w:r>
      <w:r w:rsidRPr="0038045B">
        <w:rPr>
          <w:lang w:val="en-US"/>
        </w:rPr>
        <w:t xml:space="preserve">of men in working age versus </w:t>
      </w:r>
      <w:r w:rsidR="00B94223" w:rsidRPr="0038045B">
        <w:rPr>
          <w:lang w:val="en-US"/>
        </w:rPr>
        <w:t>60.8</w:t>
      </w:r>
      <w:r w:rsidR="00A01E54" w:rsidRPr="0038045B">
        <w:rPr>
          <w:lang w:val="en-US"/>
        </w:rPr>
        <w:t xml:space="preserve">% </w:t>
      </w:r>
      <w:r w:rsidRPr="0038045B">
        <w:rPr>
          <w:lang w:val="en-US"/>
        </w:rPr>
        <w:t xml:space="preserve">of women in working age). </w:t>
      </w:r>
      <w:r w:rsidR="00A46FD5" w:rsidRPr="0038045B">
        <w:rPr>
          <w:lang w:val="en-US"/>
        </w:rPr>
        <w:t>In turn, the employment rate</w:t>
      </w:r>
      <w:r w:rsidR="00D95652" w:rsidRPr="0038045B">
        <w:rPr>
          <w:lang w:val="en-US"/>
        </w:rPr>
        <w:t xml:space="preserve"> was estimated at 58.7</w:t>
      </w:r>
      <w:r w:rsidR="00A01E54" w:rsidRPr="0038045B">
        <w:rPr>
          <w:lang w:val="en-US"/>
        </w:rPr>
        <w:t>%</w:t>
      </w:r>
      <w:r w:rsidR="00D95652" w:rsidRPr="0038045B">
        <w:rPr>
          <w:lang w:val="en-US"/>
        </w:rPr>
        <w:t xml:space="preserve"> of the population in working age. The employment rate</w:t>
      </w:r>
      <w:r w:rsidR="00D429D1" w:rsidRPr="0038045B">
        <w:rPr>
          <w:lang w:val="en-US"/>
        </w:rPr>
        <w:t>s</w:t>
      </w:r>
      <w:r w:rsidR="00D95652" w:rsidRPr="0038045B">
        <w:rPr>
          <w:lang w:val="en-US"/>
        </w:rPr>
        <w:t xml:space="preserve"> for men and women in working age were 65.7</w:t>
      </w:r>
      <w:r w:rsidR="00AB4654" w:rsidRPr="0038045B">
        <w:rPr>
          <w:lang w:val="en-US"/>
        </w:rPr>
        <w:t>%</w:t>
      </w:r>
      <w:r w:rsidR="00D95652" w:rsidRPr="0038045B">
        <w:rPr>
          <w:lang w:val="en-US"/>
        </w:rPr>
        <w:t xml:space="preserve"> and 51.8</w:t>
      </w:r>
      <w:r w:rsidR="00A01E54" w:rsidRPr="0038045B">
        <w:rPr>
          <w:lang w:val="en-US"/>
        </w:rPr>
        <w:t>%</w:t>
      </w:r>
      <w:r w:rsidR="00D95652" w:rsidRPr="0038045B">
        <w:rPr>
          <w:lang w:val="en-US"/>
        </w:rPr>
        <w:t>, respectively.</w:t>
      </w:r>
    </w:p>
    <w:p w14:paraId="46F479CC" w14:textId="77777777" w:rsidR="00244526" w:rsidRPr="0038045B" w:rsidRDefault="00AB4654" w:rsidP="006D591E">
      <w:pPr>
        <w:pStyle w:val="Body"/>
        <w:numPr>
          <w:ilvl w:val="0"/>
          <w:numId w:val="15"/>
        </w:numPr>
        <w:spacing w:after="120" w:line="276" w:lineRule="auto"/>
        <w:ind w:left="0" w:firstLine="0"/>
        <w:rPr>
          <w:lang w:val="en-US"/>
        </w:rPr>
      </w:pPr>
      <w:r w:rsidRPr="0038045B">
        <w:rPr>
          <w:lang w:val="en-US"/>
        </w:rPr>
        <w:t>The m</w:t>
      </w:r>
      <w:r w:rsidR="00A01E54" w:rsidRPr="0038045B">
        <w:rPr>
          <w:lang w:val="en-US"/>
        </w:rPr>
        <w:t>ain employers in Albania by broad economic sector are</w:t>
      </w:r>
      <w:r w:rsidR="00BF4224" w:rsidRPr="0038045B">
        <w:rPr>
          <w:lang w:val="en-US"/>
        </w:rPr>
        <w:t>:</w:t>
      </w:r>
      <w:r w:rsidR="00A01E54" w:rsidRPr="0038045B">
        <w:rPr>
          <w:lang w:val="en-US"/>
        </w:rPr>
        <w:t xml:space="preserve"> services (49.7%), agriculture (26.1%), industry (12</w:t>
      </w:r>
      <w:r w:rsidR="00D429D1" w:rsidRPr="0038045B">
        <w:rPr>
          <w:lang w:val="en-US"/>
        </w:rPr>
        <w:t>%</w:t>
      </w:r>
      <w:r w:rsidR="00A01E54" w:rsidRPr="0038045B">
        <w:rPr>
          <w:lang w:val="en-US"/>
        </w:rPr>
        <w:t>), construction (8.4%) and others (3.8%).</w:t>
      </w:r>
      <w:r w:rsidR="00244526" w:rsidRPr="0038045B">
        <w:rPr>
          <w:lang w:val="en-US"/>
        </w:rPr>
        <w:t xml:space="preserve"> Alt</w:t>
      </w:r>
      <w:r w:rsidRPr="0038045B">
        <w:rPr>
          <w:lang w:val="en-US"/>
        </w:rPr>
        <w:t>hough there is no official data on</w:t>
      </w:r>
      <w:r w:rsidR="00244526" w:rsidRPr="0038045B">
        <w:rPr>
          <w:lang w:val="en-US"/>
        </w:rPr>
        <w:t xml:space="preserve"> informal employment</w:t>
      </w:r>
      <w:r w:rsidRPr="0038045B">
        <w:rPr>
          <w:lang w:val="en-US"/>
        </w:rPr>
        <w:t>, this</w:t>
      </w:r>
      <w:r w:rsidR="00244526" w:rsidRPr="0038045B">
        <w:rPr>
          <w:lang w:val="en-US"/>
        </w:rPr>
        <w:t xml:space="preserve"> is considered a widespread characteristic of the labor market in Albania. The phenomenon of part-time work is </w:t>
      </w:r>
      <w:r w:rsidRPr="0038045B">
        <w:rPr>
          <w:lang w:val="en-US"/>
        </w:rPr>
        <w:t>common</w:t>
      </w:r>
      <w:r w:rsidR="00244526" w:rsidRPr="0038045B">
        <w:rPr>
          <w:lang w:val="en-US"/>
        </w:rPr>
        <w:t xml:space="preserve"> in the agriculture sector compared to other sectors of the Albanian economy.</w:t>
      </w:r>
    </w:p>
    <w:p w14:paraId="2BF1661F" w14:textId="77777777" w:rsidR="00A01E54" w:rsidRPr="0038045B" w:rsidRDefault="00A01E54" w:rsidP="006D591E">
      <w:pPr>
        <w:pStyle w:val="Body"/>
        <w:numPr>
          <w:ilvl w:val="0"/>
          <w:numId w:val="15"/>
        </w:numPr>
        <w:spacing w:after="120" w:line="276" w:lineRule="auto"/>
        <w:ind w:left="0" w:firstLine="0"/>
        <w:rPr>
          <w:lang w:val="en-US"/>
        </w:rPr>
      </w:pPr>
      <w:r w:rsidRPr="0038045B">
        <w:rPr>
          <w:lang w:val="en-US"/>
        </w:rPr>
        <w:t xml:space="preserve">The Labor Force Survey 2011 showed that the </w:t>
      </w:r>
      <w:r w:rsidRPr="0038045B">
        <w:rPr>
          <w:i/>
          <w:lang w:val="en-US"/>
        </w:rPr>
        <w:t>net</w:t>
      </w:r>
      <w:r w:rsidRPr="0038045B">
        <w:rPr>
          <w:lang w:val="en-US"/>
        </w:rPr>
        <w:t xml:space="preserve"> average monthly wage for an employee was ALL 31,431 (</w:t>
      </w:r>
      <w:r w:rsidR="006D591E" w:rsidRPr="0038045B">
        <w:rPr>
          <w:lang w:val="en-US"/>
        </w:rPr>
        <w:t>USD</w:t>
      </w:r>
      <w:r w:rsidRPr="0038045B">
        <w:rPr>
          <w:lang w:val="en-US"/>
        </w:rPr>
        <w:t xml:space="preserve"> 2</w:t>
      </w:r>
      <w:r w:rsidR="006D591E" w:rsidRPr="0038045B">
        <w:rPr>
          <w:lang w:val="en-US"/>
        </w:rPr>
        <w:t>6</w:t>
      </w:r>
      <w:r w:rsidR="00D429D1" w:rsidRPr="0038045B">
        <w:rPr>
          <w:lang w:val="en-US"/>
        </w:rPr>
        <w:t>0</w:t>
      </w:r>
      <w:r w:rsidRPr="0038045B">
        <w:rPr>
          <w:lang w:val="en-US"/>
        </w:rPr>
        <w:t xml:space="preserve"> </w:t>
      </w:r>
      <w:r w:rsidR="00035EEF" w:rsidRPr="0038045B">
        <w:rPr>
          <w:lang w:val="en-US"/>
        </w:rPr>
        <w:t xml:space="preserve">based on </w:t>
      </w:r>
      <w:r w:rsidRPr="0038045B">
        <w:rPr>
          <w:lang w:val="en-US"/>
        </w:rPr>
        <w:t xml:space="preserve">September 2016 exchange rate). The net average monthly wage is about 15% lower for a female employee than </w:t>
      </w:r>
      <w:r w:rsidR="00CE2893" w:rsidRPr="0038045B">
        <w:rPr>
          <w:lang w:val="en-US"/>
        </w:rPr>
        <w:t xml:space="preserve">for </w:t>
      </w:r>
      <w:r w:rsidR="00375F2A" w:rsidRPr="0038045B">
        <w:rPr>
          <w:lang w:val="en-US"/>
        </w:rPr>
        <w:t>a male employee</w:t>
      </w:r>
      <w:r w:rsidRPr="0038045B">
        <w:rPr>
          <w:lang w:val="en-US"/>
        </w:rPr>
        <w:t>.</w:t>
      </w:r>
    </w:p>
    <w:p w14:paraId="66E77306" w14:textId="77777777" w:rsidR="006A4D1B" w:rsidRPr="0038045B" w:rsidRDefault="006A4D1B" w:rsidP="006D591E">
      <w:pPr>
        <w:pStyle w:val="Body"/>
        <w:numPr>
          <w:ilvl w:val="0"/>
          <w:numId w:val="15"/>
        </w:numPr>
        <w:spacing w:after="120" w:line="276" w:lineRule="auto"/>
        <w:ind w:left="0" w:firstLine="0"/>
        <w:rPr>
          <w:lang w:val="en-US"/>
        </w:rPr>
      </w:pPr>
      <w:r w:rsidRPr="0038045B">
        <w:rPr>
          <w:lang w:val="en-US"/>
        </w:rPr>
        <w:t xml:space="preserve">According to </w:t>
      </w:r>
      <w:r w:rsidR="00A465A5" w:rsidRPr="0038045B">
        <w:rPr>
          <w:lang w:val="en-US"/>
        </w:rPr>
        <w:t xml:space="preserve">INSTAT’s </w:t>
      </w:r>
      <w:r w:rsidR="00170391" w:rsidRPr="0038045B">
        <w:rPr>
          <w:lang w:val="en-US"/>
        </w:rPr>
        <w:t xml:space="preserve">Household </w:t>
      </w:r>
      <w:r w:rsidR="00CF25F8" w:rsidRPr="0038045B">
        <w:rPr>
          <w:lang w:val="en-US"/>
        </w:rPr>
        <w:t>Budget</w:t>
      </w:r>
      <w:r w:rsidR="00170391" w:rsidRPr="0038045B">
        <w:rPr>
          <w:lang w:val="en-US"/>
        </w:rPr>
        <w:t xml:space="preserve"> Survey </w:t>
      </w:r>
      <w:r w:rsidRPr="0038045B">
        <w:rPr>
          <w:lang w:val="en-US"/>
        </w:rPr>
        <w:t>of 201</w:t>
      </w:r>
      <w:r w:rsidR="00170391" w:rsidRPr="0038045B">
        <w:rPr>
          <w:lang w:val="en-US"/>
        </w:rPr>
        <w:t>4</w:t>
      </w:r>
      <w:r w:rsidRPr="0038045B">
        <w:rPr>
          <w:lang w:val="en-US"/>
        </w:rPr>
        <w:t xml:space="preserve">, </w:t>
      </w:r>
      <w:r w:rsidR="003F4308" w:rsidRPr="0038045B">
        <w:rPr>
          <w:lang w:val="en-US"/>
        </w:rPr>
        <w:t>which provide</w:t>
      </w:r>
      <w:r w:rsidR="00170391" w:rsidRPr="0038045B">
        <w:rPr>
          <w:lang w:val="en-US"/>
        </w:rPr>
        <w:t>s</w:t>
      </w:r>
      <w:r w:rsidR="003F4308" w:rsidRPr="0038045B">
        <w:rPr>
          <w:lang w:val="en-US"/>
        </w:rPr>
        <w:t xml:space="preserve"> relevant data to identify potential use cases for non-cash payment instruments, </w:t>
      </w:r>
      <w:r w:rsidR="00A465A5" w:rsidRPr="0038045B">
        <w:rPr>
          <w:lang w:val="en-US"/>
        </w:rPr>
        <w:t xml:space="preserve">approximately </w:t>
      </w:r>
      <w:r w:rsidR="00170391" w:rsidRPr="0038045B">
        <w:rPr>
          <w:lang w:val="en-US"/>
        </w:rPr>
        <w:t>48</w:t>
      </w:r>
      <w:r w:rsidR="00A465A5" w:rsidRPr="0038045B">
        <w:rPr>
          <w:lang w:val="en-US"/>
        </w:rPr>
        <w:t xml:space="preserve">% of household consumption expenditure in Albania went to food </w:t>
      </w:r>
      <w:r w:rsidR="00170391" w:rsidRPr="0038045B">
        <w:rPr>
          <w:lang w:val="en-US"/>
        </w:rPr>
        <w:t xml:space="preserve">and related </w:t>
      </w:r>
      <w:r w:rsidR="00A465A5" w:rsidRPr="0038045B">
        <w:rPr>
          <w:lang w:val="en-US"/>
        </w:rPr>
        <w:t>items</w:t>
      </w:r>
      <w:r w:rsidR="00170391" w:rsidRPr="0038045B">
        <w:rPr>
          <w:lang w:val="en-US"/>
        </w:rPr>
        <w:t xml:space="preserve"> (including alcoholic beverages and tobacco), 10.2</w:t>
      </w:r>
      <w:r w:rsidR="00A465A5" w:rsidRPr="0038045B">
        <w:rPr>
          <w:lang w:val="en-US"/>
        </w:rPr>
        <w:t xml:space="preserve">% to utilities, </w:t>
      </w:r>
      <w:r w:rsidR="00170391" w:rsidRPr="0038045B">
        <w:rPr>
          <w:lang w:val="en-US"/>
        </w:rPr>
        <w:t>6.8% to transportation, 6.3% to recreation (including hotels and restaurants), 5.4% to durables and home maintenance, 5.1% to clothing, 4.8% to health, 4.2</w:t>
      </w:r>
      <w:r w:rsidR="00A465A5" w:rsidRPr="0038045B">
        <w:rPr>
          <w:lang w:val="en-US"/>
        </w:rPr>
        <w:t xml:space="preserve">% to education, </w:t>
      </w:r>
      <w:r w:rsidR="00170391" w:rsidRPr="0038045B">
        <w:rPr>
          <w:lang w:val="en-US"/>
        </w:rPr>
        <w:t>3.3% to communications</w:t>
      </w:r>
      <w:r w:rsidR="00CF25F8" w:rsidRPr="0038045B">
        <w:rPr>
          <w:lang w:val="en-US"/>
        </w:rPr>
        <w:t>,</w:t>
      </w:r>
      <w:r w:rsidR="00170391" w:rsidRPr="0038045B">
        <w:rPr>
          <w:lang w:val="en-US"/>
        </w:rPr>
        <w:t xml:space="preserve"> </w:t>
      </w:r>
      <w:r w:rsidR="00A465A5" w:rsidRPr="0038045B">
        <w:rPr>
          <w:lang w:val="en-US"/>
        </w:rPr>
        <w:t xml:space="preserve">and </w:t>
      </w:r>
      <w:r w:rsidR="00170391" w:rsidRPr="0038045B">
        <w:rPr>
          <w:lang w:val="en-US"/>
        </w:rPr>
        <w:t xml:space="preserve">6.0% to </w:t>
      </w:r>
      <w:r w:rsidR="00CF25F8" w:rsidRPr="0038045B">
        <w:rPr>
          <w:lang w:val="en-US"/>
        </w:rPr>
        <w:t>“others”</w:t>
      </w:r>
      <w:r w:rsidR="00A465A5" w:rsidRPr="0038045B">
        <w:rPr>
          <w:lang w:val="en-US"/>
        </w:rPr>
        <w:t>.</w:t>
      </w:r>
      <w:r w:rsidR="003D0792" w:rsidRPr="0038045B">
        <w:rPr>
          <w:lang w:val="en-US"/>
        </w:rPr>
        <w:t xml:space="preserve"> When it comes to the frequency of spending, the majority of individuals</w:t>
      </w:r>
      <w:r w:rsidR="00CF25F8" w:rsidRPr="0038045B">
        <w:rPr>
          <w:lang w:val="en-US"/>
        </w:rPr>
        <w:t>/households</w:t>
      </w:r>
      <w:r w:rsidR="003D0792" w:rsidRPr="0038045B">
        <w:rPr>
          <w:lang w:val="en-US"/>
        </w:rPr>
        <w:t xml:space="preserve"> in Albania buy food </w:t>
      </w:r>
      <w:r w:rsidR="00170391" w:rsidRPr="0038045B">
        <w:rPr>
          <w:lang w:val="en-US"/>
        </w:rPr>
        <w:t xml:space="preserve">and related </w:t>
      </w:r>
      <w:r w:rsidR="003D0792" w:rsidRPr="0038045B">
        <w:rPr>
          <w:lang w:val="en-US"/>
        </w:rPr>
        <w:t xml:space="preserve">items at least on a weekly basis. </w:t>
      </w:r>
      <w:r w:rsidR="00780F1D" w:rsidRPr="0038045B">
        <w:rPr>
          <w:lang w:val="en-US"/>
        </w:rPr>
        <w:t xml:space="preserve">Transportation is also paid for </w:t>
      </w:r>
      <w:r w:rsidR="00035EEF" w:rsidRPr="0038045B">
        <w:rPr>
          <w:lang w:val="en-US"/>
        </w:rPr>
        <w:t>at least weekly</w:t>
      </w:r>
      <w:r w:rsidR="003D0792" w:rsidRPr="0038045B">
        <w:rPr>
          <w:lang w:val="en-US"/>
        </w:rPr>
        <w:t xml:space="preserve">. </w:t>
      </w:r>
      <w:r w:rsidR="00CF25F8" w:rsidRPr="0038045B">
        <w:rPr>
          <w:lang w:val="en-US"/>
        </w:rPr>
        <w:t>In the case of u</w:t>
      </w:r>
      <w:r w:rsidR="003D0792" w:rsidRPr="0038045B">
        <w:rPr>
          <w:lang w:val="en-US"/>
        </w:rPr>
        <w:t>tilities</w:t>
      </w:r>
      <w:r w:rsidR="00CF25F8" w:rsidRPr="0038045B">
        <w:rPr>
          <w:lang w:val="en-US"/>
        </w:rPr>
        <w:t>, communications</w:t>
      </w:r>
      <w:r w:rsidR="003D0792" w:rsidRPr="0038045B">
        <w:rPr>
          <w:lang w:val="en-US"/>
        </w:rPr>
        <w:t xml:space="preserve"> and education expenses</w:t>
      </w:r>
      <w:r w:rsidR="00CF25F8" w:rsidRPr="0038045B">
        <w:rPr>
          <w:lang w:val="en-US"/>
        </w:rPr>
        <w:t xml:space="preserve">, the most frequent disbursement for these items occurs on </w:t>
      </w:r>
      <w:r w:rsidR="003D0792" w:rsidRPr="0038045B">
        <w:rPr>
          <w:lang w:val="en-US"/>
        </w:rPr>
        <w:t xml:space="preserve">a monthly basis. </w:t>
      </w:r>
    </w:p>
    <w:p w14:paraId="58349D1F" w14:textId="77777777" w:rsidR="004F6B15" w:rsidRPr="0038045B" w:rsidRDefault="004F6B15" w:rsidP="004F6B15">
      <w:pPr>
        <w:pStyle w:val="Heading2"/>
        <w:spacing w:before="360" w:after="240"/>
        <w:rPr>
          <w:b/>
          <w:smallCaps/>
          <w:sz w:val="24"/>
          <w:szCs w:val="24"/>
          <w:u w:val="none"/>
        </w:rPr>
      </w:pPr>
      <w:bookmarkStart w:id="22" w:name="_Toc476239700"/>
      <w:r w:rsidRPr="0038045B">
        <w:rPr>
          <w:b/>
          <w:smallCaps/>
          <w:sz w:val="24"/>
          <w:szCs w:val="24"/>
          <w:u w:val="none"/>
        </w:rPr>
        <w:t>Financial sector overview</w:t>
      </w:r>
      <w:bookmarkEnd w:id="22"/>
      <w:r w:rsidRPr="0038045B">
        <w:rPr>
          <w:b/>
          <w:smallCaps/>
          <w:sz w:val="24"/>
          <w:szCs w:val="24"/>
          <w:u w:val="none"/>
        </w:rPr>
        <w:t xml:space="preserve"> </w:t>
      </w:r>
    </w:p>
    <w:p w14:paraId="757C9656" w14:textId="77777777" w:rsidR="007F79FE" w:rsidRPr="0038045B" w:rsidRDefault="003D4015" w:rsidP="00035EEF">
      <w:pPr>
        <w:pStyle w:val="Body"/>
        <w:numPr>
          <w:ilvl w:val="0"/>
          <w:numId w:val="15"/>
        </w:numPr>
        <w:spacing w:after="120" w:line="276" w:lineRule="auto"/>
        <w:ind w:left="0" w:firstLine="0"/>
        <w:rPr>
          <w:lang w:val="en-US"/>
        </w:rPr>
      </w:pPr>
      <w:r w:rsidRPr="0038045B">
        <w:rPr>
          <w:lang w:val="en-US"/>
        </w:rPr>
        <w:t xml:space="preserve">According to the BoA’s </w:t>
      </w:r>
      <w:r w:rsidR="00035EEF" w:rsidRPr="0038045B">
        <w:rPr>
          <w:lang w:val="en-US"/>
        </w:rPr>
        <w:t>201</w:t>
      </w:r>
      <w:r w:rsidR="00F65662" w:rsidRPr="0038045B">
        <w:rPr>
          <w:lang w:val="en-US"/>
        </w:rPr>
        <w:t>6 H1</w:t>
      </w:r>
      <w:r w:rsidR="00035EEF" w:rsidRPr="0038045B">
        <w:rPr>
          <w:lang w:val="en-US"/>
        </w:rPr>
        <w:t xml:space="preserve"> </w:t>
      </w:r>
      <w:r w:rsidRPr="0038045B">
        <w:rPr>
          <w:lang w:val="en-US"/>
        </w:rPr>
        <w:t>Fin</w:t>
      </w:r>
      <w:r w:rsidR="00035EEF" w:rsidRPr="0038045B">
        <w:rPr>
          <w:lang w:val="en-US"/>
        </w:rPr>
        <w:t>ancial Stability Report</w:t>
      </w:r>
      <w:r w:rsidRPr="0038045B">
        <w:rPr>
          <w:lang w:val="en-US"/>
        </w:rPr>
        <w:t>, finan</w:t>
      </w:r>
      <w:r w:rsidR="00035EEF" w:rsidRPr="0038045B">
        <w:rPr>
          <w:lang w:val="en-US"/>
        </w:rPr>
        <w:t xml:space="preserve">cial intermediation in Albania – </w:t>
      </w:r>
      <w:r w:rsidRPr="0038045B">
        <w:rPr>
          <w:lang w:val="en-US"/>
        </w:rPr>
        <w:t>estimated as the ratio of the system assets to Gross Domestic Product (GDP)</w:t>
      </w:r>
      <w:r w:rsidR="00035EEF" w:rsidRPr="0038045B">
        <w:rPr>
          <w:lang w:val="en-US"/>
        </w:rPr>
        <w:t xml:space="preserve"> –</w:t>
      </w:r>
      <w:r w:rsidR="00F65662" w:rsidRPr="0038045B">
        <w:rPr>
          <w:lang w:val="en-US"/>
        </w:rPr>
        <w:t xml:space="preserve"> was 100.7</w:t>
      </w:r>
      <w:r w:rsidRPr="0038045B">
        <w:rPr>
          <w:lang w:val="en-US"/>
        </w:rPr>
        <w:t xml:space="preserve">%. The financial sector is dominated by commercial banks </w:t>
      </w:r>
      <w:r w:rsidR="00035EEF" w:rsidRPr="0038045B">
        <w:rPr>
          <w:lang w:val="en-US"/>
        </w:rPr>
        <w:t>accounting</w:t>
      </w:r>
      <w:r w:rsidRPr="0038045B">
        <w:rPr>
          <w:lang w:val="en-US"/>
        </w:rPr>
        <w:t xml:space="preserve"> for 90</w:t>
      </w:r>
      <w:r w:rsidR="00F65662" w:rsidRPr="0038045B">
        <w:rPr>
          <w:lang w:val="en-US"/>
        </w:rPr>
        <w:t>.8</w:t>
      </w:r>
      <w:r w:rsidRPr="0038045B">
        <w:rPr>
          <w:lang w:val="en-US"/>
        </w:rPr>
        <w:t xml:space="preserve">% of total system assets. </w:t>
      </w:r>
      <w:r w:rsidR="007F79FE" w:rsidRPr="0038045B">
        <w:rPr>
          <w:lang w:val="en-US"/>
        </w:rPr>
        <w:t>Comme</w:t>
      </w:r>
      <w:r w:rsidR="00035EEF" w:rsidRPr="0038045B">
        <w:rPr>
          <w:lang w:val="en-US"/>
        </w:rPr>
        <w:t>rcial banks are licensed and</w:t>
      </w:r>
      <w:r w:rsidR="007F79FE" w:rsidRPr="0038045B">
        <w:rPr>
          <w:lang w:val="en-US"/>
        </w:rPr>
        <w:t xml:space="preserve"> supervised by the BoA. There are currently 16 licensed banks in the country. </w:t>
      </w:r>
    </w:p>
    <w:p w14:paraId="47A0468C" w14:textId="77777777" w:rsidR="003D4015" w:rsidRPr="0038045B" w:rsidRDefault="007F79FE" w:rsidP="00C80F30">
      <w:pPr>
        <w:pStyle w:val="Body"/>
        <w:numPr>
          <w:ilvl w:val="0"/>
          <w:numId w:val="15"/>
        </w:numPr>
        <w:spacing w:after="120" w:line="276" w:lineRule="auto"/>
        <w:ind w:left="0" w:firstLine="0"/>
        <w:rPr>
          <w:lang w:val="en-US"/>
        </w:rPr>
      </w:pPr>
      <w:r w:rsidRPr="0038045B">
        <w:rPr>
          <w:lang w:val="en-US"/>
        </w:rPr>
        <w:t>BoA also licenses and supervises non-bank financial institutions (NBFIs)</w:t>
      </w:r>
      <w:r w:rsidR="006559D5" w:rsidRPr="0038045B">
        <w:rPr>
          <w:lang w:val="en-US"/>
        </w:rPr>
        <w:t xml:space="preserve"> and</w:t>
      </w:r>
      <w:r w:rsidR="005F38F7" w:rsidRPr="0038045B">
        <w:rPr>
          <w:lang w:val="en-US"/>
        </w:rPr>
        <w:t xml:space="preserve"> </w:t>
      </w:r>
      <w:r w:rsidRPr="0038045B">
        <w:rPr>
          <w:lang w:val="en-US"/>
        </w:rPr>
        <w:t xml:space="preserve">savings and </w:t>
      </w:r>
      <w:r w:rsidR="005F38F7" w:rsidRPr="0038045B">
        <w:rPr>
          <w:lang w:val="en-US"/>
        </w:rPr>
        <w:t xml:space="preserve">credit </w:t>
      </w:r>
      <w:r w:rsidRPr="0038045B">
        <w:rPr>
          <w:lang w:val="en-US"/>
        </w:rPr>
        <w:t xml:space="preserve">associations </w:t>
      </w:r>
      <w:r w:rsidR="005F38F7" w:rsidRPr="0038045B">
        <w:rPr>
          <w:lang w:val="en-US"/>
        </w:rPr>
        <w:t>(</w:t>
      </w:r>
      <w:r w:rsidR="006559D5" w:rsidRPr="0038045B">
        <w:rPr>
          <w:lang w:val="en-US"/>
        </w:rPr>
        <w:t>S</w:t>
      </w:r>
      <w:r w:rsidR="005F38F7" w:rsidRPr="0038045B">
        <w:rPr>
          <w:lang w:val="en-US"/>
        </w:rPr>
        <w:t>C</w:t>
      </w:r>
      <w:r w:rsidR="006559D5" w:rsidRPr="0038045B">
        <w:rPr>
          <w:lang w:val="en-US"/>
        </w:rPr>
        <w:t>A</w:t>
      </w:r>
      <w:r w:rsidR="005F38F7" w:rsidRPr="0038045B">
        <w:rPr>
          <w:lang w:val="en-US"/>
        </w:rPr>
        <w:t xml:space="preserve">s) </w:t>
      </w:r>
      <w:r w:rsidRPr="0038045B">
        <w:rPr>
          <w:lang w:val="en-US"/>
        </w:rPr>
        <w:t xml:space="preserve">and their unions. </w:t>
      </w:r>
      <w:r w:rsidR="00F9775D" w:rsidRPr="0038045B">
        <w:rPr>
          <w:lang w:val="en-US"/>
        </w:rPr>
        <w:t>As of October 2016</w:t>
      </w:r>
      <w:r w:rsidRPr="0038045B">
        <w:rPr>
          <w:lang w:val="en-US"/>
        </w:rPr>
        <w:t xml:space="preserve">, there </w:t>
      </w:r>
      <w:r w:rsidR="00F9775D" w:rsidRPr="0038045B">
        <w:rPr>
          <w:lang w:val="en-US"/>
        </w:rPr>
        <w:t xml:space="preserve">were </w:t>
      </w:r>
      <w:r w:rsidRPr="0038045B">
        <w:rPr>
          <w:lang w:val="en-US"/>
        </w:rPr>
        <w:t xml:space="preserve">a total of 29 licensed NBFIs. </w:t>
      </w:r>
      <w:r w:rsidR="00F203BC" w:rsidRPr="0038045B">
        <w:rPr>
          <w:lang w:val="en-US"/>
        </w:rPr>
        <w:t>Altogether, the 29 NBFIs</w:t>
      </w:r>
      <w:r w:rsidR="005012C0" w:rsidRPr="0038045B">
        <w:rPr>
          <w:lang w:val="en-US"/>
        </w:rPr>
        <w:t xml:space="preserve"> plus the </w:t>
      </w:r>
      <w:r w:rsidR="005F38F7" w:rsidRPr="0038045B">
        <w:rPr>
          <w:lang w:val="en-US"/>
        </w:rPr>
        <w:t>SC</w:t>
      </w:r>
      <w:r w:rsidR="006559D5" w:rsidRPr="0038045B">
        <w:rPr>
          <w:lang w:val="en-US"/>
        </w:rPr>
        <w:t>A</w:t>
      </w:r>
      <w:r w:rsidR="005F38F7" w:rsidRPr="0038045B">
        <w:rPr>
          <w:lang w:val="en-US"/>
        </w:rPr>
        <w:t xml:space="preserve">s </w:t>
      </w:r>
      <w:r w:rsidR="00F203BC" w:rsidRPr="0038045B">
        <w:rPr>
          <w:lang w:val="en-US"/>
        </w:rPr>
        <w:t xml:space="preserve">represent nearly 3.4% of total </w:t>
      </w:r>
      <w:r w:rsidR="005012C0" w:rsidRPr="0038045B">
        <w:rPr>
          <w:lang w:val="en-US"/>
        </w:rPr>
        <w:t xml:space="preserve">financial </w:t>
      </w:r>
      <w:r w:rsidR="00F203BC" w:rsidRPr="0038045B">
        <w:rPr>
          <w:lang w:val="en-US"/>
        </w:rPr>
        <w:t xml:space="preserve">system assets. </w:t>
      </w:r>
      <w:r w:rsidR="00984989" w:rsidRPr="0038045B">
        <w:rPr>
          <w:lang w:val="en-US"/>
        </w:rPr>
        <w:t xml:space="preserve">Of the 29 NBFIs, </w:t>
      </w:r>
      <w:r w:rsidR="00F9775D" w:rsidRPr="0038045B">
        <w:rPr>
          <w:lang w:val="en-US"/>
        </w:rPr>
        <w:t xml:space="preserve">nine </w:t>
      </w:r>
      <w:r w:rsidR="00984989" w:rsidRPr="0038045B">
        <w:rPr>
          <w:lang w:val="en-US"/>
        </w:rPr>
        <w:t xml:space="preserve">are licensed to provide payment services: (i) </w:t>
      </w:r>
      <w:r w:rsidR="00F9775D" w:rsidRPr="0038045B">
        <w:rPr>
          <w:lang w:val="en-US"/>
        </w:rPr>
        <w:t xml:space="preserve">five </w:t>
      </w:r>
      <w:r w:rsidR="00984989" w:rsidRPr="0038045B">
        <w:rPr>
          <w:lang w:val="en-US"/>
        </w:rPr>
        <w:t>are involved in the provision of domestic payment se</w:t>
      </w:r>
      <w:r w:rsidR="007F7360" w:rsidRPr="0038045B">
        <w:rPr>
          <w:lang w:val="en-US"/>
        </w:rPr>
        <w:t>rvices (Albania Post, Easy</w:t>
      </w:r>
      <w:r w:rsidR="00984989" w:rsidRPr="0038045B">
        <w:rPr>
          <w:lang w:val="en-US"/>
        </w:rPr>
        <w:t xml:space="preserve">Pay, M-Pay, </w:t>
      </w:r>
      <w:r w:rsidR="00F9775D" w:rsidRPr="0038045B">
        <w:rPr>
          <w:lang w:val="en-US"/>
        </w:rPr>
        <w:t xml:space="preserve">Kastrati </w:t>
      </w:r>
      <w:r w:rsidR="009E2A44" w:rsidRPr="0038045B">
        <w:rPr>
          <w:lang w:val="en-US"/>
        </w:rPr>
        <w:t xml:space="preserve">shpk </w:t>
      </w:r>
      <w:r w:rsidR="00984989" w:rsidRPr="0038045B">
        <w:rPr>
          <w:lang w:val="en-US"/>
        </w:rPr>
        <w:t xml:space="preserve">and Pay &amp; Go); (ii) </w:t>
      </w:r>
      <w:r w:rsidR="007B0023" w:rsidRPr="0038045B">
        <w:rPr>
          <w:lang w:val="en-US"/>
        </w:rPr>
        <w:t>two</w:t>
      </w:r>
      <w:r w:rsidRPr="0038045B">
        <w:rPr>
          <w:lang w:val="en-US"/>
        </w:rPr>
        <w:t xml:space="preserve"> are involved exclusively or almost exclusively </w:t>
      </w:r>
      <w:r w:rsidR="009D2FA2" w:rsidRPr="0038045B">
        <w:rPr>
          <w:lang w:val="en-US"/>
        </w:rPr>
        <w:t>i</w:t>
      </w:r>
      <w:r w:rsidRPr="0038045B">
        <w:rPr>
          <w:lang w:val="en-US"/>
        </w:rPr>
        <w:t>n remittance</w:t>
      </w:r>
      <w:r w:rsidR="009D2FA2" w:rsidRPr="0038045B">
        <w:rPr>
          <w:lang w:val="en-US"/>
        </w:rPr>
        <w:t xml:space="preserve"> transfers</w:t>
      </w:r>
      <w:r w:rsidR="00F203BC" w:rsidRPr="0038045B">
        <w:rPr>
          <w:lang w:val="en-US"/>
        </w:rPr>
        <w:t xml:space="preserve"> </w:t>
      </w:r>
      <w:r w:rsidR="00EA1992" w:rsidRPr="0038045B">
        <w:rPr>
          <w:lang w:val="en-US"/>
        </w:rPr>
        <w:t>(Financial Union Tirana and AK Invest</w:t>
      </w:r>
      <w:r w:rsidR="00035EEF" w:rsidRPr="0038045B">
        <w:rPr>
          <w:lang w:val="en-US"/>
        </w:rPr>
        <w:t xml:space="preserve"> as </w:t>
      </w:r>
      <w:r w:rsidR="009D2FA2" w:rsidRPr="0038045B">
        <w:rPr>
          <w:lang w:val="en-US"/>
        </w:rPr>
        <w:t xml:space="preserve">local agents of Western Union </w:t>
      </w:r>
      <w:r w:rsidR="009D2FA2" w:rsidRPr="0038045B">
        <w:rPr>
          <w:lang w:val="en-US"/>
        </w:rPr>
        <w:lastRenderedPageBreak/>
        <w:t>and Money Gram, respectively</w:t>
      </w:r>
      <w:r w:rsidR="00984989" w:rsidRPr="0038045B">
        <w:rPr>
          <w:lang w:val="en-US"/>
        </w:rPr>
        <w:t xml:space="preserve">); and </w:t>
      </w:r>
      <w:r w:rsidR="007B0023" w:rsidRPr="0038045B">
        <w:rPr>
          <w:lang w:val="en-US"/>
        </w:rPr>
        <w:t>two</w:t>
      </w:r>
      <w:r w:rsidRPr="0038045B">
        <w:rPr>
          <w:lang w:val="en-US"/>
        </w:rPr>
        <w:t xml:space="preserve"> have been lice</w:t>
      </w:r>
      <w:r w:rsidR="00984989" w:rsidRPr="0038045B">
        <w:rPr>
          <w:lang w:val="en-US"/>
        </w:rPr>
        <w:t>nsed as e-money institutions (</w:t>
      </w:r>
      <w:r w:rsidR="007F7360" w:rsidRPr="0038045B">
        <w:rPr>
          <w:lang w:val="en-US"/>
        </w:rPr>
        <w:t>M-Pesa/Vodafone and Easy</w:t>
      </w:r>
      <w:r w:rsidRPr="0038045B">
        <w:rPr>
          <w:lang w:val="en-US"/>
        </w:rPr>
        <w:t>Pay</w:t>
      </w:r>
      <w:r w:rsidR="00984989" w:rsidRPr="0038045B">
        <w:rPr>
          <w:lang w:val="en-US"/>
        </w:rPr>
        <w:t xml:space="preserve"> with a separate license for issuing e-money</w:t>
      </w:r>
      <w:r w:rsidRPr="0038045B">
        <w:rPr>
          <w:lang w:val="en-US"/>
        </w:rPr>
        <w:t>)</w:t>
      </w:r>
      <w:r w:rsidR="00F203BC" w:rsidRPr="0038045B">
        <w:rPr>
          <w:lang w:val="en-US"/>
        </w:rPr>
        <w:t xml:space="preserve">. </w:t>
      </w:r>
    </w:p>
    <w:p w14:paraId="6ABF3283" w14:textId="77777777" w:rsidR="00F203BC" w:rsidRPr="0038045B" w:rsidRDefault="00F203BC" w:rsidP="00C80F30">
      <w:pPr>
        <w:pStyle w:val="Body"/>
        <w:numPr>
          <w:ilvl w:val="0"/>
          <w:numId w:val="15"/>
        </w:numPr>
        <w:spacing w:after="120" w:line="276" w:lineRule="auto"/>
        <w:ind w:left="0" w:firstLine="0"/>
        <w:rPr>
          <w:lang w:val="en-US"/>
        </w:rPr>
      </w:pPr>
      <w:r w:rsidRPr="0038045B">
        <w:rPr>
          <w:lang w:val="en-US"/>
        </w:rPr>
        <w:t xml:space="preserve">Other financial institutions are supervised by the Albanian Financial Supervisory Authority. These include insurance companies, pension funds and investment funds. </w:t>
      </w:r>
      <w:r w:rsidR="00EA1992" w:rsidRPr="0038045B">
        <w:rPr>
          <w:lang w:val="en-US"/>
        </w:rPr>
        <w:t>As of end-2015 t</w:t>
      </w:r>
      <w:r w:rsidRPr="0038045B">
        <w:rPr>
          <w:lang w:val="en-US"/>
        </w:rPr>
        <w:t>heir respective share</w:t>
      </w:r>
      <w:r w:rsidR="00035EEF" w:rsidRPr="0038045B">
        <w:rPr>
          <w:lang w:val="en-US"/>
        </w:rPr>
        <w:t>s</w:t>
      </w:r>
      <w:r w:rsidRPr="0038045B">
        <w:rPr>
          <w:lang w:val="en-US"/>
        </w:rPr>
        <w:t xml:space="preserve"> in total financial system assets </w:t>
      </w:r>
      <w:r w:rsidR="00EA1992" w:rsidRPr="0038045B">
        <w:rPr>
          <w:lang w:val="en-US"/>
        </w:rPr>
        <w:t>we</w:t>
      </w:r>
      <w:r w:rsidRPr="0038045B">
        <w:rPr>
          <w:lang w:val="en-US"/>
        </w:rPr>
        <w:t>re approximately 1.9</w:t>
      </w:r>
      <w:r w:rsidR="00035EEF" w:rsidRPr="0038045B">
        <w:rPr>
          <w:lang w:val="en-US"/>
        </w:rPr>
        <w:t>%</w:t>
      </w:r>
      <w:r w:rsidRPr="0038045B">
        <w:rPr>
          <w:lang w:val="en-US"/>
        </w:rPr>
        <w:t>, 0.1</w:t>
      </w:r>
      <w:r w:rsidR="00035EEF" w:rsidRPr="0038045B">
        <w:rPr>
          <w:lang w:val="en-US"/>
        </w:rPr>
        <w:t>%</w:t>
      </w:r>
      <w:r w:rsidRPr="0038045B">
        <w:rPr>
          <w:lang w:val="en-US"/>
        </w:rPr>
        <w:t xml:space="preserve"> and 4.6%, respectively.</w:t>
      </w:r>
    </w:p>
    <w:p w14:paraId="4401BAA2" w14:textId="77777777" w:rsidR="000643D6" w:rsidRPr="0038045B" w:rsidRDefault="00F46743" w:rsidP="000643D6">
      <w:pPr>
        <w:pStyle w:val="Heading2"/>
        <w:spacing w:before="360" w:after="240"/>
        <w:rPr>
          <w:b/>
          <w:smallCaps/>
          <w:sz w:val="24"/>
          <w:szCs w:val="24"/>
          <w:u w:val="none"/>
        </w:rPr>
      </w:pPr>
      <w:bookmarkStart w:id="23" w:name="_Toc476239701"/>
      <w:r w:rsidRPr="0038045B">
        <w:rPr>
          <w:b/>
          <w:smallCaps/>
          <w:sz w:val="24"/>
          <w:szCs w:val="24"/>
          <w:u w:val="none"/>
        </w:rPr>
        <w:t>St</w:t>
      </w:r>
      <w:r w:rsidR="004F6B15" w:rsidRPr="0038045B">
        <w:rPr>
          <w:b/>
          <w:smallCaps/>
          <w:sz w:val="24"/>
          <w:szCs w:val="24"/>
          <w:u w:val="none"/>
        </w:rPr>
        <w:t>ate of financial inclusion</w:t>
      </w:r>
      <w:r w:rsidR="009E2F4A" w:rsidRPr="0038045B">
        <w:rPr>
          <w:b/>
          <w:smallCaps/>
          <w:sz w:val="24"/>
          <w:szCs w:val="24"/>
          <w:u w:val="none"/>
        </w:rPr>
        <w:t xml:space="preserve"> in </w:t>
      </w:r>
      <w:r w:rsidR="006005B4" w:rsidRPr="0038045B">
        <w:rPr>
          <w:b/>
          <w:smallCaps/>
          <w:sz w:val="24"/>
          <w:szCs w:val="24"/>
          <w:u w:val="none"/>
        </w:rPr>
        <w:t xml:space="preserve">Albania </w:t>
      </w:r>
      <w:r w:rsidR="004F6B15" w:rsidRPr="0038045B">
        <w:rPr>
          <w:b/>
          <w:smallCaps/>
          <w:sz w:val="24"/>
          <w:szCs w:val="24"/>
          <w:u w:val="none"/>
        </w:rPr>
        <w:t>from a payments perspective</w:t>
      </w:r>
      <w:r w:rsidR="009E2F4A" w:rsidRPr="0038045B">
        <w:rPr>
          <w:b/>
          <w:smallCaps/>
          <w:sz w:val="24"/>
          <w:szCs w:val="24"/>
          <w:u w:val="none"/>
        </w:rPr>
        <w:t xml:space="preserve"> and compared to select peer countries</w:t>
      </w:r>
      <w:bookmarkEnd w:id="23"/>
      <w:r w:rsidR="009E2F4A" w:rsidRPr="0038045B">
        <w:rPr>
          <w:b/>
          <w:smallCaps/>
          <w:sz w:val="24"/>
          <w:szCs w:val="24"/>
          <w:u w:val="none"/>
        </w:rPr>
        <w:t xml:space="preserve"> </w:t>
      </w:r>
    </w:p>
    <w:p w14:paraId="1161BA09" w14:textId="77777777" w:rsidR="009874ED" w:rsidRPr="0038045B" w:rsidRDefault="00035EEF" w:rsidP="00C80F30">
      <w:pPr>
        <w:pStyle w:val="Body"/>
        <w:numPr>
          <w:ilvl w:val="0"/>
          <w:numId w:val="15"/>
        </w:numPr>
        <w:autoSpaceDE w:val="0"/>
        <w:autoSpaceDN w:val="0"/>
        <w:adjustRightInd w:val="0"/>
        <w:spacing w:before="120" w:line="276" w:lineRule="auto"/>
        <w:ind w:left="0" w:firstLine="0"/>
        <w:rPr>
          <w:lang w:val="en-US" w:eastAsia="en-US"/>
        </w:rPr>
      </w:pPr>
      <w:r w:rsidRPr="0038045B">
        <w:rPr>
          <w:lang w:val="en-US" w:eastAsia="en-US"/>
        </w:rPr>
        <w:t>T</w:t>
      </w:r>
      <w:r w:rsidR="009874ED" w:rsidRPr="0038045B">
        <w:rPr>
          <w:lang w:val="en-US" w:eastAsia="en-US"/>
        </w:rPr>
        <w:t xml:space="preserve">his section only </w:t>
      </w:r>
      <w:r w:rsidRPr="0038045B">
        <w:rPr>
          <w:lang w:val="en-US" w:eastAsia="en-US"/>
        </w:rPr>
        <w:t xml:space="preserve">provides </w:t>
      </w:r>
      <w:r w:rsidR="009874ED" w:rsidRPr="0038045B">
        <w:rPr>
          <w:lang w:val="en-US" w:eastAsia="en-US"/>
        </w:rPr>
        <w:t xml:space="preserve">a high level overview on the current state of financial access and </w:t>
      </w:r>
      <w:r w:rsidR="002019F3" w:rsidRPr="0038045B">
        <w:rPr>
          <w:lang w:val="en-US" w:eastAsia="en-US"/>
        </w:rPr>
        <w:t xml:space="preserve">broader </w:t>
      </w:r>
      <w:r w:rsidR="009874ED" w:rsidRPr="0038045B">
        <w:rPr>
          <w:lang w:val="en-US" w:eastAsia="en-US"/>
        </w:rPr>
        <w:t xml:space="preserve">financial inclusion with </w:t>
      </w:r>
      <w:r w:rsidRPr="0038045B">
        <w:rPr>
          <w:lang w:val="en-US" w:eastAsia="en-US"/>
        </w:rPr>
        <w:t xml:space="preserve">a </w:t>
      </w:r>
      <w:r w:rsidR="009874ED" w:rsidRPr="0038045B">
        <w:rPr>
          <w:lang w:val="en-US" w:eastAsia="en-US"/>
        </w:rPr>
        <w:t>focus on payments. Further details will be discussed in the</w:t>
      </w:r>
      <w:r w:rsidR="00101936" w:rsidRPr="0038045B">
        <w:rPr>
          <w:lang w:val="en-US" w:eastAsia="en-US"/>
        </w:rPr>
        <w:t xml:space="preserve"> following</w:t>
      </w:r>
      <w:r w:rsidR="009874ED" w:rsidRPr="0038045B">
        <w:rPr>
          <w:lang w:val="en-US" w:eastAsia="en-US"/>
        </w:rPr>
        <w:t xml:space="preserve"> </w:t>
      </w:r>
      <w:r w:rsidR="00101936" w:rsidRPr="0038045B">
        <w:rPr>
          <w:lang w:val="en-US" w:eastAsia="en-US"/>
        </w:rPr>
        <w:t>sections</w:t>
      </w:r>
      <w:r w:rsidR="009874ED" w:rsidRPr="0038045B">
        <w:rPr>
          <w:lang w:val="en-US" w:eastAsia="en-US"/>
        </w:rPr>
        <w:t xml:space="preserve">. </w:t>
      </w:r>
    </w:p>
    <w:p w14:paraId="6D2AB54C" w14:textId="77777777" w:rsidR="001F2A59" w:rsidRPr="0038045B" w:rsidRDefault="006D1D26" w:rsidP="00346D0B">
      <w:pPr>
        <w:pStyle w:val="Body"/>
        <w:numPr>
          <w:ilvl w:val="0"/>
          <w:numId w:val="15"/>
        </w:numPr>
        <w:spacing w:before="120" w:line="276" w:lineRule="auto"/>
        <w:ind w:left="0" w:firstLine="0"/>
        <w:rPr>
          <w:lang w:val="en-US" w:eastAsia="en-US"/>
        </w:rPr>
      </w:pPr>
      <w:r w:rsidRPr="0038045B">
        <w:rPr>
          <w:lang w:val="en-US" w:eastAsia="en-US"/>
        </w:rPr>
        <w:t xml:space="preserve">Table 1 shows data on account holding and usage in Albania as </w:t>
      </w:r>
      <w:r w:rsidR="005012C0" w:rsidRPr="0038045B">
        <w:rPr>
          <w:lang w:val="en-US" w:eastAsia="en-US"/>
        </w:rPr>
        <w:t>of</w:t>
      </w:r>
      <w:r w:rsidRPr="0038045B">
        <w:rPr>
          <w:lang w:val="en-US" w:eastAsia="en-US"/>
        </w:rPr>
        <w:t xml:space="preserve"> </w:t>
      </w:r>
      <w:r w:rsidR="00101936" w:rsidRPr="0038045B">
        <w:rPr>
          <w:lang w:val="en-US" w:eastAsia="en-US"/>
        </w:rPr>
        <w:t>2</w:t>
      </w:r>
      <w:r w:rsidRPr="0038045B">
        <w:rPr>
          <w:lang w:val="en-US" w:eastAsia="en-US"/>
        </w:rPr>
        <w:t>014, based on the</w:t>
      </w:r>
      <w:r w:rsidR="00346D0B" w:rsidRPr="0038045B">
        <w:rPr>
          <w:lang w:val="en-US" w:eastAsia="en-US"/>
        </w:rPr>
        <w:t xml:space="preserve"> </w:t>
      </w:r>
      <w:r w:rsidRPr="0038045B">
        <w:rPr>
          <w:lang w:val="en-US" w:eastAsia="en-US"/>
        </w:rPr>
        <w:t>Global F</w:t>
      </w:r>
      <w:r w:rsidR="00E207A7" w:rsidRPr="0038045B">
        <w:rPr>
          <w:lang w:val="en-US" w:eastAsia="en-US"/>
        </w:rPr>
        <w:t xml:space="preserve">index </w:t>
      </w:r>
      <w:r w:rsidR="00101936" w:rsidRPr="0038045B">
        <w:rPr>
          <w:lang w:val="en-US" w:eastAsia="en-US"/>
        </w:rPr>
        <w:t>d</w:t>
      </w:r>
      <w:r w:rsidRPr="0038045B">
        <w:rPr>
          <w:lang w:val="en-US" w:eastAsia="en-US"/>
        </w:rPr>
        <w:t>atabase.</w:t>
      </w:r>
      <w:r w:rsidR="00E207A7" w:rsidRPr="0038045B">
        <w:rPr>
          <w:rStyle w:val="FootnoteReference"/>
          <w:lang w:val="en-US" w:eastAsia="en-US"/>
        </w:rPr>
        <w:footnoteReference w:id="13"/>
      </w:r>
      <w:r w:rsidR="007E6C86" w:rsidRPr="0038045B">
        <w:rPr>
          <w:lang w:val="en-US" w:eastAsia="en-US"/>
        </w:rPr>
        <w:t xml:space="preserve"> The table also includes </w:t>
      </w:r>
      <w:r w:rsidR="00101936" w:rsidRPr="0038045B">
        <w:rPr>
          <w:lang w:val="en-US" w:eastAsia="en-US"/>
        </w:rPr>
        <w:t xml:space="preserve">the </w:t>
      </w:r>
      <w:r w:rsidR="007E6C86" w:rsidRPr="0038045B">
        <w:rPr>
          <w:lang w:val="en-US" w:eastAsia="en-US"/>
        </w:rPr>
        <w:t>equivalent figures for the countries of the Europe and Central Asia (ECA) region as a whole, a</w:t>
      </w:r>
      <w:r w:rsidR="006559D5" w:rsidRPr="0038045B">
        <w:rPr>
          <w:lang w:val="en-US" w:eastAsia="en-US"/>
        </w:rPr>
        <w:t xml:space="preserve">s well as </w:t>
      </w:r>
      <w:r w:rsidR="00101936" w:rsidRPr="0038045B">
        <w:rPr>
          <w:lang w:val="en-US" w:eastAsia="en-US"/>
        </w:rPr>
        <w:t>for upper-</w:t>
      </w:r>
      <w:r w:rsidR="007E6C86" w:rsidRPr="0038045B">
        <w:rPr>
          <w:lang w:val="en-US" w:eastAsia="en-US"/>
        </w:rPr>
        <w:t>middle income countries (MICs).</w:t>
      </w:r>
      <w:r w:rsidR="007E6C86" w:rsidRPr="0038045B">
        <w:rPr>
          <w:rStyle w:val="FootnoteReference"/>
          <w:lang w:val="en-US" w:eastAsia="en-US"/>
        </w:rPr>
        <w:footnoteReference w:id="14"/>
      </w:r>
      <w:r w:rsidR="00146A37" w:rsidRPr="0038045B">
        <w:rPr>
          <w:lang w:val="en-US" w:eastAsia="en-US"/>
        </w:rPr>
        <w:t xml:space="preserve"> The WBG-BoA study on the cost of retail payments also provide a source of consumers’ account ownership and payment pat</w:t>
      </w:r>
      <w:r w:rsidR="00101936" w:rsidRPr="0038045B">
        <w:rPr>
          <w:lang w:val="en-US" w:eastAsia="en-US"/>
        </w:rPr>
        <w:t xml:space="preserve">terns (see Box 1), although this section’s </w:t>
      </w:r>
      <w:r w:rsidR="00146A37" w:rsidRPr="0038045B">
        <w:rPr>
          <w:lang w:val="en-US" w:eastAsia="en-US"/>
        </w:rPr>
        <w:t xml:space="preserve">analysis is based </w:t>
      </w:r>
      <w:r w:rsidR="00101936" w:rsidRPr="0038045B">
        <w:rPr>
          <w:lang w:val="en-US" w:eastAsia="en-US"/>
        </w:rPr>
        <w:t xml:space="preserve">mainly </w:t>
      </w:r>
      <w:r w:rsidR="00146A37" w:rsidRPr="0038045B">
        <w:rPr>
          <w:lang w:val="en-US" w:eastAsia="en-US"/>
        </w:rPr>
        <w:t xml:space="preserve">on Findex data for cross-country comparability reasons. </w:t>
      </w:r>
    </w:p>
    <w:p w14:paraId="1A7A1022" w14:textId="77777777" w:rsidR="00650939" w:rsidRPr="0038045B" w:rsidRDefault="006D1D26" w:rsidP="006D1D26">
      <w:pPr>
        <w:pStyle w:val="Body"/>
        <w:spacing w:before="120" w:line="276" w:lineRule="auto"/>
        <w:jc w:val="center"/>
        <w:rPr>
          <w:b/>
          <w:lang w:val="en-US"/>
        </w:rPr>
      </w:pPr>
      <w:r w:rsidRPr="0038045B">
        <w:rPr>
          <w:b/>
          <w:lang w:val="en-US"/>
        </w:rPr>
        <w:t>Table 1: Basic data on account holding and usage in Albania</w:t>
      </w:r>
    </w:p>
    <w:tbl>
      <w:tblPr>
        <w:tblStyle w:val="TableGrid"/>
        <w:tblW w:w="8723" w:type="dxa"/>
        <w:jc w:val="center"/>
        <w:tblLook w:val="04A0" w:firstRow="1" w:lastRow="0" w:firstColumn="1" w:lastColumn="0" w:noHBand="0" w:noVBand="1"/>
      </w:tblPr>
      <w:tblGrid>
        <w:gridCol w:w="4675"/>
        <w:gridCol w:w="1260"/>
        <w:gridCol w:w="1260"/>
        <w:gridCol w:w="1528"/>
      </w:tblGrid>
      <w:tr w:rsidR="00650939" w:rsidRPr="0038045B" w14:paraId="613C5EA1" w14:textId="77777777" w:rsidTr="007E6C86">
        <w:trPr>
          <w:jc w:val="center"/>
        </w:trPr>
        <w:tc>
          <w:tcPr>
            <w:tcW w:w="4675" w:type="dxa"/>
          </w:tcPr>
          <w:p w14:paraId="57C9B501" w14:textId="77777777" w:rsidR="00650939" w:rsidRPr="0038045B" w:rsidRDefault="00650939" w:rsidP="00650939">
            <w:pPr>
              <w:pStyle w:val="Body"/>
              <w:spacing w:before="120" w:line="276" w:lineRule="auto"/>
              <w:ind w:firstLine="0"/>
              <w:rPr>
                <w:sz w:val="22"/>
                <w:szCs w:val="22"/>
                <w:lang w:val="en-US" w:eastAsia="en-US"/>
              </w:rPr>
            </w:pPr>
          </w:p>
        </w:tc>
        <w:tc>
          <w:tcPr>
            <w:tcW w:w="1260" w:type="dxa"/>
          </w:tcPr>
          <w:p w14:paraId="7031BA3B" w14:textId="77777777" w:rsidR="00650939" w:rsidRPr="0038045B" w:rsidRDefault="00AE7A1E" w:rsidP="006D1D26">
            <w:pPr>
              <w:pStyle w:val="Body"/>
              <w:spacing w:before="120" w:line="276" w:lineRule="auto"/>
              <w:ind w:firstLine="0"/>
              <w:jc w:val="center"/>
              <w:rPr>
                <w:b/>
                <w:sz w:val="22"/>
                <w:szCs w:val="22"/>
                <w:lang w:val="en-US" w:eastAsia="en-US"/>
              </w:rPr>
            </w:pPr>
            <w:r w:rsidRPr="0038045B">
              <w:rPr>
                <w:b/>
                <w:sz w:val="22"/>
                <w:szCs w:val="22"/>
                <w:lang w:val="en-US" w:eastAsia="en-US"/>
              </w:rPr>
              <w:t>Albania</w:t>
            </w:r>
          </w:p>
        </w:tc>
        <w:tc>
          <w:tcPr>
            <w:tcW w:w="1260" w:type="dxa"/>
          </w:tcPr>
          <w:p w14:paraId="3EC26597" w14:textId="77777777" w:rsidR="00650939" w:rsidRPr="0038045B" w:rsidRDefault="00650939" w:rsidP="007E6C86">
            <w:pPr>
              <w:pStyle w:val="Body"/>
              <w:spacing w:before="120" w:line="276" w:lineRule="auto"/>
              <w:ind w:right="74" w:firstLine="0"/>
              <w:jc w:val="center"/>
              <w:rPr>
                <w:b/>
                <w:sz w:val="22"/>
                <w:szCs w:val="22"/>
                <w:lang w:val="en-US" w:eastAsia="en-US"/>
              </w:rPr>
            </w:pPr>
            <w:r w:rsidRPr="0038045B">
              <w:rPr>
                <w:b/>
                <w:sz w:val="22"/>
                <w:szCs w:val="22"/>
                <w:lang w:val="en-US" w:eastAsia="en-US"/>
              </w:rPr>
              <w:t>E</w:t>
            </w:r>
            <w:r w:rsidR="007E6C86" w:rsidRPr="0038045B">
              <w:rPr>
                <w:b/>
                <w:sz w:val="22"/>
                <w:szCs w:val="22"/>
                <w:lang w:val="en-US" w:eastAsia="en-US"/>
              </w:rPr>
              <w:t>CA</w:t>
            </w:r>
          </w:p>
        </w:tc>
        <w:tc>
          <w:tcPr>
            <w:tcW w:w="1528" w:type="dxa"/>
          </w:tcPr>
          <w:p w14:paraId="42C02AF2" w14:textId="77777777" w:rsidR="00650939" w:rsidRPr="0038045B" w:rsidRDefault="00650939" w:rsidP="007E6C86">
            <w:pPr>
              <w:pStyle w:val="Body"/>
              <w:spacing w:before="120" w:line="276" w:lineRule="auto"/>
              <w:ind w:firstLine="0"/>
              <w:jc w:val="center"/>
              <w:rPr>
                <w:b/>
                <w:sz w:val="22"/>
                <w:szCs w:val="22"/>
                <w:lang w:val="en-US" w:eastAsia="en-US"/>
              </w:rPr>
            </w:pPr>
            <w:r w:rsidRPr="0038045B">
              <w:rPr>
                <w:b/>
                <w:sz w:val="22"/>
                <w:szCs w:val="22"/>
                <w:lang w:val="en-US" w:eastAsia="en-US"/>
              </w:rPr>
              <w:t xml:space="preserve">Upper </w:t>
            </w:r>
            <w:r w:rsidR="007E6C86" w:rsidRPr="0038045B">
              <w:rPr>
                <w:b/>
                <w:sz w:val="22"/>
                <w:szCs w:val="22"/>
                <w:lang w:val="en-US" w:eastAsia="en-US"/>
              </w:rPr>
              <w:t>MICs</w:t>
            </w:r>
          </w:p>
        </w:tc>
      </w:tr>
      <w:tr w:rsidR="00650939" w:rsidRPr="0038045B" w14:paraId="00CC040E" w14:textId="77777777" w:rsidTr="007E6C86">
        <w:trPr>
          <w:jc w:val="center"/>
        </w:trPr>
        <w:tc>
          <w:tcPr>
            <w:tcW w:w="8723" w:type="dxa"/>
            <w:gridSpan w:val="4"/>
          </w:tcPr>
          <w:p w14:paraId="640722B9" w14:textId="77777777" w:rsidR="00650939" w:rsidRPr="0038045B" w:rsidRDefault="00650939" w:rsidP="00650939">
            <w:pPr>
              <w:pStyle w:val="Body"/>
              <w:spacing w:before="120" w:line="276" w:lineRule="auto"/>
              <w:ind w:firstLine="0"/>
              <w:rPr>
                <w:b/>
                <w:sz w:val="22"/>
                <w:szCs w:val="22"/>
                <w:lang w:val="en-US" w:eastAsia="en-US"/>
              </w:rPr>
            </w:pPr>
            <w:r w:rsidRPr="0038045B">
              <w:rPr>
                <w:b/>
                <w:sz w:val="22"/>
                <w:szCs w:val="22"/>
                <w:lang w:val="en-US" w:eastAsia="en-US"/>
              </w:rPr>
              <w:t>Account</w:t>
            </w:r>
            <w:r w:rsidR="00AE7A1E" w:rsidRPr="0038045B">
              <w:rPr>
                <w:b/>
                <w:sz w:val="22"/>
                <w:szCs w:val="22"/>
                <w:lang w:val="en-US" w:eastAsia="en-US"/>
              </w:rPr>
              <w:t xml:space="preserve"> </w:t>
            </w:r>
            <w:r w:rsidRPr="0038045B">
              <w:rPr>
                <w:b/>
                <w:sz w:val="22"/>
                <w:szCs w:val="22"/>
                <w:lang w:val="en-US" w:eastAsia="en-US"/>
              </w:rPr>
              <w:t xml:space="preserve">holding (% </w:t>
            </w:r>
            <w:r w:rsidR="00E24C50" w:rsidRPr="0038045B">
              <w:rPr>
                <w:b/>
                <w:sz w:val="22"/>
                <w:szCs w:val="22"/>
                <w:lang w:val="en-US" w:eastAsia="en-US"/>
              </w:rPr>
              <w:t xml:space="preserve">of population with </w:t>
            </w:r>
            <w:r w:rsidRPr="0038045B">
              <w:rPr>
                <w:b/>
                <w:sz w:val="22"/>
                <w:szCs w:val="22"/>
                <w:lang w:val="en-US" w:eastAsia="en-US"/>
              </w:rPr>
              <w:t>age 15+)</w:t>
            </w:r>
          </w:p>
        </w:tc>
      </w:tr>
      <w:tr w:rsidR="00650939" w:rsidRPr="0038045B" w14:paraId="783F638A" w14:textId="77777777" w:rsidTr="007E6C86">
        <w:trPr>
          <w:jc w:val="center"/>
        </w:trPr>
        <w:tc>
          <w:tcPr>
            <w:tcW w:w="4675" w:type="dxa"/>
          </w:tcPr>
          <w:p w14:paraId="2DC42F54" w14:textId="77777777" w:rsidR="00650939" w:rsidRPr="0038045B" w:rsidRDefault="00650939" w:rsidP="00650939">
            <w:pPr>
              <w:pStyle w:val="Body"/>
              <w:spacing w:before="120" w:line="276" w:lineRule="auto"/>
              <w:ind w:firstLine="0"/>
              <w:rPr>
                <w:sz w:val="22"/>
                <w:szCs w:val="22"/>
                <w:lang w:val="en-US" w:eastAsia="en-US"/>
              </w:rPr>
            </w:pPr>
            <w:r w:rsidRPr="0038045B">
              <w:rPr>
                <w:sz w:val="22"/>
                <w:szCs w:val="22"/>
                <w:lang w:val="en-US" w:eastAsia="en-US"/>
              </w:rPr>
              <w:t>All adults, year 2014</w:t>
            </w:r>
          </w:p>
        </w:tc>
        <w:tc>
          <w:tcPr>
            <w:tcW w:w="1260" w:type="dxa"/>
          </w:tcPr>
          <w:p w14:paraId="5A5883BB" w14:textId="77777777" w:rsidR="00650939" w:rsidRPr="0038045B" w:rsidRDefault="00650939" w:rsidP="00AE7A1E">
            <w:pPr>
              <w:pStyle w:val="Body"/>
              <w:spacing w:before="120" w:line="276" w:lineRule="auto"/>
              <w:ind w:firstLine="0"/>
              <w:jc w:val="center"/>
              <w:rPr>
                <w:sz w:val="22"/>
                <w:szCs w:val="22"/>
                <w:lang w:val="en-US" w:eastAsia="en-US"/>
              </w:rPr>
            </w:pPr>
            <w:r w:rsidRPr="0038045B">
              <w:rPr>
                <w:sz w:val="22"/>
                <w:szCs w:val="22"/>
                <w:lang w:val="en-US" w:eastAsia="en-US"/>
              </w:rPr>
              <w:t>38.0</w:t>
            </w:r>
          </w:p>
        </w:tc>
        <w:tc>
          <w:tcPr>
            <w:tcW w:w="1260" w:type="dxa"/>
          </w:tcPr>
          <w:p w14:paraId="10C27697" w14:textId="77777777" w:rsidR="00650939" w:rsidRPr="0038045B" w:rsidRDefault="00650939" w:rsidP="00AE7A1E">
            <w:pPr>
              <w:pStyle w:val="Body"/>
              <w:spacing w:before="120" w:line="276" w:lineRule="auto"/>
              <w:ind w:firstLine="0"/>
              <w:jc w:val="center"/>
              <w:rPr>
                <w:sz w:val="22"/>
                <w:szCs w:val="22"/>
                <w:lang w:val="en-US" w:eastAsia="en-US"/>
              </w:rPr>
            </w:pPr>
            <w:r w:rsidRPr="0038045B">
              <w:rPr>
                <w:sz w:val="22"/>
                <w:szCs w:val="22"/>
                <w:lang w:val="en-US" w:eastAsia="en-US"/>
              </w:rPr>
              <w:t>51.4</w:t>
            </w:r>
          </w:p>
        </w:tc>
        <w:tc>
          <w:tcPr>
            <w:tcW w:w="1528" w:type="dxa"/>
          </w:tcPr>
          <w:p w14:paraId="0F4C2BF7" w14:textId="77777777" w:rsidR="00650939" w:rsidRPr="0038045B" w:rsidRDefault="00650939" w:rsidP="00AE7A1E">
            <w:pPr>
              <w:pStyle w:val="Body"/>
              <w:spacing w:before="120" w:line="276" w:lineRule="auto"/>
              <w:ind w:firstLine="0"/>
              <w:jc w:val="center"/>
              <w:rPr>
                <w:sz w:val="22"/>
                <w:szCs w:val="22"/>
                <w:lang w:val="en-US" w:eastAsia="en-US"/>
              </w:rPr>
            </w:pPr>
            <w:r w:rsidRPr="0038045B">
              <w:rPr>
                <w:sz w:val="22"/>
                <w:szCs w:val="22"/>
                <w:lang w:val="en-US" w:eastAsia="en-US"/>
              </w:rPr>
              <w:t>70.5</w:t>
            </w:r>
          </w:p>
        </w:tc>
      </w:tr>
      <w:tr w:rsidR="00650939" w:rsidRPr="0038045B" w14:paraId="176E357F" w14:textId="77777777" w:rsidTr="007E6C86">
        <w:trPr>
          <w:jc w:val="center"/>
        </w:trPr>
        <w:tc>
          <w:tcPr>
            <w:tcW w:w="4675" w:type="dxa"/>
          </w:tcPr>
          <w:p w14:paraId="32DAA9E8" w14:textId="77777777" w:rsidR="00650939" w:rsidRPr="0038045B" w:rsidRDefault="00650939" w:rsidP="00650939">
            <w:pPr>
              <w:pStyle w:val="Body"/>
              <w:spacing w:before="120" w:line="276" w:lineRule="auto"/>
              <w:ind w:left="157" w:firstLine="0"/>
              <w:rPr>
                <w:i/>
                <w:sz w:val="20"/>
                <w:lang w:val="en-US" w:eastAsia="en-US"/>
              </w:rPr>
            </w:pPr>
            <w:r w:rsidRPr="0038045B">
              <w:rPr>
                <w:i/>
                <w:sz w:val="20"/>
                <w:lang w:val="en-US" w:eastAsia="en-US"/>
              </w:rPr>
              <w:t>Women</w:t>
            </w:r>
          </w:p>
        </w:tc>
        <w:tc>
          <w:tcPr>
            <w:tcW w:w="1260" w:type="dxa"/>
          </w:tcPr>
          <w:p w14:paraId="09B4FE07" w14:textId="77777777" w:rsidR="00650939" w:rsidRPr="0038045B" w:rsidRDefault="00650939" w:rsidP="00AE7A1E">
            <w:pPr>
              <w:pStyle w:val="Body"/>
              <w:spacing w:before="120" w:line="276" w:lineRule="auto"/>
              <w:ind w:firstLine="0"/>
              <w:jc w:val="center"/>
              <w:rPr>
                <w:i/>
                <w:sz w:val="20"/>
                <w:lang w:val="en-US" w:eastAsia="en-US"/>
              </w:rPr>
            </w:pPr>
            <w:r w:rsidRPr="0038045B">
              <w:rPr>
                <w:i/>
                <w:sz w:val="20"/>
                <w:lang w:val="en-US" w:eastAsia="en-US"/>
              </w:rPr>
              <w:t>33.6</w:t>
            </w:r>
          </w:p>
        </w:tc>
        <w:tc>
          <w:tcPr>
            <w:tcW w:w="1260" w:type="dxa"/>
          </w:tcPr>
          <w:p w14:paraId="7F8216B9" w14:textId="77777777" w:rsidR="00650939" w:rsidRPr="0038045B" w:rsidRDefault="00650939" w:rsidP="00AE7A1E">
            <w:pPr>
              <w:pStyle w:val="Body"/>
              <w:spacing w:before="120" w:line="276" w:lineRule="auto"/>
              <w:ind w:firstLine="0"/>
              <w:jc w:val="center"/>
              <w:rPr>
                <w:i/>
                <w:sz w:val="20"/>
                <w:lang w:val="en-US" w:eastAsia="en-US"/>
              </w:rPr>
            </w:pPr>
            <w:r w:rsidRPr="0038045B">
              <w:rPr>
                <w:i/>
                <w:sz w:val="20"/>
                <w:lang w:val="en-US" w:eastAsia="en-US"/>
              </w:rPr>
              <w:t>47.4</w:t>
            </w:r>
          </w:p>
        </w:tc>
        <w:tc>
          <w:tcPr>
            <w:tcW w:w="1528" w:type="dxa"/>
          </w:tcPr>
          <w:p w14:paraId="3CAEC2A6" w14:textId="77777777" w:rsidR="00650939" w:rsidRPr="0038045B" w:rsidRDefault="00650939" w:rsidP="00AE7A1E">
            <w:pPr>
              <w:pStyle w:val="Body"/>
              <w:spacing w:before="120" w:line="276" w:lineRule="auto"/>
              <w:ind w:firstLine="0"/>
              <w:jc w:val="center"/>
              <w:rPr>
                <w:i/>
                <w:sz w:val="20"/>
                <w:lang w:val="en-US" w:eastAsia="en-US"/>
              </w:rPr>
            </w:pPr>
            <w:r w:rsidRPr="0038045B">
              <w:rPr>
                <w:i/>
                <w:sz w:val="20"/>
                <w:lang w:val="en-US" w:eastAsia="en-US"/>
              </w:rPr>
              <w:t>67.3</w:t>
            </w:r>
          </w:p>
        </w:tc>
      </w:tr>
      <w:tr w:rsidR="00650939" w:rsidRPr="0038045B" w14:paraId="584D6556" w14:textId="77777777" w:rsidTr="007E6C86">
        <w:trPr>
          <w:jc w:val="center"/>
        </w:trPr>
        <w:tc>
          <w:tcPr>
            <w:tcW w:w="4675" w:type="dxa"/>
          </w:tcPr>
          <w:p w14:paraId="7A06FEC8" w14:textId="77777777" w:rsidR="00650939" w:rsidRPr="0038045B" w:rsidRDefault="00650939" w:rsidP="00650939">
            <w:pPr>
              <w:pStyle w:val="Body"/>
              <w:spacing w:before="120" w:line="276" w:lineRule="auto"/>
              <w:ind w:left="157" w:firstLine="0"/>
              <w:rPr>
                <w:i/>
                <w:sz w:val="20"/>
                <w:lang w:val="en-US" w:eastAsia="en-US"/>
              </w:rPr>
            </w:pPr>
            <w:r w:rsidRPr="0038045B">
              <w:rPr>
                <w:i/>
                <w:sz w:val="20"/>
                <w:lang w:val="en-US" w:eastAsia="en-US"/>
              </w:rPr>
              <w:t>Adults belonging to the poorest 40%</w:t>
            </w:r>
          </w:p>
        </w:tc>
        <w:tc>
          <w:tcPr>
            <w:tcW w:w="1260" w:type="dxa"/>
          </w:tcPr>
          <w:p w14:paraId="796940F4" w14:textId="77777777" w:rsidR="00650939" w:rsidRPr="0038045B" w:rsidRDefault="00650939" w:rsidP="00AE7A1E">
            <w:pPr>
              <w:pStyle w:val="Body"/>
              <w:spacing w:before="120" w:line="276" w:lineRule="auto"/>
              <w:ind w:firstLine="0"/>
              <w:jc w:val="center"/>
              <w:rPr>
                <w:i/>
                <w:sz w:val="20"/>
                <w:lang w:val="en-US" w:eastAsia="en-US"/>
              </w:rPr>
            </w:pPr>
            <w:r w:rsidRPr="0038045B">
              <w:rPr>
                <w:i/>
                <w:sz w:val="20"/>
                <w:lang w:val="en-US" w:eastAsia="en-US"/>
              </w:rPr>
              <w:t>23.4</w:t>
            </w:r>
          </w:p>
        </w:tc>
        <w:tc>
          <w:tcPr>
            <w:tcW w:w="1260" w:type="dxa"/>
          </w:tcPr>
          <w:p w14:paraId="55EDCC0C" w14:textId="77777777" w:rsidR="00650939" w:rsidRPr="0038045B" w:rsidRDefault="00650939" w:rsidP="00AE7A1E">
            <w:pPr>
              <w:pStyle w:val="Body"/>
              <w:spacing w:before="120" w:line="276" w:lineRule="auto"/>
              <w:ind w:firstLine="0"/>
              <w:jc w:val="center"/>
              <w:rPr>
                <w:i/>
                <w:sz w:val="20"/>
                <w:lang w:val="en-US" w:eastAsia="en-US"/>
              </w:rPr>
            </w:pPr>
            <w:r w:rsidRPr="0038045B">
              <w:rPr>
                <w:i/>
                <w:sz w:val="20"/>
                <w:lang w:val="en-US" w:eastAsia="en-US"/>
              </w:rPr>
              <w:t>44.2</w:t>
            </w:r>
          </w:p>
        </w:tc>
        <w:tc>
          <w:tcPr>
            <w:tcW w:w="1528" w:type="dxa"/>
          </w:tcPr>
          <w:p w14:paraId="1EB9C87F" w14:textId="77777777" w:rsidR="00650939" w:rsidRPr="0038045B" w:rsidRDefault="00650939" w:rsidP="00AE7A1E">
            <w:pPr>
              <w:pStyle w:val="Body"/>
              <w:spacing w:before="120" w:line="276" w:lineRule="auto"/>
              <w:ind w:firstLine="0"/>
              <w:jc w:val="center"/>
              <w:rPr>
                <w:i/>
                <w:sz w:val="20"/>
                <w:lang w:val="en-US" w:eastAsia="en-US"/>
              </w:rPr>
            </w:pPr>
            <w:r w:rsidRPr="0038045B">
              <w:rPr>
                <w:i/>
                <w:sz w:val="20"/>
                <w:lang w:val="en-US" w:eastAsia="en-US"/>
              </w:rPr>
              <w:t>62.7</w:t>
            </w:r>
          </w:p>
        </w:tc>
      </w:tr>
      <w:tr w:rsidR="00650939" w:rsidRPr="0038045B" w14:paraId="050E7C34" w14:textId="77777777" w:rsidTr="007E6C86">
        <w:trPr>
          <w:jc w:val="center"/>
        </w:trPr>
        <w:tc>
          <w:tcPr>
            <w:tcW w:w="4675" w:type="dxa"/>
          </w:tcPr>
          <w:p w14:paraId="2C356CBC" w14:textId="77777777" w:rsidR="00650939" w:rsidRPr="0038045B" w:rsidRDefault="00650939" w:rsidP="00650939">
            <w:pPr>
              <w:pStyle w:val="Body"/>
              <w:spacing w:before="120" w:line="276" w:lineRule="auto"/>
              <w:ind w:left="157" w:firstLine="0"/>
              <w:rPr>
                <w:i/>
                <w:sz w:val="20"/>
                <w:lang w:val="en-US" w:eastAsia="en-US"/>
              </w:rPr>
            </w:pPr>
            <w:r w:rsidRPr="0038045B">
              <w:rPr>
                <w:i/>
                <w:sz w:val="20"/>
                <w:lang w:val="en-US" w:eastAsia="en-US"/>
              </w:rPr>
              <w:t>Young adults (% ages 15-24)</w:t>
            </w:r>
          </w:p>
        </w:tc>
        <w:tc>
          <w:tcPr>
            <w:tcW w:w="1260" w:type="dxa"/>
          </w:tcPr>
          <w:p w14:paraId="18992FA2" w14:textId="77777777" w:rsidR="00650939" w:rsidRPr="0038045B" w:rsidRDefault="00650939" w:rsidP="00AE7A1E">
            <w:pPr>
              <w:pStyle w:val="Body"/>
              <w:spacing w:before="120" w:line="276" w:lineRule="auto"/>
              <w:ind w:firstLine="0"/>
              <w:jc w:val="center"/>
              <w:rPr>
                <w:i/>
                <w:sz w:val="20"/>
                <w:lang w:val="en-US" w:eastAsia="en-US"/>
              </w:rPr>
            </w:pPr>
            <w:r w:rsidRPr="0038045B">
              <w:rPr>
                <w:i/>
                <w:sz w:val="20"/>
                <w:lang w:val="en-US" w:eastAsia="en-US"/>
              </w:rPr>
              <w:t>30.0</w:t>
            </w:r>
          </w:p>
        </w:tc>
        <w:tc>
          <w:tcPr>
            <w:tcW w:w="1260" w:type="dxa"/>
          </w:tcPr>
          <w:p w14:paraId="47C50A54" w14:textId="77777777" w:rsidR="00650939" w:rsidRPr="0038045B" w:rsidRDefault="00650939" w:rsidP="00AE7A1E">
            <w:pPr>
              <w:pStyle w:val="Body"/>
              <w:spacing w:before="120" w:line="276" w:lineRule="auto"/>
              <w:ind w:firstLine="0"/>
              <w:jc w:val="center"/>
              <w:rPr>
                <w:i/>
                <w:sz w:val="20"/>
                <w:lang w:val="en-US" w:eastAsia="en-US"/>
              </w:rPr>
            </w:pPr>
            <w:r w:rsidRPr="0038045B">
              <w:rPr>
                <w:i/>
                <w:sz w:val="20"/>
                <w:lang w:val="en-US" w:eastAsia="en-US"/>
              </w:rPr>
              <w:t>35.6</w:t>
            </w:r>
          </w:p>
        </w:tc>
        <w:tc>
          <w:tcPr>
            <w:tcW w:w="1528" w:type="dxa"/>
          </w:tcPr>
          <w:p w14:paraId="6D2A265C" w14:textId="77777777" w:rsidR="00650939" w:rsidRPr="0038045B" w:rsidRDefault="00650939" w:rsidP="00AE7A1E">
            <w:pPr>
              <w:pStyle w:val="Body"/>
              <w:spacing w:before="120" w:line="276" w:lineRule="auto"/>
              <w:ind w:firstLine="0"/>
              <w:jc w:val="center"/>
              <w:rPr>
                <w:i/>
                <w:sz w:val="20"/>
                <w:lang w:val="en-US" w:eastAsia="en-US"/>
              </w:rPr>
            </w:pPr>
            <w:r w:rsidRPr="0038045B">
              <w:rPr>
                <w:i/>
                <w:sz w:val="20"/>
                <w:lang w:val="en-US" w:eastAsia="en-US"/>
              </w:rPr>
              <w:t>58.1</w:t>
            </w:r>
          </w:p>
        </w:tc>
      </w:tr>
      <w:tr w:rsidR="00650939" w:rsidRPr="0038045B" w14:paraId="766503BD" w14:textId="77777777" w:rsidTr="007E6C86">
        <w:trPr>
          <w:jc w:val="center"/>
        </w:trPr>
        <w:tc>
          <w:tcPr>
            <w:tcW w:w="4675" w:type="dxa"/>
          </w:tcPr>
          <w:p w14:paraId="17BF9635" w14:textId="77777777" w:rsidR="00650939" w:rsidRPr="0038045B" w:rsidRDefault="00650939" w:rsidP="00650939">
            <w:pPr>
              <w:pStyle w:val="Body"/>
              <w:spacing w:before="120" w:line="276" w:lineRule="auto"/>
              <w:ind w:left="157" w:firstLine="0"/>
              <w:rPr>
                <w:i/>
                <w:sz w:val="20"/>
                <w:lang w:val="en-US" w:eastAsia="en-US"/>
              </w:rPr>
            </w:pPr>
            <w:r w:rsidRPr="0038045B">
              <w:rPr>
                <w:i/>
                <w:sz w:val="20"/>
                <w:lang w:val="en-US" w:eastAsia="en-US"/>
              </w:rPr>
              <w:t>Adults living in rural areas</w:t>
            </w:r>
          </w:p>
        </w:tc>
        <w:tc>
          <w:tcPr>
            <w:tcW w:w="1260" w:type="dxa"/>
          </w:tcPr>
          <w:p w14:paraId="2BF23563" w14:textId="77777777" w:rsidR="00650939" w:rsidRPr="0038045B" w:rsidRDefault="00650939" w:rsidP="00AE7A1E">
            <w:pPr>
              <w:pStyle w:val="Body"/>
              <w:spacing w:before="120" w:line="276" w:lineRule="auto"/>
              <w:ind w:firstLine="0"/>
              <w:jc w:val="center"/>
              <w:rPr>
                <w:i/>
                <w:sz w:val="20"/>
                <w:lang w:val="en-US" w:eastAsia="en-US"/>
              </w:rPr>
            </w:pPr>
            <w:r w:rsidRPr="0038045B">
              <w:rPr>
                <w:i/>
                <w:sz w:val="20"/>
                <w:lang w:val="en-US" w:eastAsia="en-US"/>
              </w:rPr>
              <w:t>33.2</w:t>
            </w:r>
          </w:p>
        </w:tc>
        <w:tc>
          <w:tcPr>
            <w:tcW w:w="1260" w:type="dxa"/>
          </w:tcPr>
          <w:p w14:paraId="05F6F168" w14:textId="77777777" w:rsidR="00650939" w:rsidRPr="0038045B" w:rsidRDefault="00650939" w:rsidP="00AE7A1E">
            <w:pPr>
              <w:pStyle w:val="Body"/>
              <w:spacing w:before="120" w:line="276" w:lineRule="auto"/>
              <w:ind w:firstLine="0"/>
              <w:jc w:val="center"/>
              <w:rPr>
                <w:i/>
                <w:sz w:val="20"/>
                <w:lang w:val="en-US" w:eastAsia="en-US"/>
              </w:rPr>
            </w:pPr>
            <w:r w:rsidRPr="0038045B">
              <w:rPr>
                <w:i/>
                <w:sz w:val="20"/>
                <w:lang w:val="en-US" w:eastAsia="en-US"/>
              </w:rPr>
              <w:t>45.7</w:t>
            </w:r>
          </w:p>
        </w:tc>
        <w:tc>
          <w:tcPr>
            <w:tcW w:w="1528" w:type="dxa"/>
          </w:tcPr>
          <w:p w14:paraId="6D97DF79" w14:textId="77777777" w:rsidR="00650939" w:rsidRPr="0038045B" w:rsidRDefault="00650939" w:rsidP="00AE7A1E">
            <w:pPr>
              <w:pStyle w:val="Body"/>
              <w:spacing w:before="120" w:line="276" w:lineRule="auto"/>
              <w:ind w:firstLine="0"/>
              <w:jc w:val="center"/>
              <w:rPr>
                <w:i/>
                <w:sz w:val="20"/>
                <w:lang w:val="en-US" w:eastAsia="en-US"/>
              </w:rPr>
            </w:pPr>
            <w:r w:rsidRPr="0038045B">
              <w:rPr>
                <w:i/>
                <w:sz w:val="20"/>
                <w:lang w:val="en-US" w:eastAsia="en-US"/>
              </w:rPr>
              <w:t>68.8</w:t>
            </w:r>
          </w:p>
        </w:tc>
      </w:tr>
      <w:tr w:rsidR="00650939" w:rsidRPr="0038045B" w14:paraId="52EC0F43" w14:textId="77777777" w:rsidTr="007E6C86">
        <w:trPr>
          <w:jc w:val="center"/>
        </w:trPr>
        <w:tc>
          <w:tcPr>
            <w:tcW w:w="4675" w:type="dxa"/>
          </w:tcPr>
          <w:p w14:paraId="1C4D6153" w14:textId="77777777" w:rsidR="00650939" w:rsidRPr="0038045B" w:rsidRDefault="00650939" w:rsidP="00650939">
            <w:pPr>
              <w:pStyle w:val="Body"/>
              <w:spacing w:before="120" w:line="276" w:lineRule="auto"/>
              <w:ind w:firstLine="0"/>
              <w:rPr>
                <w:sz w:val="22"/>
                <w:szCs w:val="22"/>
                <w:lang w:val="en-US" w:eastAsia="en-US"/>
              </w:rPr>
            </w:pPr>
            <w:r w:rsidRPr="0038045B">
              <w:rPr>
                <w:sz w:val="22"/>
                <w:szCs w:val="22"/>
                <w:lang w:val="en-US" w:eastAsia="en-US"/>
              </w:rPr>
              <w:t>All adults, year 2011</w:t>
            </w:r>
          </w:p>
        </w:tc>
        <w:tc>
          <w:tcPr>
            <w:tcW w:w="1260" w:type="dxa"/>
          </w:tcPr>
          <w:p w14:paraId="5F9B63C6" w14:textId="77777777" w:rsidR="00650939" w:rsidRPr="0038045B" w:rsidRDefault="00650939" w:rsidP="00AE7A1E">
            <w:pPr>
              <w:pStyle w:val="Body"/>
              <w:spacing w:before="120" w:line="276" w:lineRule="auto"/>
              <w:ind w:firstLine="0"/>
              <w:jc w:val="center"/>
              <w:rPr>
                <w:sz w:val="22"/>
                <w:szCs w:val="22"/>
                <w:lang w:val="en-US" w:eastAsia="en-US"/>
              </w:rPr>
            </w:pPr>
            <w:r w:rsidRPr="0038045B">
              <w:rPr>
                <w:sz w:val="22"/>
                <w:szCs w:val="22"/>
                <w:lang w:val="en-US" w:eastAsia="en-US"/>
              </w:rPr>
              <w:t>28.3</w:t>
            </w:r>
          </w:p>
        </w:tc>
        <w:tc>
          <w:tcPr>
            <w:tcW w:w="1260" w:type="dxa"/>
          </w:tcPr>
          <w:p w14:paraId="674F8CBA" w14:textId="77777777" w:rsidR="00650939" w:rsidRPr="0038045B" w:rsidRDefault="00650939" w:rsidP="00AE7A1E">
            <w:pPr>
              <w:pStyle w:val="Body"/>
              <w:spacing w:before="120" w:line="276" w:lineRule="auto"/>
              <w:ind w:firstLine="0"/>
              <w:jc w:val="center"/>
              <w:rPr>
                <w:sz w:val="22"/>
                <w:szCs w:val="22"/>
                <w:lang w:val="en-US" w:eastAsia="en-US"/>
              </w:rPr>
            </w:pPr>
            <w:r w:rsidRPr="0038045B">
              <w:rPr>
                <w:sz w:val="22"/>
                <w:szCs w:val="22"/>
                <w:lang w:val="en-US" w:eastAsia="en-US"/>
              </w:rPr>
              <w:t>43.3</w:t>
            </w:r>
          </w:p>
        </w:tc>
        <w:tc>
          <w:tcPr>
            <w:tcW w:w="1528" w:type="dxa"/>
          </w:tcPr>
          <w:p w14:paraId="71D6A7B0" w14:textId="77777777" w:rsidR="00650939" w:rsidRPr="0038045B" w:rsidRDefault="00650939" w:rsidP="00AE7A1E">
            <w:pPr>
              <w:pStyle w:val="Body"/>
              <w:spacing w:before="120" w:line="276" w:lineRule="auto"/>
              <w:ind w:firstLine="0"/>
              <w:jc w:val="center"/>
              <w:rPr>
                <w:sz w:val="22"/>
                <w:szCs w:val="22"/>
                <w:lang w:val="en-US" w:eastAsia="en-US"/>
              </w:rPr>
            </w:pPr>
            <w:r w:rsidRPr="0038045B">
              <w:rPr>
                <w:sz w:val="22"/>
                <w:szCs w:val="22"/>
                <w:lang w:val="en-US" w:eastAsia="en-US"/>
              </w:rPr>
              <w:t>57.4</w:t>
            </w:r>
          </w:p>
        </w:tc>
      </w:tr>
      <w:tr w:rsidR="00A0776F" w:rsidRPr="0038045B" w14:paraId="6A655FDD" w14:textId="77777777" w:rsidTr="007E6C86">
        <w:trPr>
          <w:jc w:val="center"/>
        </w:trPr>
        <w:tc>
          <w:tcPr>
            <w:tcW w:w="8723" w:type="dxa"/>
            <w:gridSpan w:val="4"/>
          </w:tcPr>
          <w:p w14:paraId="45124EC9" w14:textId="77777777" w:rsidR="00A0776F" w:rsidRPr="0038045B" w:rsidRDefault="00A0776F" w:rsidP="00E24C50">
            <w:pPr>
              <w:pStyle w:val="Body"/>
              <w:spacing w:before="120" w:line="276" w:lineRule="auto"/>
              <w:ind w:firstLine="0"/>
              <w:rPr>
                <w:b/>
                <w:sz w:val="22"/>
                <w:szCs w:val="22"/>
                <w:lang w:val="en-US" w:eastAsia="en-US"/>
              </w:rPr>
            </w:pPr>
            <w:r w:rsidRPr="0038045B">
              <w:rPr>
                <w:b/>
                <w:sz w:val="22"/>
                <w:szCs w:val="22"/>
                <w:lang w:val="en-US" w:eastAsia="en-US"/>
              </w:rPr>
              <w:t>Use of Account in the past year (%</w:t>
            </w:r>
            <w:r w:rsidR="00E24C50" w:rsidRPr="0038045B">
              <w:rPr>
                <w:b/>
                <w:sz w:val="22"/>
                <w:szCs w:val="22"/>
                <w:lang w:val="en-US" w:eastAsia="en-US"/>
              </w:rPr>
              <w:t xml:space="preserve"> of population with </w:t>
            </w:r>
            <w:r w:rsidRPr="0038045B">
              <w:rPr>
                <w:b/>
                <w:sz w:val="22"/>
                <w:szCs w:val="22"/>
                <w:lang w:val="en-US" w:eastAsia="en-US"/>
              </w:rPr>
              <w:t>age 15+)</w:t>
            </w:r>
          </w:p>
        </w:tc>
      </w:tr>
      <w:tr w:rsidR="00AE7A1E" w:rsidRPr="0038045B" w14:paraId="6B44DA70" w14:textId="77777777" w:rsidTr="007E6C86">
        <w:trPr>
          <w:jc w:val="center"/>
        </w:trPr>
        <w:tc>
          <w:tcPr>
            <w:tcW w:w="4675" w:type="dxa"/>
          </w:tcPr>
          <w:p w14:paraId="4E1BA23C" w14:textId="77777777" w:rsidR="00AE7A1E" w:rsidRPr="0038045B" w:rsidRDefault="00A0776F" w:rsidP="00650939">
            <w:pPr>
              <w:pStyle w:val="Body"/>
              <w:spacing w:before="120" w:line="276" w:lineRule="auto"/>
              <w:ind w:firstLine="0"/>
              <w:rPr>
                <w:sz w:val="22"/>
                <w:szCs w:val="22"/>
                <w:lang w:val="en-US" w:eastAsia="en-US"/>
              </w:rPr>
            </w:pPr>
            <w:r w:rsidRPr="0038045B">
              <w:rPr>
                <w:sz w:val="22"/>
                <w:szCs w:val="22"/>
                <w:lang w:val="en-US" w:eastAsia="en-US"/>
              </w:rPr>
              <w:t>Used an account to receive wages</w:t>
            </w:r>
          </w:p>
        </w:tc>
        <w:tc>
          <w:tcPr>
            <w:tcW w:w="1260" w:type="dxa"/>
          </w:tcPr>
          <w:p w14:paraId="152BC8CB" w14:textId="77777777" w:rsidR="00AE7A1E"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10.8</w:t>
            </w:r>
          </w:p>
        </w:tc>
        <w:tc>
          <w:tcPr>
            <w:tcW w:w="1260" w:type="dxa"/>
          </w:tcPr>
          <w:p w14:paraId="4BC2C3ED" w14:textId="77777777" w:rsidR="00AE7A1E"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22.5</w:t>
            </w:r>
          </w:p>
        </w:tc>
        <w:tc>
          <w:tcPr>
            <w:tcW w:w="1528" w:type="dxa"/>
          </w:tcPr>
          <w:p w14:paraId="09E32D13" w14:textId="77777777" w:rsidR="00AE7A1E"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18.1</w:t>
            </w:r>
          </w:p>
        </w:tc>
      </w:tr>
      <w:tr w:rsidR="00AE7A1E" w:rsidRPr="0038045B" w14:paraId="0333638B" w14:textId="77777777" w:rsidTr="007E6C86">
        <w:trPr>
          <w:jc w:val="center"/>
        </w:trPr>
        <w:tc>
          <w:tcPr>
            <w:tcW w:w="4675" w:type="dxa"/>
          </w:tcPr>
          <w:p w14:paraId="4B7CDECB" w14:textId="77777777" w:rsidR="00AE7A1E" w:rsidRPr="0038045B" w:rsidRDefault="00A0776F" w:rsidP="00650939">
            <w:pPr>
              <w:pStyle w:val="Body"/>
              <w:spacing w:before="120" w:line="276" w:lineRule="auto"/>
              <w:ind w:firstLine="0"/>
              <w:rPr>
                <w:sz w:val="22"/>
                <w:szCs w:val="22"/>
                <w:lang w:val="en-US" w:eastAsia="en-US"/>
              </w:rPr>
            </w:pPr>
            <w:r w:rsidRPr="0038045B">
              <w:rPr>
                <w:sz w:val="22"/>
                <w:szCs w:val="22"/>
                <w:lang w:val="en-US" w:eastAsia="en-US"/>
              </w:rPr>
              <w:t>Used an account to re</w:t>
            </w:r>
            <w:r w:rsidR="006D1D26" w:rsidRPr="0038045B">
              <w:rPr>
                <w:sz w:val="22"/>
                <w:szCs w:val="22"/>
                <w:lang w:val="en-US" w:eastAsia="en-US"/>
              </w:rPr>
              <w:t>c</w:t>
            </w:r>
            <w:r w:rsidRPr="0038045B">
              <w:rPr>
                <w:sz w:val="22"/>
                <w:szCs w:val="22"/>
                <w:lang w:val="en-US" w:eastAsia="en-US"/>
              </w:rPr>
              <w:t>eive government transfers</w:t>
            </w:r>
          </w:p>
        </w:tc>
        <w:tc>
          <w:tcPr>
            <w:tcW w:w="1260" w:type="dxa"/>
          </w:tcPr>
          <w:p w14:paraId="107BDF00" w14:textId="77777777" w:rsidR="00AE7A1E"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3.5</w:t>
            </w:r>
          </w:p>
        </w:tc>
        <w:tc>
          <w:tcPr>
            <w:tcW w:w="1260" w:type="dxa"/>
          </w:tcPr>
          <w:p w14:paraId="7B26C0E3" w14:textId="77777777" w:rsidR="00AE7A1E"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7.3</w:t>
            </w:r>
          </w:p>
        </w:tc>
        <w:tc>
          <w:tcPr>
            <w:tcW w:w="1528" w:type="dxa"/>
          </w:tcPr>
          <w:p w14:paraId="18C2C605" w14:textId="77777777" w:rsidR="00AE7A1E"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9.6</w:t>
            </w:r>
          </w:p>
        </w:tc>
      </w:tr>
      <w:tr w:rsidR="00AE7A1E" w:rsidRPr="0038045B" w14:paraId="75C6EF10" w14:textId="77777777" w:rsidTr="007E6C86">
        <w:trPr>
          <w:jc w:val="center"/>
        </w:trPr>
        <w:tc>
          <w:tcPr>
            <w:tcW w:w="4675" w:type="dxa"/>
          </w:tcPr>
          <w:p w14:paraId="657E8809" w14:textId="77777777" w:rsidR="00AE7A1E" w:rsidRPr="0038045B" w:rsidRDefault="00A0776F" w:rsidP="00650939">
            <w:pPr>
              <w:pStyle w:val="Body"/>
              <w:spacing w:before="120" w:line="276" w:lineRule="auto"/>
              <w:ind w:firstLine="0"/>
              <w:rPr>
                <w:sz w:val="22"/>
                <w:szCs w:val="22"/>
                <w:lang w:val="en-US" w:eastAsia="en-US"/>
              </w:rPr>
            </w:pPr>
            <w:r w:rsidRPr="0038045B">
              <w:rPr>
                <w:sz w:val="22"/>
                <w:szCs w:val="22"/>
                <w:lang w:val="en-US" w:eastAsia="en-US"/>
              </w:rPr>
              <w:t xml:space="preserve">Used a financial institution </w:t>
            </w:r>
            <w:r w:rsidR="007D2F2B" w:rsidRPr="0038045B">
              <w:rPr>
                <w:sz w:val="22"/>
                <w:szCs w:val="22"/>
                <w:lang w:val="en-US" w:eastAsia="en-US"/>
              </w:rPr>
              <w:t xml:space="preserve">account </w:t>
            </w:r>
            <w:r w:rsidRPr="0038045B">
              <w:rPr>
                <w:sz w:val="22"/>
                <w:szCs w:val="22"/>
                <w:lang w:val="en-US" w:eastAsia="en-US"/>
              </w:rPr>
              <w:t>to pay utility</w:t>
            </w:r>
            <w:r w:rsidR="007D2F2B" w:rsidRPr="0038045B">
              <w:rPr>
                <w:sz w:val="22"/>
                <w:szCs w:val="22"/>
                <w:lang w:val="en-US" w:eastAsia="en-US"/>
              </w:rPr>
              <w:t xml:space="preserve"> </w:t>
            </w:r>
            <w:r w:rsidR="0074270C" w:rsidRPr="0038045B">
              <w:rPr>
                <w:sz w:val="22"/>
                <w:szCs w:val="22"/>
                <w:lang w:val="en-US" w:eastAsia="en-US"/>
              </w:rPr>
              <w:t>bills</w:t>
            </w:r>
            <w:r w:rsidRPr="0038045B">
              <w:rPr>
                <w:sz w:val="22"/>
                <w:szCs w:val="22"/>
                <w:lang w:val="en-US" w:eastAsia="en-US"/>
              </w:rPr>
              <w:t xml:space="preserve"> </w:t>
            </w:r>
          </w:p>
        </w:tc>
        <w:tc>
          <w:tcPr>
            <w:tcW w:w="1260" w:type="dxa"/>
          </w:tcPr>
          <w:p w14:paraId="4235B87C" w14:textId="77777777" w:rsidR="00AE7A1E"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2.6</w:t>
            </w:r>
          </w:p>
        </w:tc>
        <w:tc>
          <w:tcPr>
            <w:tcW w:w="1260" w:type="dxa"/>
          </w:tcPr>
          <w:p w14:paraId="21F33727" w14:textId="77777777" w:rsidR="00AE7A1E"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12.5</w:t>
            </w:r>
          </w:p>
        </w:tc>
        <w:tc>
          <w:tcPr>
            <w:tcW w:w="1528" w:type="dxa"/>
          </w:tcPr>
          <w:p w14:paraId="0A979F4C" w14:textId="77777777" w:rsidR="00AE7A1E"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12.3</w:t>
            </w:r>
          </w:p>
        </w:tc>
      </w:tr>
      <w:tr w:rsidR="00A0776F" w:rsidRPr="0038045B" w14:paraId="5F65D7AE" w14:textId="77777777" w:rsidTr="007E6C86">
        <w:trPr>
          <w:jc w:val="center"/>
        </w:trPr>
        <w:tc>
          <w:tcPr>
            <w:tcW w:w="8723" w:type="dxa"/>
            <w:gridSpan w:val="4"/>
          </w:tcPr>
          <w:p w14:paraId="6BCE2B73" w14:textId="77777777" w:rsidR="00A0776F" w:rsidRPr="0038045B" w:rsidRDefault="00A0776F" w:rsidP="00E24C50">
            <w:pPr>
              <w:pStyle w:val="Body"/>
              <w:spacing w:before="120" w:line="276" w:lineRule="auto"/>
              <w:ind w:firstLine="0"/>
              <w:jc w:val="left"/>
              <w:rPr>
                <w:b/>
                <w:sz w:val="22"/>
                <w:szCs w:val="22"/>
                <w:lang w:val="en-US" w:eastAsia="en-US"/>
              </w:rPr>
            </w:pPr>
            <w:r w:rsidRPr="0038045B">
              <w:rPr>
                <w:b/>
                <w:sz w:val="22"/>
                <w:szCs w:val="22"/>
                <w:lang w:val="en-US" w:eastAsia="en-US"/>
              </w:rPr>
              <w:t xml:space="preserve">Other electronic payments in the past year (% </w:t>
            </w:r>
            <w:r w:rsidR="00E24C50" w:rsidRPr="0038045B">
              <w:rPr>
                <w:b/>
                <w:sz w:val="22"/>
                <w:szCs w:val="22"/>
                <w:lang w:val="en-US" w:eastAsia="en-US"/>
              </w:rPr>
              <w:t xml:space="preserve">of population with age </w:t>
            </w:r>
            <w:r w:rsidRPr="0038045B">
              <w:rPr>
                <w:b/>
                <w:sz w:val="22"/>
                <w:szCs w:val="22"/>
                <w:lang w:val="en-US" w:eastAsia="en-US"/>
              </w:rPr>
              <w:t>15+)</w:t>
            </w:r>
          </w:p>
        </w:tc>
      </w:tr>
      <w:tr w:rsidR="00A0776F" w:rsidRPr="0038045B" w14:paraId="221F5ADD" w14:textId="77777777" w:rsidTr="007E6C86">
        <w:trPr>
          <w:jc w:val="center"/>
        </w:trPr>
        <w:tc>
          <w:tcPr>
            <w:tcW w:w="4675" w:type="dxa"/>
          </w:tcPr>
          <w:p w14:paraId="6110269E" w14:textId="77777777" w:rsidR="00A0776F" w:rsidRPr="0038045B" w:rsidRDefault="00A0776F" w:rsidP="00650939">
            <w:pPr>
              <w:pStyle w:val="Body"/>
              <w:spacing w:before="120" w:line="276" w:lineRule="auto"/>
              <w:ind w:firstLine="0"/>
              <w:rPr>
                <w:sz w:val="22"/>
                <w:szCs w:val="22"/>
                <w:lang w:val="en-US" w:eastAsia="en-US"/>
              </w:rPr>
            </w:pPr>
            <w:r w:rsidRPr="0038045B">
              <w:rPr>
                <w:sz w:val="22"/>
                <w:szCs w:val="22"/>
                <w:lang w:val="en-US" w:eastAsia="en-US"/>
              </w:rPr>
              <w:lastRenderedPageBreak/>
              <w:t>Used a debit card to make payments</w:t>
            </w:r>
          </w:p>
        </w:tc>
        <w:tc>
          <w:tcPr>
            <w:tcW w:w="1260" w:type="dxa"/>
          </w:tcPr>
          <w:p w14:paraId="43A677A1" w14:textId="77777777" w:rsidR="00A0776F"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4.0</w:t>
            </w:r>
          </w:p>
        </w:tc>
        <w:tc>
          <w:tcPr>
            <w:tcW w:w="1260" w:type="dxa"/>
          </w:tcPr>
          <w:p w14:paraId="64483B78" w14:textId="77777777" w:rsidR="00A0776F"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22.9</w:t>
            </w:r>
          </w:p>
        </w:tc>
        <w:tc>
          <w:tcPr>
            <w:tcW w:w="1528" w:type="dxa"/>
          </w:tcPr>
          <w:p w14:paraId="421E5E95" w14:textId="77777777" w:rsidR="00A0776F"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19.9</w:t>
            </w:r>
          </w:p>
        </w:tc>
      </w:tr>
      <w:tr w:rsidR="00A0776F" w:rsidRPr="0038045B" w14:paraId="0556DD12" w14:textId="77777777" w:rsidTr="007E6C86">
        <w:trPr>
          <w:jc w:val="center"/>
        </w:trPr>
        <w:tc>
          <w:tcPr>
            <w:tcW w:w="4675" w:type="dxa"/>
          </w:tcPr>
          <w:p w14:paraId="27ED96DF" w14:textId="77777777" w:rsidR="00A0776F" w:rsidRPr="0038045B" w:rsidRDefault="00A0776F" w:rsidP="00650939">
            <w:pPr>
              <w:pStyle w:val="Body"/>
              <w:spacing w:before="120" w:line="276" w:lineRule="auto"/>
              <w:ind w:firstLine="0"/>
              <w:rPr>
                <w:sz w:val="22"/>
                <w:szCs w:val="22"/>
                <w:lang w:val="en-US" w:eastAsia="en-US"/>
              </w:rPr>
            </w:pPr>
            <w:r w:rsidRPr="0038045B">
              <w:rPr>
                <w:sz w:val="22"/>
                <w:szCs w:val="22"/>
                <w:lang w:val="en-US" w:eastAsia="en-US"/>
              </w:rPr>
              <w:t>Used a credit card to make payments</w:t>
            </w:r>
          </w:p>
        </w:tc>
        <w:tc>
          <w:tcPr>
            <w:tcW w:w="1260" w:type="dxa"/>
          </w:tcPr>
          <w:p w14:paraId="60C1A088" w14:textId="77777777" w:rsidR="00A0776F"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4.0</w:t>
            </w:r>
          </w:p>
        </w:tc>
        <w:tc>
          <w:tcPr>
            <w:tcW w:w="1260" w:type="dxa"/>
          </w:tcPr>
          <w:p w14:paraId="7F387218" w14:textId="77777777" w:rsidR="00A0776F"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14.9</w:t>
            </w:r>
          </w:p>
        </w:tc>
        <w:tc>
          <w:tcPr>
            <w:tcW w:w="1528" w:type="dxa"/>
          </w:tcPr>
          <w:p w14:paraId="337E0A1E" w14:textId="77777777" w:rsidR="00A0776F"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14.4</w:t>
            </w:r>
          </w:p>
        </w:tc>
      </w:tr>
      <w:tr w:rsidR="00A0776F" w:rsidRPr="0038045B" w14:paraId="0894ACCB" w14:textId="77777777" w:rsidTr="007E6C86">
        <w:trPr>
          <w:jc w:val="center"/>
        </w:trPr>
        <w:tc>
          <w:tcPr>
            <w:tcW w:w="4675" w:type="dxa"/>
          </w:tcPr>
          <w:p w14:paraId="706BA98B" w14:textId="77777777" w:rsidR="00A0776F" w:rsidRPr="0038045B" w:rsidRDefault="00A0776F" w:rsidP="00650939">
            <w:pPr>
              <w:pStyle w:val="Body"/>
              <w:spacing w:before="120" w:line="276" w:lineRule="auto"/>
              <w:ind w:firstLine="0"/>
              <w:rPr>
                <w:sz w:val="22"/>
                <w:szCs w:val="22"/>
                <w:lang w:val="en-US" w:eastAsia="en-US"/>
              </w:rPr>
            </w:pPr>
            <w:r w:rsidRPr="0038045B">
              <w:rPr>
                <w:sz w:val="22"/>
                <w:szCs w:val="22"/>
                <w:lang w:val="en-US" w:eastAsia="en-US"/>
              </w:rPr>
              <w:t>Used the Internet to pay bills or make purchases</w:t>
            </w:r>
          </w:p>
        </w:tc>
        <w:tc>
          <w:tcPr>
            <w:tcW w:w="1260" w:type="dxa"/>
          </w:tcPr>
          <w:p w14:paraId="6D542790" w14:textId="77777777" w:rsidR="00A0776F"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3.3</w:t>
            </w:r>
          </w:p>
        </w:tc>
        <w:tc>
          <w:tcPr>
            <w:tcW w:w="1260" w:type="dxa"/>
          </w:tcPr>
          <w:p w14:paraId="507EB912" w14:textId="77777777" w:rsidR="00A0776F"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11.9</w:t>
            </w:r>
          </w:p>
        </w:tc>
        <w:tc>
          <w:tcPr>
            <w:tcW w:w="1528" w:type="dxa"/>
          </w:tcPr>
          <w:p w14:paraId="288EC7D3" w14:textId="77777777" w:rsidR="00A0776F" w:rsidRPr="0038045B" w:rsidRDefault="00A0776F" w:rsidP="00AE7A1E">
            <w:pPr>
              <w:pStyle w:val="Body"/>
              <w:spacing w:before="120" w:line="276" w:lineRule="auto"/>
              <w:ind w:firstLine="0"/>
              <w:jc w:val="center"/>
              <w:rPr>
                <w:sz w:val="22"/>
                <w:szCs w:val="22"/>
                <w:lang w:val="en-US" w:eastAsia="en-US"/>
              </w:rPr>
            </w:pPr>
            <w:r w:rsidRPr="0038045B">
              <w:rPr>
                <w:sz w:val="22"/>
                <w:szCs w:val="22"/>
                <w:lang w:val="en-US" w:eastAsia="en-US"/>
              </w:rPr>
              <w:t>15.3</w:t>
            </w:r>
          </w:p>
        </w:tc>
      </w:tr>
    </w:tbl>
    <w:p w14:paraId="4AB591A1" w14:textId="77777777" w:rsidR="00A0776F" w:rsidRPr="0038045B" w:rsidRDefault="006D1D26" w:rsidP="00E207A7">
      <w:pPr>
        <w:pStyle w:val="Body"/>
        <w:spacing w:before="120" w:after="240" w:line="276" w:lineRule="auto"/>
        <w:ind w:firstLine="0"/>
        <w:rPr>
          <w:sz w:val="20"/>
          <w:lang w:val="en-US" w:eastAsia="en-US"/>
        </w:rPr>
      </w:pPr>
      <w:r w:rsidRPr="0038045B">
        <w:rPr>
          <w:i/>
          <w:sz w:val="20"/>
          <w:lang w:val="en-US" w:eastAsia="en-US"/>
        </w:rPr>
        <w:t>Source</w:t>
      </w:r>
      <w:r w:rsidRPr="0038045B">
        <w:rPr>
          <w:sz w:val="20"/>
          <w:lang w:val="en-US" w:eastAsia="en-US"/>
        </w:rPr>
        <w:t>: World Bank (2015), “The little da</w:t>
      </w:r>
      <w:r w:rsidR="006A5D9C" w:rsidRPr="0038045B">
        <w:rPr>
          <w:sz w:val="20"/>
          <w:lang w:val="en-US" w:eastAsia="en-US"/>
        </w:rPr>
        <w:t>ta book on financial inclusion”, Washington.</w:t>
      </w:r>
    </w:p>
    <w:p w14:paraId="32A0BBEF" w14:textId="77777777" w:rsidR="00301D2F" w:rsidRPr="0038045B" w:rsidRDefault="0091644B" w:rsidP="00C80F30">
      <w:pPr>
        <w:pStyle w:val="Body"/>
        <w:numPr>
          <w:ilvl w:val="0"/>
          <w:numId w:val="15"/>
        </w:numPr>
        <w:spacing w:before="120" w:line="276" w:lineRule="auto"/>
        <w:ind w:left="0" w:firstLine="0"/>
        <w:rPr>
          <w:lang w:val="en-US" w:eastAsia="en-US"/>
        </w:rPr>
      </w:pPr>
      <w:r w:rsidRPr="0038045B">
        <w:rPr>
          <w:lang w:val="en-US" w:eastAsia="en-US"/>
        </w:rPr>
        <w:t>According to data in T</w:t>
      </w:r>
      <w:r w:rsidR="00EA1992" w:rsidRPr="0038045B">
        <w:rPr>
          <w:lang w:val="en-US" w:eastAsia="en-US"/>
        </w:rPr>
        <w:t xml:space="preserve">able 1, less than 40% of </w:t>
      </w:r>
      <w:r w:rsidRPr="0038045B">
        <w:rPr>
          <w:lang w:val="en-US" w:eastAsia="en-US"/>
        </w:rPr>
        <w:t>adults</w:t>
      </w:r>
      <w:r w:rsidR="00346D0B" w:rsidRPr="0038045B">
        <w:rPr>
          <w:rStyle w:val="FootnoteReference"/>
          <w:lang w:val="en-US" w:eastAsia="en-US"/>
        </w:rPr>
        <w:footnoteReference w:id="15"/>
      </w:r>
      <w:r w:rsidRPr="0038045B">
        <w:rPr>
          <w:lang w:val="en-US" w:eastAsia="en-US"/>
        </w:rPr>
        <w:t xml:space="preserve"> in Albania </w:t>
      </w:r>
      <w:r w:rsidR="00EA1992" w:rsidRPr="0038045B">
        <w:rPr>
          <w:lang w:val="en-US" w:eastAsia="en-US"/>
        </w:rPr>
        <w:t xml:space="preserve">have an account. It should be noted that </w:t>
      </w:r>
      <w:r w:rsidR="00A0776F" w:rsidRPr="0038045B">
        <w:rPr>
          <w:lang w:val="en-US" w:eastAsia="en-US"/>
        </w:rPr>
        <w:t xml:space="preserve">until recently </w:t>
      </w:r>
      <w:r w:rsidR="00EA1992" w:rsidRPr="0038045B">
        <w:rPr>
          <w:lang w:val="en-US" w:eastAsia="en-US"/>
        </w:rPr>
        <w:t xml:space="preserve">in Albania </w:t>
      </w:r>
      <w:r w:rsidR="00A0776F" w:rsidRPr="0038045B">
        <w:rPr>
          <w:lang w:val="en-US" w:eastAsia="en-US"/>
        </w:rPr>
        <w:t xml:space="preserve">there was </w:t>
      </w:r>
      <w:r w:rsidR="00EA1992" w:rsidRPr="0038045B">
        <w:rPr>
          <w:lang w:val="en-US" w:eastAsia="en-US"/>
        </w:rPr>
        <w:t xml:space="preserve">no such concept as “transaction account” or “payments account”, and only banks could issue accounts. </w:t>
      </w:r>
      <w:r w:rsidR="0002422E" w:rsidRPr="0038045B">
        <w:rPr>
          <w:lang w:val="en-US" w:eastAsia="en-US"/>
        </w:rPr>
        <w:t xml:space="preserve">This changed </w:t>
      </w:r>
      <w:r w:rsidR="007B0023" w:rsidRPr="0038045B">
        <w:rPr>
          <w:lang w:val="en-US" w:eastAsia="en-US"/>
        </w:rPr>
        <w:t xml:space="preserve">as a result of </w:t>
      </w:r>
      <w:r w:rsidR="00FF5738" w:rsidRPr="0038045B">
        <w:rPr>
          <w:lang w:val="en-US" w:eastAsia="en-US"/>
        </w:rPr>
        <w:t>201</w:t>
      </w:r>
      <w:r w:rsidR="00F9775D" w:rsidRPr="0038045B">
        <w:rPr>
          <w:lang w:val="en-US" w:eastAsia="en-US"/>
        </w:rPr>
        <w:t>1</w:t>
      </w:r>
      <w:r w:rsidR="00FF5738" w:rsidRPr="0038045B">
        <w:rPr>
          <w:lang w:val="en-US" w:eastAsia="en-US"/>
        </w:rPr>
        <w:t xml:space="preserve"> amendments to </w:t>
      </w:r>
      <w:r w:rsidR="00F9775D" w:rsidRPr="0038045B">
        <w:rPr>
          <w:lang w:val="en-US" w:eastAsia="en-US"/>
        </w:rPr>
        <w:t>the Banking Law (art.</w:t>
      </w:r>
      <w:r w:rsidR="005E110A" w:rsidRPr="0038045B">
        <w:rPr>
          <w:lang w:val="en-US" w:eastAsia="en-US"/>
        </w:rPr>
        <w:t>4</w:t>
      </w:r>
      <w:r w:rsidR="00F9775D" w:rsidRPr="0038045B">
        <w:rPr>
          <w:lang w:val="en-US" w:eastAsia="en-US"/>
        </w:rPr>
        <w:t xml:space="preserve">) </w:t>
      </w:r>
      <w:r w:rsidR="005E110A" w:rsidRPr="0038045B">
        <w:rPr>
          <w:lang w:val="en-US" w:eastAsia="en-US"/>
        </w:rPr>
        <w:t xml:space="preserve">and 2013 </w:t>
      </w:r>
      <w:r w:rsidR="00FF5738" w:rsidRPr="0038045B">
        <w:rPr>
          <w:lang w:val="en-US" w:eastAsia="en-US"/>
        </w:rPr>
        <w:t xml:space="preserve">NBFI licensing regulations </w:t>
      </w:r>
      <w:r w:rsidR="00F9775D" w:rsidRPr="0038045B">
        <w:rPr>
          <w:lang w:val="en-US" w:eastAsia="en-US"/>
        </w:rPr>
        <w:t xml:space="preserve">that </w:t>
      </w:r>
      <w:r w:rsidR="00FF5738" w:rsidRPr="0038045B">
        <w:rPr>
          <w:lang w:val="en-US" w:eastAsia="en-US"/>
        </w:rPr>
        <w:t>inc</w:t>
      </w:r>
      <w:r w:rsidR="00101936" w:rsidRPr="0038045B">
        <w:rPr>
          <w:lang w:val="en-US" w:eastAsia="en-US"/>
        </w:rPr>
        <w:t>lude</w:t>
      </w:r>
      <w:r w:rsidR="00F9775D" w:rsidRPr="0038045B">
        <w:rPr>
          <w:lang w:val="en-US" w:eastAsia="en-US"/>
        </w:rPr>
        <w:t>d</w:t>
      </w:r>
      <w:r w:rsidR="00101936" w:rsidRPr="0038045B">
        <w:rPr>
          <w:lang w:val="en-US" w:eastAsia="en-US"/>
        </w:rPr>
        <w:t xml:space="preserve"> e-money issuance activity. T</w:t>
      </w:r>
      <w:r w:rsidR="00FF5738" w:rsidRPr="0038045B">
        <w:rPr>
          <w:lang w:val="en-US" w:eastAsia="en-US"/>
        </w:rPr>
        <w:t xml:space="preserve">o date, two </w:t>
      </w:r>
      <w:r w:rsidR="0002422E" w:rsidRPr="0038045B">
        <w:rPr>
          <w:lang w:val="en-US" w:eastAsia="en-US"/>
        </w:rPr>
        <w:t xml:space="preserve">e-money issuers </w:t>
      </w:r>
      <w:r w:rsidR="00FF5738" w:rsidRPr="0038045B">
        <w:rPr>
          <w:lang w:val="en-US" w:eastAsia="en-US"/>
        </w:rPr>
        <w:t xml:space="preserve">have been licensed to </w:t>
      </w:r>
      <w:r w:rsidR="0002422E" w:rsidRPr="0038045B">
        <w:rPr>
          <w:lang w:val="en-US" w:eastAsia="en-US"/>
        </w:rPr>
        <w:t xml:space="preserve">offer </w:t>
      </w:r>
      <w:r w:rsidR="0026471E" w:rsidRPr="0038045B">
        <w:rPr>
          <w:lang w:val="en-US" w:eastAsia="en-US"/>
        </w:rPr>
        <w:t>e-</w:t>
      </w:r>
      <w:r w:rsidR="0002422E" w:rsidRPr="0038045B">
        <w:rPr>
          <w:lang w:val="en-US" w:eastAsia="en-US"/>
        </w:rPr>
        <w:t xml:space="preserve">money accounts. At present, the total number of such </w:t>
      </w:r>
      <w:r w:rsidR="0026471E" w:rsidRPr="0038045B">
        <w:rPr>
          <w:lang w:val="en-US" w:eastAsia="en-US"/>
        </w:rPr>
        <w:t>e</w:t>
      </w:r>
      <w:r w:rsidR="00F565A2" w:rsidRPr="0038045B">
        <w:rPr>
          <w:lang w:val="en-US" w:eastAsia="en-US"/>
        </w:rPr>
        <w:t>-</w:t>
      </w:r>
      <w:r w:rsidR="00B21670" w:rsidRPr="0038045B">
        <w:rPr>
          <w:lang w:val="en-US" w:eastAsia="en-US"/>
        </w:rPr>
        <w:t xml:space="preserve">money accounts that are active (i.e. at least one transaction per quarter) is around </w:t>
      </w:r>
      <w:r w:rsidR="0002422E" w:rsidRPr="0038045B">
        <w:rPr>
          <w:lang w:val="en-US" w:eastAsia="en-US"/>
        </w:rPr>
        <w:t>6</w:t>
      </w:r>
      <w:r w:rsidR="00B21670" w:rsidRPr="0038045B">
        <w:rPr>
          <w:lang w:val="en-US" w:eastAsia="en-US"/>
        </w:rPr>
        <w:t>0</w:t>
      </w:r>
      <w:r w:rsidR="0002422E" w:rsidRPr="0038045B">
        <w:rPr>
          <w:lang w:val="en-US" w:eastAsia="en-US"/>
        </w:rPr>
        <w:t xml:space="preserve">,000, which is slightly </w:t>
      </w:r>
      <w:r w:rsidR="00B21670" w:rsidRPr="0038045B">
        <w:rPr>
          <w:lang w:val="en-US" w:eastAsia="en-US"/>
        </w:rPr>
        <w:t xml:space="preserve">more </w:t>
      </w:r>
      <w:r w:rsidR="0002422E" w:rsidRPr="0038045B">
        <w:rPr>
          <w:lang w:val="en-US" w:eastAsia="en-US"/>
        </w:rPr>
        <w:t xml:space="preserve">than </w:t>
      </w:r>
      <w:r w:rsidR="00B21670" w:rsidRPr="0038045B">
        <w:rPr>
          <w:lang w:val="en-US" w:eastAsia="en-US"/>
        </w:rPr>
        <w:t>3</w:t>
      </w:r>
      <w:r w:rsidR="0002422E" w:rsidRPr="0038045B">
        <w:rPr>
          <w:lang w:val="en-US" w:eastAsia="en-US"/>
        </w:rPr>
        <w:t>% of the total population aged 15 or above in Albania.</w:t>
      </w:r>
      <w:r w:rsidR="0002422E" w:rsidRPr="0038045B">
        <w:rPr>
          <w:rStyle w:val="FootnoteReference"/>
          <w:lang w:val="en-US" w:eastAsia="en-US"/>
        </w:rPr>
        <w:footnoteReference w:id="16"/>
      </w:r>
    </w:p>
    <w:p w14:paraId="5B568F9F" w14:textId="77777777" w:rsidR="0002422E" w:rsidRPr="0038045B" w:rsidRDefault="007E6C86" w:rsidP="00C80F30">
      <w:pPr>
        <w:pStyle w:val="Body"/>
        <w:numPr>
          <w:ilvl w:val="0"/>
          <w:numId w:val="15"/>
        </w:numPr>
        <w:spacing w:before="120" w:line="276" w:lineRule="auto"/>
        <w:ind w:left="0" w:firstLine="0"/>
        <w:rPr>
          <w:lang w:val="en-US" w:eastAsia="en-US"/>
        </w:rPr>
      </w:pPr>
      <w:r w:rsidRPr="0038045B">
        <w:rPr>
          <w:lang w:val="en-US" w:eastAsia="en-US"/>
        </w:rPr>
        <w:t>While there has been some progress from year 2011, t</w:t>
      </w:r>
      <w:r w:rsidR="0002422E" w:rsidRPr="0038045B">
        <w:rPr>
          <w:lang w:val="en-US" w:eastAsia="en-US"/>
        </w:rPr>
        <w:t xml:space="preserve">he share of </w:t>
      </w:r>
      <w:r w:rsidR="0091644B" w:rsidRPr="0038045B">
        <w:rPr>
          <w:lang w:val="en-US" w:eastAsia="en-US"/>
        </w:rPr>
        <w:t xml:space="preserve">adults </w:t>
      </w:r>
      <w:r w:rsidR="0002422E" w:rsidRPr="0038045B">
        <w:rPr>
          <w:lang w:val="en-US" w:eastAsia="en-US"/>
        </w:rPr>
        <w:t>in Albania that ha</w:t>
      </w:r>
      <w:r w:rsidRPr="0038045B">
        <w:rPr>
          <w:lang w:val="en-US" w:eastAsia="en-US"/>
        </w:rPr>
        <w:t>d</w:t>
      </w:r>
      <w:r w:rsidR="0002422E" w:rsidRPr="0038045B">
        <w:rPr>
          <w:lang w:val="en-US" w:eastAsia="en-US"/>
        </w:rPr>
        <w:t xml:space="preserve"> an account </w:t>
      </w:r>
      <w:r w:rsidRPr="0038045B">
        <w:rPr>
          <w:lang w:val="en-US" w:eastAsia="en-US"/>
        </w:rPr>
        <w:t xml:space="preserve">in 2014 still </w:t>
      </w:r>
      <w:r w:rsidR="0002422E" w:rsidRPr="0038045B">
        <w:rPr>
          <w:lang w:val="en-US" w:eastAsia="en-US"/>
        </w:rPr>
        <w:t>compare</w:t>
      </w:r>
      <w:r w:rsidRPr="0038045B">
        <w:rPr>
          <w:lang w:val="en-US" w:eastAsia="en-US"/>
        </w:rPr>
        <w:t>d</w:t>
      </w:r>
      <w:r w:rsidR="00101936" w:rsidRPr="0038045B">
        <w:rPr>
          <w:lang w:val="en-US" w:eastAsia="en-US"/>
        </w:rPr>
        <w:t xml:space="preserve"> unfavorably to</w:t>
      </w:r>
      <w:r w:rsidR="0002422E" w:rsidRPr="0038045B">
        <w:rPr>
          <w:lang w:val="en-US" w:eastAsia="en-US"/>
        </w:rPr>
        <w:t xml:space="preserve"> peer countries in the E</w:t>
      </w:r>
      <w:r w:rsidRPr="0038045B">
        <w:rPr>
          <w:lang w:val="en-US" w:eastAsia="en-US"/>
        </w:rPr>
        <w:t xml:space="preserve">CA </w:t>
      </w:r>
      <w:r w:rsidR="0002422E" w:rsidRPr="0038045B">
        <w:rPr>
          <w:lang w:val="en-US" w:eastAsia="en-US"/>
        </w:rPr>
        <w:t xml:space="preserve">region, and more even so </w:t>
      </w:r>
      <w:r w:rsidR="00101936" w:rsidRPr="0038045B">
        <w:rPr>
          <w:lang w:val="en-US" w:eastAsia="en-US"/>
        </w:rPr>
        <w:t>to</w:t>
      </w:r>
      <w:r w:rsidR="0002422E" w:rsidRPr="0038045B">
        <w:rPr>
          <w:lang w:val="en-US" w:eastAsia="en-US"/>
        </w:rPr>
        <w:t xml:space="preserve"> upper </w:t>
      </w:r>
      <w:r w:rsidRPr="0038045B">
        <w:rPr>
          <w:lang w:val="en-US" w:eastAsia="en-US"/>
        </w:rPr>
        <w:t>MICs</w:t>
      </w:r>
      <w:r w:rsidR="007D2F2B" w:rsidRPr="0038045B">
        <w:rPr>
          <w:lang w:val="en-US" w:eastAsia="en-US"/>
        </w:rPr>
        <w:t xml:space="preserve"> </w:t>
      </w:r>
      <w:r w:rsidR="0002422E" w:rsidRPr="0038045B">
        <w:rPr>
          <w:lang w:val="en-US" w:eastAsia="en-US"/>
        </w:rPr>
        <w:t xml:space="preserve">around the world. </w:t>
      </w:r>
      <w:r w:rsidR="0091644B" w:rsidRPr="0038045B">
        <w:rPr>
          <w:lang w:val="en-US" w:eastAsia="en-US"/>
        </w:rPr>
        <w:t xml:space="preserve">The </w:t>
      </w:r>
      <w:r w:rsidR="0002422E" w:rsidRPr="0038045B">
        <w:rPr>
          <w:lang w:val="en-US" w:eastAsia="en-US"/>
        </w:rPr>
        <w:t xml:space="preserve">situation </w:t>
      </w:r>
      <w:r w:rsidR="0091644B" w:rsidRPr="0038045B">
        <w:rPr>
          <w:lang w:val="en-US" w:eastAsia="en-US"/>
        </w:rPr>
        <w:t>is somewhat worse for women, young adults and adults living in rural areas,</w:t>
      </w:r>
      <w:r w:rsidR="000224E7" w:rsidRPr="0038045B">
        <w:rPr>
          <w:rStyle w:val="FootnoteReference"/>
          <w:lang w:val="en-US" w:eastAsia="en-US"/>
        </w:rPr>
        <w:footnoteReference w:id="17"/>
      </w:r>
      <w:r w:rsidR="0091644B" w:rsidRPr="0038045B">
        <w:rPr>
          <w:lang w:val="en-US" w:eastAsia="en-US"/>
        </w:rPr>
        <w:t xml:space="preserve"> in tandem with the relevant figures for other ECA countries, but is significantly worse for adults belonging to the poorest 40%. Less than 1 in 4 adults in th</w:t>
      </w:r>
      <w:r w:rsidR="00EE4553" w:rsidRPr="0038045B">
        <w:rPr>
          <w:lang w:val="en-US" w:eastAsia="en-US"/>
        </w:rPr>
        <w:t>e</w:t>
      </w:r>
      <w:r w:rsidR="0091644B" w:rsidRPr="0038045B">
        <w:rPr>
          <w:lang w:val="en-US" w:eastAsia="en-US"/>
        </w:rPr>
        <w:t xml:space="preserve"> latter group have access to an account in Albania, compared to almost 1 in 2 in other ECA countries and 2 in 3 for other </w:t>
      </w:r>
      <w:r w:rsidR="007D2F2B" w:rsidRPr="0038045B">
        <w:rPr>
          <w:lang w:val="en-US" w:eastAsia="en-US"/>
        </w:rPr>
        <w:t>upper MICs</w:t>
      </w:r>
      <w:r w:rsidR="0091644B" w:rsidRPr="0038045B">
        <w:rPr>
          <w:lang w:val="en-US" w:eastAsia="en-US"/>
        </w:rPr>
        <w:t>.</w:t>
      </w:r>
      <w:r w:rsidRPr="0038045B">
        <w:rPr>
          <w:rStyle w:val="FootnoteReference"/>
          <w:lang w:val="en-US" w:eastAsia="en-US"/>
        </w:rPr>
        <w:footnoteReference w:id="18"/>
      </w:r>
    </w:p>
    <w:p w14:paraId="22D0B1C3" w14:textId="77777777" w:rsidR="00E74792" w:rsidRPr="0038045B" w:rsidRDefault="00EE4553" w:rsidP="00C80F30">
      <w:pPr>
        <w:pStyle w:val="Body"/>
        <w:numPr>
          <w:ilvl w:val="0"/>
          <w:numId w:val="15"/>
        </w:numPr>
        <w:spacing w:before="120" w:line="276" w:lineRule="auto"/>
        <w:ind w:left="0" w:firstLine="0"/>
        <w:rPr>
          <w:lang w:val="en-US" w:eastAsia="en-US"/>
        </w:rPr>
      </w:pPr>
      <w:r w:rsidRPr="0038045B">
        <w:rPr>
          <w:lang w:val="en-US" w:eastAsia="en-US"/>
        </w:rPr>
        <w:t xml:space="preserve">According to </w:t>
      </w:r>
      <w:r w:rsidR="00101936" w:rsidRPr="0038045B">
        <w:rPr>
          <w:lang w:val="en-US" w:eastAsia="en-US"/>
        </w:rPr>
        <w:t xml:space="preserve">2014 </w:t>
      </w:r>
      <w:r w:rsidR="00BA093E" w:rsidRPr="0038045B">
        <w:rPr>
          <w:lang w:val="en-US" w:eastAsia="en-US"/>
        </w:rPr>
        <w:t xml:space="preserve">Findex </w:t>
      </w:r>
      <w:r w:rsidRPr="0038045B">
        <w:rPr>
          <w:lang w:val="en-US" w:eastAsia="en-US"/>
        </w:rPr>
        <w:t xml:space="preserve">data, 21.8% of adults </w:t>
      </w:r>
      <w:r w:rsidR="004D238E" w:rsidRPr="0038045B">
        <w:rPr>
          <w:lang w:val="en-US" w:eastAsia="en-US"/>
        </w:rPr>
        <w:t xml:space="preserve">in Albania </w:t>
      </w:r>
      <w:r w:rsidRPr="0038045B">
        <w:rPr>
          <w:lang w:val="en-US" w:eastAsia="en-US"/>
        </w:rPr>
        <w:t>have a debit card</w:t>
      </w:r>
      <w:r w:rsidR="00101936" w:rsidRPr="0038045B">
        <w:rPr>
          <w:lang w:val="en-US" w:eastAsia="en-US"/>
        </w:rPr>
        <w:t xml:space="preserve">, whereas the WBG-BoA retail payments cost study found a slightly higher </w:t>
      </w:r>
      <w:r w:rsidR="00EC5037" w:rsidRPr="0038045B">
        <w:rPr>
          <w:lang w:val="en-US" w:eastAsia="en-US"/>
        </w:rPr>
        <w:t>percentage of debit card holders – 24%</w:t>
      </w:r>
      <w:r w:rsidRPr="0038045B">
        <w:rPr>
          <w:lang w:val="en-US" w:eastAsia="en-US"/>
        </w:rPr>
        <w:t xml:space="preserve">. </w:t>
      </w:r>
      <w:r w:rsidR="00101936" w:rsidRPr="0038045B">
        <w:rPr>
          <w:lang w:val="en-US" w:eastAsia="en-US"/>
        </w:rPr>
        <w:t xml:space="preserve">It is worth noting that debit card ownership </w:t>
      </w:r>
      <w:r w:rsidRPr="0038045B">
        <w:rPr>
          <w:lang w:val="en-US" w:eastAsia="en-US"/>
        </w:rPr>
        <w:t xml:space="preserve">has not changed substantially since 2011 when 21.1% of adults in Albania had a debit card. The corresponding figures for 2014 for ECA countries were 72%, and 65% for upper MICs as a whole. </w:t>
      </w:r>
    </w:p>
    <w:p w14:paraId="3B404801" w14:textId="77777777" w:rsidR="00E74792" w:rsidRPr="0038045B" w:rsidRDefault="00EC5037" w:rsidP="00C80F30">
      <w:pPr>
        <w:pStyle w:val="Body"/>
        <w:numPr>
          <w:ilvl w:val="0"/>
          <w:numId w:val="15"/>
        </w:numPr>
        <w:spacing w:before="120" w:line="276" w:lineRule="auto"/>
        <w:ind w:left="0" w:firstLine="0"/>
        <w:rPr>
          <w:lang w:val="en-US" w:eastAsia="en-US"/>
        </w:rPr>
      </w:pPr>
      <w:r w:rsidRPr="0038045B">
        <w:rPr>
          <w:lang w:val="en-US" w:eastAsia="en-US"/>
        </w:rPr>
        <w:t>Use</w:t>
      </w:r>
      <w:r w:rsidR="00E74792" w:rsidRPr="0038045B">
        <w:rPr>
          <w:lang w:val="en-US" w:eastAsia="en-US"/>
        </w:rPr>
        <w:t xml:space="preserve"> of non-cash payment instruments in </w:t>
      </w:r>
      <w:r w:rsidR="007D2F2B" w:rsidRPr="0038045B">
        <w:rPr>
          <w:lang w:val="en-US" w:eastAsia="en-US"/>
        </w:rPr>
        <w:t xml:space="preserve">Albania </w:t>
      </w:r>
      <w:r w:rsidR="00E74792" w:rsidRPr="0038045B">
        <w:rPr>
          <w:lang w:val="en-US" w:eastAsia="en-US"/>
        </w:rPr>
        <w:t xml:space="preserve">for transactions other than cash withdrawals is </w:t>
      </w:r>
      <w:r w:rsidR="001812C3" w:rsidRPr="0038045B">
        <w:rPr>
          <w:lang w:val="en-US" w:eastAsia="en-US"/>
        </w:rPr>
        <w:t>low</w:t>
      </w:r>
      <w:r w:rsidRPr="0038045B">
        <w:rPr>
          <w:lang w:val="en-US" w:eastAsia="en-US"/>
        </w:rPr>
        <w:t>, despite a steady increase</w:t>
      </w:r>
      <w:r w:rsidR="0027326F" w:rsidRPr="0038045B">
        <w:rPr>
          <w:lang w:val="en-US" w:eastAsia="en-US"/>
        </w:rPr>
        <w:t xml:space="preserve"> since 2011. Table 2 shows </w:t>
      </w:r>
      <w:r w:rsidR="001812C3" w:rsidRPr="0038045B">
        <w:rPr>
          <w:lang w:val="en-US" w:eastAsia="en-US"/>
        </w:rPr>
        <w:t xml:space="preserve">BoA data </w:t>
      </w:r>
      <w:r w:rsidR="0027326F" w:rsidRPr="0038045B">
        <w:rPr>
          <w:lang w:val="en-US" w:eastAsia="en-US"/>
        </w:rPr>
        <w:t>on usage of pa</w:t>
      </w:r>
      <w:r w:rsidRPr="0038045B">
        <w:rPr>
          <w:lang w:val="en-US" w:eastAsia="en-US"/>
        </w:rPr>
        <w:t>yment instruments. Based on these</w:t>
      </w:r>
      <w:r w:rsidR="0027326F" w:rsidRPr="0038045B">
        <w:rPr>
          <w:lang w:val="en-US" w:eastAsia="en-US"/>
        </w:rPr>
        <w:t xml:space="preserve"> data,</w:t>
      </w:r>
      <w:r w:rsidR="001812C3" w:rsidRPr="0038045B">
        <w:rPr>
          <w:lang w:val="en-US" w:eastAsia="en-US"/>
        </w:rPr>
        <w:t xml:space="preserve"> the total number of cashless payment transactions per inhabitant in Albania </w:t>
      </w:r>
      <w:r w:rsidR="0027326F" w:rsidRPr="0038045B">
        <w:rPr>
          <w:lang w:val="en-US" w:eastAsia="en-US"/>
        </w:rPr>
        <w:t xml:space="preserve">was almost 4 in 2015, still far from other upper MICs and </w:t>
      </w:r>
      <w:r w:rsidR="00E74792" w:rsidRPr="0038045B">
        <w:rPr>
          <w:lang w:val="en-US" w:eastAsia="en-US"/>
        </w:rPr>
        <w:t>from developed economies. For example, in 201</w:t>
      </w:r>
      <w:r w:rsidR="00FF5738" w:rsidRPr="0038045B">
        <w:rPr>
          <w:lang w:val="en-US" w:eastAsia="en-US"/>
        </w:rPr>
        <w:t>5</w:t>
      </w:r>
      <w:r w:rsidR="00E74792" w:rsidRPr="0038045B">
        <w:rPr>
          <w:lang w:val="en-US" w:eastAsia="en-US"/>
        </w:rPr>
        <w:t xml:space="preserve"> </w:t>
      </w:r>
      <w:r w:rsidR="00D72CB4" w:rsidRPr="0038045B">
        <w:rPr>
          <w:lang w:val="en-US" w:eastAsia="en-US"/>
        </w:rPr>
        <w:t xml:space="preserve">Montenegro and Serbia reported 26 and 62 cashless transactions per capita, respectively, while </w:t>
      </w:r>
      <w:r w:rsidR="00E74792" w:rsidRPr="0038045B">
        <w:rPr>
          <w:lang w:val="en-US" w:eastAsia="en-US"/>
        </w:rPr>
        <w:t xml:space="preserve">the </w:t>
      </w:r>
      <w:r w:rsidR="00FF5738" w:rsidRPr="0038045B">
        <w:rPr>
          <w:lang w:val="en-US" w:eastAsia="en-US"/>
        </w:rPr>
        <w:t xml:space="preserve">average </w:t>
      </w:r>
      <w:r w:rsidR="00E74792" w:rsidRPr="0038045B">
        <w:rPr>
          <w:lang w:val="en-US" w:eastAsia="en-US"/>
        </w:rPr>
        <w:t xml:space="preserve">number of cashless </w:t>
      </w:r>
      <w:r w:rsidR="00E74792" w:rsidRPr="0038045B">
        <w:rPr>
          <w:lang w:val="en-US" w:eastAsia="en-US"/>
        </w:rPr>
        <w:lastRenderedPageBreak/>
        <w:t xml:space="preserve">payment transactions per inhabitant in </w:t>
      </w:r>
      <w:r w:rsidR="00FF5738" w:rsidRPr="0038045B">
        <w:rPr>
          <w:lang w:val="en-US" w:eastAsia="en-US"/>
        </w:rPr>
        <w:t xml:space="preserve">CPMI countries </w:t>
      </w:r>
      <w:r w:rsidR="002D51B3" w:rsidRPr="0038045B">
        <w:rPr>
          <w:lang w:val="en-US" w:eastAsia="en-US"/>
        </w:rPr>
        <w:t xml:space="preserve">was </w:t>
      </w:r>
      <w:r w:rsidR="00D72CB4" w:rsidRPr="0038045B">
        <w:rPr>
          <w:lang w:val="en-US" w:eastAsia="en-US"/>
        </w:rPr>
        <w:t>86</w:t>
      </w:r>
      <w:r w:rsidR="00E74792" w:rsidRPr="0038045B">
        <w:rPr>
          <w:lang w:val="en-US" w:eastAsia="en-US"/>
        </w:rPr>
        <w:t>.</w:t>
      </w:r>
      <w:r w:rsidR="00C53028" w:rsidRPr="0038045B">
        <w:rPr>
          <w:vertAlign w:val="superscript"/>
          <w:lang w:val="en-US" w:eastAsia="en-US"/>
        </w:rPr>
        <w:footnoteReference w:id="19"/>
      </w:r>
      <w:r w:rsidR="00C53028" w:rsidRPr="0038045B">
        <w:rPr>
          <w:lang w:val="en-US" w:eastAsia="en-US"/>
        </w:rPr>
        <w:t xml:space="preserve"> </w:t>
      </w:r>
      <w:r w:rsidRPr="0038045B">
        <w:rPr>
          <w:lang w:val="en-US" w:eastAsia="en-US"/>
        </w:rPr>
        <w:t xml:space="preserve">High income countries report over 200 </w:t>
      </w:r>
      <w:r w:rsidR="00E74792" w:rsidRPr="0038045B">
        <w:rPr>
          <w:lang w:val="en-US" w:eastAsia="en-US"/>
        </w:rPr>
        <w:t xml:space="preserve">cashless transactions per inhabitant. </w:t>
      </w:r>
    </w:p>
    <w:p w14:paraId="2C1710C0" w14:textId="77777777" w:rsidR="004E5DFA" w:rsidRPr="0038045B" w:rsidRDefault="004E5DFA" w:rsidP="00C80F30">
      <w:pPr>
        <w:pStyle w:val="Body"/>
        <w:numPr>
          <w:ilvl w:val="0"/>
          <w:numId w:val="15"/>
        </w:numPr>
        <w:spacing w:before="120" w:line="276" w:lineRule="auto"/>
        <w:ind w:left="0" w:firstLine="0"/>
        <w:rPr>
          <w:lang w:val="en-US" w:eastAsia="en-US"/>
        </w:rPr>
      </w:pPr>
      <w:r w:rsidRPr="0038045B">
        <w:rPr>
          <w:lang w:val="en-US" w:eastAsia="en-US"/>
        </w:rPr>
        <w:t xml:space="preserve">According to data in Table 2, </w:t>
      </w:r>
      <w:r w:rsidR="00F65662" w:rsidRPr="0038045B">
        <w:rPr>
          <w:lang w:val="en-US" w:eastAsia="en-US"/>
        </w:rPr>
        <w:t xml:space="preserve">paper-based </w:t>
      </w:r>
      <w:r w:rsidRPr="0038045B">
        <w:rPr>
          <w:lang w:val="en-US" w:eastAsia="en-US"/>
        </w:rPr>
        <w:t xml:space="preserve">credit transfers are the most heavily </w:t>
      </w:r>
      <w:r w:rsidR="00EC5037" w:rsidRPr="0038045B">
        <w:rPr>
          <w:lang w:val="en-US" w:eastAsia="en-US"/>
        </w:rPr>
        <w:t xml:space="preserve">used </w:t>
      </w:r>
      <w:r w:rsidRPr="0038045B">
        <w:rPr>
          <w:lang w:val="en-US" w:eastAsia="en-US"/>
        </w:rPr>
        <w:t>non-cash payment instrument, followed by payment cards. Electronic money payments initiated only recently. Us</w:t>
      </w:r>
      <w:r w:rsidR="006A5D9C" w:rsidRPr="0038045B">
        <w:rPr>
          <w:lang w:val="en-US" w:eastAsia="en-US"/>
        </w:rPr>
        <w:t>ag</w:t>
      </w:r>
      <w:r w:rsidRPr="0038045B">
        <w:rPr>
          <w:lang w:val="en-US" w:eastAsia="en-US"/>
        </w:rPr>
        <w:t>e of cheques and p</w:t>
      </w:r>
      <w:r w:rsidR="00EC5037" w:rsidRPr="0038045B">
        <w:rPr>
          <w:lang w:val="en-US" w:eastAsia="en-US"/>
        </w:rPr>
        <w:t xml:space="preserve">aper-based credit transfers is no longer growing </w:t>
      </w:r>
      <w:r w:rsidRPr="0038045B">
        <w:rPr>
          <w:lang w:val="en-US" w:eastAsia="en-US"/>
        </w:rPr>
        <w:t xml:space="preserve">or is declining (especially for cheques). In contrast, electronic channels are increasingly being used for initiating credit transfers. </w:t>
      </w:r>
      <w:r w:rsidR="00A55B1E" w:rsidRPr="0038045B">
        <w:rPr>
          <w:lang w:val="en-US" w:eastAsia="en-US"/>
        </w:rPr>
        <w:t xml:space="preserve">In 2016, electronic credit transfers grew by 28%. </w:t>
      </w:r>
    </w:p>
    <w:p w14:paraId="0BEA6D0C" w14:textId="77777777" w:rsidR="001D65AB" w:rsidRPr="0038045B" w:rsidRDefault="001D65AB" w:rsidP="001D65AB">
      <w:pPr>
        <w:pStyle w:val="Body"/>
        <w:spacing w:before="120" w:line="276" w:lineRule="auto"/>
        <w:jc w:val="center"/>
        <w:rPr>
          <w:b/>
          <w:lang w:val="en-US"/>
        </w:rPr>
      </w:pPr>
      <w:r w:rsidRPr="0038045B">
        <w:rPr>
          <w:b/>
          <w:lang w:val="en-US"/>
        </w:rPr>
        <w:t>Table 2: Basic data on usage of non-cash payment instruments in Albania</w:t>
      </w:r>
    </w:p>
    <w:p w14:paraId="3B6609ED" w14:textId="77777777" w:rsidR="001D65AB" w:rsidRPr="0038045B" w:rsidRDefault="001D65AB" w:rsidP="001D65AB">
      <w:pPr>
        <w:pStyle w:val="Body"/>
        <w:spacing w:line="276" w:lineRule="auto"/>
        <w:jc w:val="center"/>
        <w:rPr>
          <w:sz w:val="22"/>
          <w:szCs w:val="22"/>
          <w:lang w:val="en-US"/>
        </w:rPr>
      </w:pPr>
      <w:r w:rsidRPr="0038045B">
        <w:rPr>
          <w:sz w:val="22"/>
          <w:szCs w:val="22"/>
          <w:lang w:val="en-US"/>
        </w:rPr>
        <w:t>(</w:t>
      </w:r>
      <w:r w:rsidR="00C872C6" w:rsidRPr="0038045B">
        <w:rPr>
          <w:sz w:val="22"/>
          <w:szCs w:val="22"/>
          <w:lang w:val="en-US"/>
        </w:rPr>
        <w:t>T</w:t>
      </w:r>
      <w:r w:rsidR="004E5DFA" w:rsidRPr="0038045B">
        <w:rPr>
          <w:sz w:val="22"/>
          <w:szCs w:val="22"/>
          <w:lang w:val="en-US"/>
        </w:rPr>
        <w:t xml:space="preserve">ransactions initiated by customers, including </w:t>
      </w:r>
      <w:r w:rsidRPr="0038045B">
        <w:rPr>
          <w:sz w:val="22"/>
          <w:szCs w:val="22"/>
          <w:lang w:val="en-US"/>
        </w:rPr>
        <w:t>individuals and businesses)</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096"/>
        <w:gridCol w:w="1096"/>
        <w:gridCol w:w="1096"/>
        <w:gridCol w:w="1206"/>
        <w:gridCol w:w="1206"/>
        <w:gridCol w:w="1206"/>
      </w:tblGrid>
      <w:tr w:rsidR="00F65662" w:rsidRPr="0038045B" w14:paraId="0A64513F" w14:textId="77777777" w:rsidTr="00F65662">
        <w:trPr>
          <w:trHeight w:val="315"/>
          <w:jc w:val="center"/>
        </w:trPr>
        <w:tc>
          <w:tcPr>
            <w:tcW w:w="3685" w:type="dxa"/>
            <w:shd w:val="clear" w:color="000000" w:fill="FFFFFF"/>
            <w:noWrap/>
            <w:vAlign w:val="bottom"/>
            <w:hideMark/>
          </w:tcPr>
          <w:p w14:paraId="54979526" w14:textId="77777777" w:rsidR="00F65662" w:rsidRPr="0038045B" w:rsidRDefault="00F65662" w:rsidP="00F65662">
            <w:pPr>
              <w:rPr>
                <w:bCs/>
                <w:sz w:val="22"/>
                <w:szCs w:val="22"/>
                <w:lang w:eastAsia="en-US"/>
              </w:rPr>
            </w:pPr>
          </w:p>
        </w:tc>
        <w:tc>
          <w:tcPr>
            <w:tcW w:w="1096" w:type="dxa"/>
            <w:shd w:val="clear" w:color="000000" w:fill="FFFFFF"/>
            <w:noWrap/>
            <w:vAlign w:val="bottom"/>
            <w:hideMark/>
          </w:tcPr>
          <w:p w14:paraId="5641BAA7" w14:textId="77777777" w:rsidR="00F65662" w:rsidRPr="0038045B" w:rsidRDefault="00F65662" w:rsidP="00F65662">
            <w:pPr>
              <w:jc w:val="center"/>
              <w:rPr>
                <w:b/>
                <w:bCs/>
                <w:sz w:val="22"/>
                <w:szCs w:val="22"/>
                <w:lang w:eastAsia="en-US"/>
              </w:rPr>
            </w:pPr>
            <w:r w:rsidRPr="0038045B">
              <w:rPr>
                <w:b/>
                <w:bCs/>
                <w:sz w:val="22"/>
                <w:szCs w:val="22"/>
                <w:lang w:eastAsia="en-US"/>
              </w:rPr>
              <w:t>2011</w:t>
            </w:r>
          </w:p>
        </w:tc>
        <w:tc>
          <w:tcPr>
            <w:tcW w:w="1096" w:type="dxa"/>
            <w:shd w:val="clear" w:color="000000" w:fill="FFFFFF"/>
            <w:noWrap/>
            <w:vAlign w:val="bottom"/>
            <w:hideMark/>
          </w:tcPr>
          <w:p w14:paraId="32A28F6E" w14:textId="77777777" w:rsidR="00F65662" w:rsidRPr="0038045B" w:rsidRDefault="00F65662" w:rsidP="00F65662">
            <w:pPr>
              <w:jc w:val="center"/>
              <w:rPr>
                <w:b/>
                <w:bCs/>
                <w:sz w:val="22"/>
                <w:szCs w:val="22"/>
                <w:lang w:eastAsia="en-US"/>
              </w:rPr>
            </w:pPr>
            <w:r w:rsidRPr="0038045B">
              <w:rPr>
                <w:b/>
                <w:bCs/>
                <w:sz w:val="22"/>
                <w:szCs w:val="22"/>
                <w:lang w:eastAsia="en-US"/>
              </w:rPr>
              <w:t>2012</w:t>
            </w:r>
          </w:p>
        </w:tc>
        <w:tc>
          <w:tcPr>
            <w:tcW w:w="1096" w:type="dxa"/>
            <w:shd w:val="clear" w:color="000000" w:fill="FFFFFF"/>
            <w:noWrap/>
            <w:vAlign w:val="bottom"/>
            <w:hideMark/>
          </w:tcPr>
          <w:p w14:paraId="216544FB" w14:textId="77777777" w:rsidR="00F65662" w:rsidRPr="0038045B" w:rsidRDefault="00F65662" w:rsidP="00F65662">
            <w:pPr>
              <w:jc w:val="center"/>
              <w:rPr>
                <w:b/>
                <w:bCs/>
                <w:sz w:val="22"/>
                <w:szCs w:val="22"/>
                <w:lang w:eastAsia="en-US"/>
              </w:rPr>
            </w:pPr>
            <w:r w:rsidRPr="0038045B">
              <w:rPr>
                <w:b/>
                <w:bCs/>
                <w:sz w:val="22"/>
                <w:szCs w:val="22"/>
                <w:lang w:eastAsia="en-US"/>
              </w:rPr>
              <w:t>2013</w:t>
            </w:r>
          </w:p>
        </w:tc>
        <w:tc>
          <w:tcPr>
            <w:tcW w:w="1206" w:type="dxa"/>
            <w:shd w:val="clear" w:color="000000" w:fill="FFFFFF"/>
            <w:noWrap/>
            <w:vAlign w:val="bottom"/>
            <w:hideMark/>
          </w:tcPr>
          <w:p w14:paraId="451418BD" w14:textId="77777777" w:rsidR="00F65662" w:rsidRPr="0038045B" w:rsidRDefault="00F65662" w:rsidP="00F65662">
            <w:pPr>
              <w:jc w:val="center"/>
              <w:rPr>
                <w:b/>
                <w:bCs/>
                <w:sz w:val="22"/>
                <w:szCs w:val="22"/>
                <w:lang w:eastAsia="en-US"/>
              </w:rPr>
            </w:pPr>
            <w:r w:rsidRPr="0038045B">
              <w:rPr>
                <w:b/>
                <w:bCs/>
                <w:sz w:val="22"/>
                <w:szCs w:val="22"/>
                <w:lang w:eastAsia="en-US"/>
              </w:rPr>
              <w:t>2014</w:t>
            </w:r>
          </w:p>
        </w:tc>
        <w:tc>
          <w:tcPr>
            <w:tcW w:w="1206" w:type="dxa"/>
            <w:shd w:val="clear" w:color="000000" w:fill="FFFFFF"/>
            <w:vAlign w:val="bottom"/>
          </w:tcPr>
          <w:p w14:paraId="2F05F669" w14:textId="77777777" w:rsidR="00F65662" w:rsidRPr="0038045B" w:rsidRDefault="00F65662" w:rsidP="00F65662">
            <w:pPr>
              <w:jc w:val="center"/>
              <w:rPr>
                <w:b/>
                <w:bCs/>
                <w:sz w:val="22"/>
                <w:szCs w:val="22"/>
                <w:lang w:eastAsia="en-US"/>
              </w:rPr>
            </w:pPr>
            <w:r w:rsidRPr="0038045B">
              <w:rPr>
                <w:b/>
                <w:bCs/>
                <w:sz w:val="22"/>
                <w:szCs w:val="22"/>
                <w:lang w:eastAsia="en-US"/>
              </w:rPr>
              <w:t>2015</w:t>
            </w:r>
          </w:p>
        </w:tc>
        <w:tc>
          <w:tcPr>
            <w:tcW w:w="1206" w:type="dxa"/>
            <w:shd w:val="clear" w:color="000000" w:fill="FFFFFF"/>
            <w:noWrap/>
            <w:vAlign w:val="bottom"/>
            <w:hideMark/>
          </w:tcPr>
          <w:p w14:paraId="12CAD544" w14:textId="77777777" w:rsidR="00F65662" w:rsidRPr="0038045B" w:rsidRDefault="00F65662" w:rsidP="00F65662">
            <w:pPr>
              <w:jc w:val="center"/>
              <w:rPr>
                <w:b/>
                <w:bCs/>
                <w:sz w:val="22"/>
                <w:szCs w:val="22"/>
                <w:lang w:eastAsia="en-US"/>
              </w:rPr>
            </w:pPr>
            <w:r w:rsidRPr="0038045B">
              <w:rPr>
                <w:b/>
                <w:bCs/>
                <w:sz w:val="22"/>
                <w:szCs w:val="22"/>
                <w:lang w:eastAsia="en-US"/>
              </w:rPr>
              <w:t>2016</w:t>
            </w:r>
          </w:p>
        </w:tc>
      </w:tr>
      <w:tr w:rsidR="00F65662" w:rsidRPr="0038045B" w14:paraId="02E39BCF" w14:textId="77777777" w:rsidTr="00F65662">
        <w:trPr>
          <w:trHeight w:val="315"/>
          <w:jc w:val="center"/>
        </w:trPr>
        <w:tc>
          <w:tcPr>
            <w:tcW w:w="3685" w:type="dxa"/>
            <w:shd w:val="clear" w:color="000000" w:fill="FFFFFF"/>
            <w:noWrap/>
            <w:vAlign w:val="bottom"/>
            <w:hideMark/>
          </w:tcPr>
          <w:p w14:paraId="458D9290" w14:textId="77777777" w:rsidR="00F65662" w:rsidRPr="0038045B" w:rsidRDefault="00F65662" w:rsidP="00F65662">
            <w:pPr>
              <w:rPr>
                <w:bCs/>
                <w:sz w:val="22"/>
                <w:szCs w:val="22"/>
                <w:lang w:eastAsia="en-US"/>
              </w:rPr>
            </w:pPr>
            <w:r w:rsidRPr="0038045B">
              <w:rPr>
                <w:bCs/>
                <w:sz w:val="22"/>
                <w:szCs w:val="22"/>
              </w:rPr>
              <w:t xml:space="preserve">1. Paper-based credit transfers </w:t>
            </w:r>
          </w:p>
        </w:tc>
        <w:tc>
          <w:tcPr>
            <w:tcW w:w="1096" w:type="dxa"/>
            <w:shd w:val="clear" w:color="000000" w:fill="FFFFFF"/>
            <w:noWrap/>
            <w:vAlign w:val="bottom"/>
            <w:hideMark/>
          </w:tcPr>
          <w:p w14:paraId="633C6C63" w14:textId="77777777" w:rsidR="00F65662" w:rsidRPr="0038045B" w:rsidRDefault="00F65662" w:rsidP="00F65662">
            <w:pPr>
              <w:jc w:val="center"/>
              <w:rPr>
                <w:bCs/>
                <w:sz w:val="22"/>
                <w:szCs w:val="22"/>
                <w:lang w:eastAsia="en-US"/>
              </w:rPr>
            </w:pPr>
            <w:r w:rsidRPr="0038045B">
              <w:rPr>
                <w:bCs/>
                <w:sz w:val="22"/>
                <w:szCs w:val="22"/>
                <w:lang w:eastAsia="en-US"/>
              </w:rPr>
              <w:t>6,175,418</w:t>
            </w:r>
          </w:p>
        </w:tc>
        <w:tc>
          <w:tcPr>
            <w:tcW w:w="1096" w:type="dxa"/>
            <w:shd w:val="clear" w:color="000000" w:fill="FFFFFF"/>
            <w:noWrap/>
            <w:vAlign w:val="bottom"/>
            <w:hideMark/>
          </w:tcPr>
          <w:p w14:paraId="2016F625" w14:textId="77777777" w:rsidR="00F65662" w:rsidRPr="0038045B" w:rsidRDefault="00F65662" w:rsidP="00F65662">
            <w:pPr>
              <w:jc w:val="center"/>
              <w:rPr>
                <w:bCs/>
                <w:sz w:val="22"/>
                <w:szCs w:val="22"/>
                <w:lang w:eastAsia="en-US"/>
              </w:rPr>
            </w:pPr>
            <w:r w:rsidRPr="0038045B">
              <w:rPr>
                <w:bCs/>
                <w:sz w:val="22"/>
                <w:szCs w:val="22"/>
                <w:lang w:eastAsia="en-US"/>
              </w:rPr>
              <w:t>6,376,269</w:t>
            </w:r>
          </w:p>
        </w:tc>
        <w:tc>
          <w:tcPr>
            <w:tcW w:w="1096" w:type="dxa"/>
            <w:shd w:val="clear" w:color="000000" w:fill="FFFFFF"/>
            <w:noWrap/>
            <w:vAlign w:val="bottom"/>
            <w:hideMark/>
          </w:tcPr>
          <w:p w14:paraId="2BEDBDAA" w14:textId="77777777" w:rsidR="00F65662" w:rsidRPr="0038045B" w:rsidRDefault="00F65662" w:rsidP="00F65662">
            <w:pPr>
              <w:jc w:val="center"/>
              <w:rPr>
                <w:bCs/>
                <w:sz w:val="22"/>
                <w:szCs w:val="22"/>
                <w:lang w:eastAsia="en-US"/>
              </w:rPr>
            </w:pPr>
            <w:r w:rsidRPr="0038045B">
              <w:rPr>
                <w:bCs/>
                <w:sz w:val="22"/>
                <w:szCs w:val="22"/>
                <w:lang w:eastAsia="en-US"/>
              </w:rPr>
              <w:t>6,086,231</w:t>
            </w:r>
          </w:p>
        </w:tc>
        <w:tc>
          <w:tcPr>
            <w:tcW w:w="1206" w:type="dxa"/>
            <w:shd w:val="clear" w:color="000000" w:fill="FFFFFF"/>
            <w:noWrap/>
            <w:vAlign w:val="bottom"/>
            <w:hideMark/>
          </w:tcPr>
          <w:p w14:paraId="5A91DC87" w14:textId="77777777" w:rsidR="00F65662" w:rsidRPr="0038045B" w:rsidRDefault="00F65662" w:rsidP="00F65662">
            <w:pPr>
              <w:jc w:val="center"/>
              <w:rPr>
                <w:bCs/>
                <w:sz w:val="22"/>
                <w:szCs w:val="22"/>
                <w:lang w:eastAsia="en-US"/>
              </w:rPr>
            </w:pPr>
            <w:r w:rsidRPr="0038045B">
              <w:rPr>
                <w:bCs/>
                <w:sz w:val="22"/>
                <w:szCs w:val="22"/>
                <w:lang w:eastAsia="en-US"/>
              </w:rPr>
              <w:t>6,265,984</w:t>
            </w:r>
          </w:p>
        </w:tc>
        <w:tc>
          <w:tcPr>
            <w:tcW w:w="1206" w:type="dxa"/>
            <w:shd w:val="clear" w:color="000000" w:fill="FFFFFF"/>
            <w:vAlign w:val="bottom"/>
          </w:tcPr>
          <w:p w14:paraId="28C6029B" w14:textId="77777777" w:rsidR="00F65662" w:rsidRPr="0038045B" w:rsidRDefault="00F65662" w:rsidP="00F65662">
            <w:pPr>
              <w:jc w:val="center"/>
              <w:rPr>
                <w:bCs/>
                <w:sz w:val="22"/>
                <w:szCs w:val="22"/>
                <w:lang w:eastAsia="en-US"/>
              </w:rPr>
            </w:pPr>
            <w:r w:rsidRPr="0038045B">
              <w:rPr>
                <w:bCs/>
                <w:sz w:val="22"/>
                <w:szCs w:val="22"/>
                <w:lang w:eastAsia="en-US"/>
              </w:rPr>
              <w:t>6,241,373</w:t>
            </w:r>
          </w:p>
        </w:tc>
        <w:tc>
          <w:tcPr>
            <w:tcW w:w="1206" w:type="dxa"/>
            <w:shd w:val="clear" w:color="000000" w:fill="FFFFFF"/>
            <w:noWrap/>
            <w:vAlign w:val="bottom"/>
          </w:tcPr>
          <w:p w14:paraId="4F5ECCCC" w14:textId="77777777" w:rsidR="00F65662" w:rsidRPr="0038045B" w:rsidRDefault="00F65662" w:rsidP="00F65662">
            <w:pPr>
              <w:jc w:val="center"/>
              <w:rPr>
                <w:bCs/>
                <w:sz w:val="22"/>
                <w:szCs w:val="22"/>
                <w:lang w:eastAsia="en-US"/>
              </w:rPr>
            </w:pPr>
            <w:r w:rsidRPr="0038045B">
              <w:rPr>
                <w:bCs/>
                <w:sz w:val="22"/>
                <w:szCs w:val="22"/>
                <w:lang w:eastAsia="en-US"/>
              </w:rPr>
              <w:t>5,980,144</w:t>
            </w:r>
          </w:p>
        </w:tc>
      </w:tr>
      <w:tr w:rsidR="00F65662" w:rsidRPr="0038045B" w14:paraId="7BF6A849" w14:textId="77777777" w:rsidTr="00F65662">
        <w:trPr>
          <w:trHeight w:val="315"/>
          <w:jc w:val="center"/>
        </w:trPr>
        <w:tc>
          <w:tcPr>
            <w:tcW w:w="3685" w:type="dxa"/>
            <w:shd w:val="clear" w:color="000000" w:fill="FFFFFF"/>
            <w:noWrap/>
            <w:vAlign w:val="bottom"/>
            <w:hideMark/>
          </w:tcPr>
          <w:p w14:paraId="70DD04AD" w14:textId="77777777" w:rsidR="00F65662" w:rsidRPr="0038045B" w:rsidRDefault="00F65662" w:rsidP="00F65662">
            <w:pPr>
              <w:ind w:left="-23"/>
              <w:rPr>
                <w:bCs/>
                <w:sz w:val="22"/>
                <w:szCs w:val="22"/>
                <w:lang w:eastAsia="en-US"/>
              </w:rPr>
            </w:pPr>
            <w:r w:rsidRPr="0038045B">
              <w:rPr>
                <w:bCs/>
                <w:sz w:val="22"/>
                <w:szCs w:val="22"/>
                <w:lang w:eastAsia="en-US"/>
              </w:rPr>
              <w:t>2. Electronic credit transfers</w:t>
            </w:r>
          </w:p>
        </w:tc>
        <w:tc>
          <w:tcPr>
            <w:tcW w:w="1096" w:type="dxa"/>
            <w:shd w:val="clear" w:color="000000" w:fill="FFFFFF"/>
            <w:noWrap/>
            <w:vAlign w:val="bottom"/>
            <w:hideMark/>
          </w:tcPr>
          <w:p w14:paraId="6A094EB1" w14:textId="77777777" w:rsidR="00F65662" w:rsidRPr="0038045B" w:rsidRDefault="00F65662" w:rsidP="00F65662">
            <w:pPr>
              <w:jc w:val="center"/>
              <w:rPr>
                <w:bCs/>
                <w:sz w:val="22"/>
                <w:szCs w:val="22"/>
                <w:lang w:eastAsia="en-US"/>
              </w:rPr>
            </w:pPr>
            <w:r w:rsidRPr="0038045B">
              <w:rPr>
                <w:bCs/>
                <w:sz w:val="22"/>
                <w:szCs w:val="22"/>
                <w:lang w:eastAsia="en-US"/>
              </w:rPr>
              <w:t>187,431</w:t>
            </w:r>
          </w:p>
        </w:tc>
        <w:tc>
          <w:tcPr>
            <w:tcW w:w="1096" w:type="dxa"/>
            <w:shd w:val="clear" w:color="000000" w:fill="FFFFFF"/>
            <w:noWrap/>
            <w:vAlign w:val="bottom"/>
            <w:hideMark/>
          </w:tcPr>
          <w:p w14:paraId="021CD829" w14:textId="77777777" w:rsidR="00F65662" w:rsidRPr="0038045B" w:rsidRDefault="00F65662" w:rsidP="00F65662">
            <w:pPr>
              <w:jc w:val="center"/>
              <w:rPr>
                <w:bCs/>
                <w:sz w:val="22"/>
                <w:szCs w:val="22"/>
                <w:lang w:eastAsia="en-US"/>
              </w:rPr>
            </w:pPr>
            <w:r w:rsidRPr="0038045B">
              <w:rPr>
                <w:bCs/>
                <w:sz w:val="22"/>
                <w:szCs w:val="22"/>
                <w:lang w:eastAsia="en-US"/>
              </w:rPr>
              <w:t>236,215</w:t>
            </w:r>
          </w:p>
        </w:tc>
        <w:tc>
          <w:tcPr>
            <w:tcW w:w="1096" w:type="dxa"/>
            <w:shd w:val="clear" w:color="000000" w:fill="FFFFFF"/>
            <w:noWrap/>
            <w:vAlign w:val="bottom"/>
            <w:hideMark/>
          </w:tcPr>
          <w:p w14:paraId="279D5A0A" w14:textId="77777777" w:rsidR="00F65662" w:rsidRPr="0038045B" w:rsidRDefault="00F65662" w:rsidP="00F65662">
            <w:pPr>
              <w:jc w:val="center"/>
              <w:rPr>
                <w:bCs/>
                <w:sz w:val="22"/>
                <w:szCs w:val="22"/>
                <w:lang w:eastAsia="en-US"/>
              </w:rPr>
            </w:pPr>
            <w:r w:rsidRPr="0038045B">
              <w:rPr>
                <w:bCs/>
                <w:sz w:val="22"/>
                <w:szCs w:val="22"/>
                <w:lang w:eastAsia="en-US"/>
              </w:rPr>
              <w:t>322,672</w:t>
            </w:r>
          </w:p>
        </w:tc>
        <w:tc>
          <w:tcPr>
            <w:tcW w:w="1206" w:type="dxa"/>
            <w:shd w:val="clear" w:color="000000" w:fill="FFFFFF"/>
            <w:noWrap/>
            <w:vAlign w:val="bottom"/>
            <w:hideMark/>
          </w:tcPr>
          <w:p w14:paraId="5A93ED80" w14:textId="77777777" w:rsidR="00F65662" w:rsidRPr="0038045B" w:rsidRDefault="00F65662" w:rsidP="00F65662">
            <w:pPr>
              <w:jc w:val="center"/>
              <w:rPr>
                <w:bCs/>
                <w:sz w:val="22"/>
                <w:szCs w:val="22"/>
                <w:lang w:eastAsia="en-US"/>
              </w:rPr>
            </w:pPr>
            <w:r w:rsidRPr="0038045B">
              <w:rPr>
                <w:bCs/>
                <w:sz w:val="22"/>
                <w:szCs w:val="22"/>
                <w:lang w:eastAsia="en-US"/>
              </w:rPr>
              <w:t>1,249,294</w:t>
            </w:r>
          </w:p>
        </w:tc>
        <w:tc>
          <w:tcPr>
            <w:tcW w:w="1206" w:type="dxa"/>
            <w:shd w:val="clear" w:color="000000" w:fill="FFFFFF"/>
            <w:vAlign w:val="bottom"/>
          </w:tcPr>
          <w:p w14:paraId="780B3D5C" w14:textId="77777777" w:rsidR="00F65662" w:rsidRPr="0038045B" w:rsidRDefault="00F65662" w:rsidP="00F65662">
            <w:pPr>
              <w:jc w:val="center"/>
              <w:rPr>
                <w:bCs/>
                <w:sz w:val="22"/>
                <w:szCs w:val="22"/>
                <w:lang w:eastAsia="en-US"/>
              </w:rPr>
            </w:pPr>
            <w:r w:rsidRPr="0038045B">
              <w:rPr>
                <w:bCs/>
                <w:sz w:val="22"/>
                <w:szCs w:val="22"/>
                <w:lang w:eastAsia="en-US"/>
              </w:rPr>
              <w:t>1,404,052</w:t>
            </w:r>
          </w:p>
        </w:tc>
        <w:tc>
          <w:tcPr>
            <w:tcW w:w="1206" w:type="dxa"/>
            <w:shd w:val="clear" w:color="000000" w:fill="FFFFFF"/>
            <w:noWrap/>
            <w:vAlign w:val="bottom"/>
          </w:tcPr>
          <w:p w14:paraId="623DE7E8" w14:textId="77777777" w:rsidR="00F65662" w:rsidRPr="0038045B" w:rsidRDefault="00F65662" w:rsidP="00F65662">
            <w:pPr>
              <w:jc w:val="center"/>
              <w:rPr>
                <w:bCs/>
                <w:sz w:val="22"/>
                <w:szCs w:val="22"/>
                <w:lang w:eastAsia="en-US"/>
              </w:rPr>
            </w:pPr>
            <w:r w:rsidRPr="0038045B">
              <w:rPr>
                <w:bCs/>
                <w:sz w:val="22"/>
                <w:szCs w:val="22"/>
                <w:lang w:eastAsia="en-US"/>
              </w:rPr>
              <w:t>1,791,989</w:t>
            </w:r>
          </w:p>
        </w:tc>
      </w:tr>
      <w:tr w:rsidR="00F65662" w:rsidRPr="0038045B" w14:paraId="61B1F4FF" w14:textId="77777777" w:rsidTr="00F65662">
        <w:trPr>
          <w:trHeight w:val="315"/>
          <w:jc w:val="center"/>
        </w:trPr>
        <w:tc>
          <w:tcPr>
            <w:tcW w:w="3685" w:type="dxa"/>
            <w:shd w:val="clear" w:color="000000" w:fill="FFFFFF"/>
            <w:noWrap/>
            <w:vAlign w:val="bottom"/>
            <w:hideMark/>
          </w:tcPr>
          <w:p w14:paraId="40A30622" w14:textId="77777777" w:rsidR="00F65662" w:rsidRPr="0038045B" w:rsidRDefault="00F65662" w:rsidP="00F65662">
            <w:pPr>
              <w:rPr>
                <w:bCs/>
                <w:sz w:val="22"/>
                <w:szCs w:val="22"/>
                <w:lang w:eastAsia="en-US"/>
              </w:rPr>
            </w:pPr>
            <w:r w:rsidRPr="0038045B">
              <w:rPr>
                <w:bCs/>
                <w:sz w:val="22"/>
                <w:szCs w:val="22"/>
                <w:lang w:eastAsia="en-US"/>
              </w:rPr>
              <w:t>3. Payments with cards</w:t>
            </w:r>
          </w:p>
        </w:tc>
        <w:tc>
          <w:tcPr>
            <w:tcW w:w="1096" w:type="dxa"/>
            <w:shd w:val="clear" w:color="000000" w:fill="FFFFFF"/>
            <w:noWrap/>
            <w:vAlign w:val="bottom"/>
            <w:hideMark/>
          </w:tcPr>
          <w:p w14:paraId="492F2BE1" w14:textId="77777777" w:rsidR="00F65662" w:rsidRPr="0038045B" w:rsidRDefault="00F65662" w:rsidP="00F65662">
            <w:pPr>
              <w:jc w:val="center"/>
              <w:rPr>
                <w:bCs/>
                <w:sz w:val="22"/>
                <w:szCs w:val="22"/>
                <w:lang w:eastAsia="en-US"/>
              </w:rPr>
            </w:pPr>
            <w:r w:rsidRPr="0038045B">
              <w:rPr>
                <w:bCs/>
                <w:sz w:val="22"/>
                <w:szCs w:val="22"/>
                <w:lang w:eastAsia="en-US"/>
              </w:rPr>
              <w:t>750,397</w:t>
            </w:r>
          </w:p>
        </w:tc>
        <w:tc>
          <w:tcPr>
            <w:tcW w:w="1096" w:type="dxa"/>
            <w:shd w:val="clear" w:color="000000" w:fill="FFFFFF"/>
            <w:noWrap/>
            <w:vAlign w:val="bottom"/>
            <w:hideMark/>
          </w:tcPr>
          <w:p w14:paraId="31B3354D" w14:textId="77777777" w:rsidR="00F65662" w:rsidRPr="0038045B" w:rsidRDefault="00F65662" w:rsidP="00F65662">
            <w:pPr>
              <w:jc w:val="center"/>
              <w:rPr>
                <w:bCs/>
                <w:sz w:val="22"/>
                <w:szCs w:val="22"/>
                <w:lang w:eastAsia="en-US"/>
              </w:rPr>
            </w:pPr>
            <w:r w:rsidRPr="0038045B">
              <w:rPr>
                <w:bCs/>
                <w:sz w:val="22"/>
                <w:szCs w:val="22"/>
                <w:lang w:eastAsia="en-US"/>
              </w:rPr>
              <w:t>1,107,425</w:t>
            </w:r>
          </w:p>
        </w:tc>
        <w:tc>
          <w:tcPr>
            <w:tcW w:w="1096" w:type="dxa"/>
            <w:shd w:val="clear" w:color="000000" w:fill="FFFFFF"/>
            <w:noWrap/>
            <w:vAlign w:val="bottom"/>
            <w:hideMark/>
          </w:tcPr>
          <w:p w14:paraId="4310874A" w14:textId="77777777" w:rsidR="00F65662" w:rsidRPr="0038045B" w:rsidRDefault="00F65662" w:rsidP="00F65662">
            <w:pPr>
              <w:jc w:val="center"/>
              <w:rPr>
                <w:bCs/>
                <w:sz w:val="22"/>
                <w:szCs w:val="22"/>
                <w:lang w:eastAsia="en-US"/>
              </w:rPr>
            </w:pPr>
            <w:r w:rsidRPr="0038045B">
              <w:rPr>
                <w:bCs/>
                <w:sz w:val="22"/>
                <w:szCs w:val="22"/>
                <w:lang w:eastAsia="en-US"/>
              </w:rPr>
              <w:t>1,496,640</w:t>
            </w:r>
          </w:p>
        </w:tc>
        <w:tc>
          <w:tcPr>
            <w:tcW w:w="1206" w:type="dxa"/>
            <w:shd w:val="clear" w:color="000000" w:fill="FFFFFF"/>
            <w:noWrap/>
            <w:vAlign w:val="bottom"/>
            <w:hideMark/>
          </w:tcPr>
          <w:p w14:paraId="6C230430" w14:textId="77777777" w:rsidR="00F65662" w:rsidRPr="0038045B" w:rsidRDefault="00F65662" w:rsidP="00F65662">
            <w:pPr>
              <w:jc w:val="center"/>
              <w:rPr>
                <w:bCs/>
                <w:sz w:val="22"/>
                <w:szCs w:val="22"/>
                <w:lang w:eastAsia="en-US"/>
              </w:rPr>
            </w:pPr>
            <w:r w:rsidRPr="0038045B">
              <w:rPr>
                <w:bCs/>
                <w:sz w:val="22"/>
                <w:szCs w:val="22"/>
                <w:lang w:eastAsia="en-US"/>
              </w:rPr>
              <w:t>2,124,304</w:t>
            </w:r>
          </w:p>
        </w:tc>
        <w:tc>
          <w:tcPr>
            <w:tcW w:w="1206" w:type="dxa"/>
            <w:shd w:val="clear" w:color="000000" w:fill="FFFFFF"/>
            <w:vAlign w:val="bottom"/>
          </w:tcPr>
          <w:p w14:paraId="16648B45" w14:textId="77777777" w:rsidR="00F65662" w:rsidRPr="0038045B" w:rsidRDefault="00F65662" w:rsidP="00F65662">
            <w:pPr>
              <w:jc w:val="center"/>
              <w:rPr>
                <w:bCs/>
                <w:sz w:val="22"/>
                <w:szCs w:val="22"/>
                <w:lang w:eastAsia="en-US"/>
              </w:rPr>
            </w:pPr>
            <w:r w:rsidRPr="0038045B">
              <w:rPr>
                <w:bCs/>
                <w:sz w:val="22"/>
                <w:szCs w:val="22"/>
                <w:lang w:eastAsia="en-US"/>
              </w:rPr>
              <w:t>2,481,524</w:t>
            </w:r>
          </w:p>
        </w:tc>
        <w:tc>
          <w:tcPr>
            <w:tcW w:w="1206" w:type="dxa"/>
            <w:shd w:val="clear" w:color="000000" w:fill="FFFFFF"/>
            <w:noWrap/>
            <w:vAlign w:val="bottom"/>
          </w:tcPr>
          <w:p w14:paraId="2A3F83D9" w14:textId="77777777" w:rsidR="00F65662" w:rsidRPr="0038045B" w:rsidRDefault="00F65662" w:rsidP="00F65662">
            <w:pPr>
              <w:jc w:val="center"/>
              <w:rPr>
                <w:bCs/>
                <w:sz w:val="22"/>
                <w:szCs w:val="22"/>
                <w:lang w:eastAsia="en-US"/>
              </w:rPr>
            </w:pPr>
            <w:r w:rsidRPr="0038045B">
              <w:rPr>
                <w:bCs/>
                <w:sz w:val="22"/>
                <w:szCs w:val="22"/>
                <w:lang w:eastAsia="en-US"/>
              </w:rPr>
              <w:t>3,200,215</w:t>
            </w:r>
          </w:p>
        </w:tc>
      </w:tr>
      <w:tr w:rsidR="00F65662" w:rsidRPr="0038045B" w14:paraId="5AA997D9" w14:textId="77777777" w:rsidTr="00F65662">
        <w:trPr>
          <w:trHeight w:val="315"/>
          <w:jc w:val="center"/>
        </w:trPr>
        <w:tc>
          <w:tcPr>
            <w:tcW w:w="3685" w:type="dxa"/>
            <w:shd w:val="clear" w:color="000000" w:fill="FFFFFF"/>
            <w:noWrap/>
            <w:vAlign w:val="bottom"/>
            <w:hideMark/>
          </w:tcPr>
          <w:p w14:paraId="0310BA53" w14:textId="77777777" w:rsidR="00F65662" w:rsidRPr="0038045B" w:rsidRDefault="00F65662" w:rsidP="00F65662">
            <w:pPr>
              <w:rPr>
                <w:bCs/>
                <w:sz w:val="22"/>
                <w:szCs w:val="22"/>
                <w:lang w:eastAsia="en-US"/>
              </w:rPr>
            </w:pPr>
            <w:r w:rsidRPr="0038045B">
              <w:rPr>
                <w:bCs/>
                <w:sz w:val="22"/>
                <w:szCs w:val="22"/>
                <w:lang w:eastAsia="en-US"/>
              </w:rPr>
              <w:t>4. Direct debits (intrabank</w:t>
            </w:r>
            <w:r w:rsidR="00A55B1E" w:rsidRPr="0038045B">
              <w:rPr>
                <w:bCs/>
                <w:sz w:val="22"/>
                <w:szCs w:val="22"/>
                <w:lang w:eastAsia="en-US"/>
              </w:rPr>
              <w:t xml:space="preserve"> only</w:t>
            </w:r>
            <w:r w:rsidRPr="0038045B">
              <w:rPr>
                <w:bCs/>
                <w:sz w:val="22"/>
                <w:szCs w:val="22"/>
                <w:lang w:eastAsia="en-US"/>
              </w:rPr>
              <w:t>)</w:t>
            </w:r>
          </w:p>
        </w:tc>
        <w:tc>
          <w:tcPr>
            <w:tcW w:w="1096" w:type="dxa"/>
            <w:shd w:val="clear" w:color="000000" w:fill="FFFFFF"/>
            <w:noWrap/>
            <w:vAlign w:val="bottom"/>
            <w:hideMark/>
          </w:tcPr>
          <w:p w14:paraId="33C8B3E8" w14:textId="77777777" w:rsidR="00F65662" w:rsidRPr="0038045B" w:rsidRDefault="00F65662" w:rsidP="00F65662">
            <w:pPr>
              <w:jc w:val="center"/>
              <w:rPr>
                <w:bCs/>
                <w:sz w:val="22"/>
                <w:szCs w:val="22"/>
                <w:lang w:eastAsia="en-US"/>
              </w:rPr>
            </w:pPr>
            <w:r w:rsidRPr="0038045B">
              <w:rPr>
                <w:bCs/>
                <w:sz w:val="22"/>
                <w:szCs w:val="22"/>
                <w:lang w:eastAsia="en-US"/>
              </w:rPr>
              <w:t>864,295</w:t>
            </w:r>
          </w:p>
        </w:tc>
        <w:tc>
          <w:tcPr>
            <w:tcW w:w="1096" w:type="dxa"/>
            <w:shd w:val="clear" w:color="000000" w:fill="FFFFFF"/>
            <w:noWrap/>
            <w:vAlign w:val="bottom"/>
            <w:hideMark/>
          </w:tcPr>
          <w:p w14:paraId="35AA9623" w14:textId="77777777" w:rsidR="00F65662" w:rsidRPr="0038045B" w:rsidRDefault="00F65662" w:rsidP="00F65662">
            <w:pPr>
              <w:jc w:val="center"/>
              <w:rPr>
                <w:bCs/>
                <w:sz w:val="22"/>
                <w:szCs w:val="22"/>
                <w:lang w:eastAsia="en-US"/>
              </w:rPr>
            </w:pPr>
            <w:r w:rsidRPr="0038045B">
              <w:rPr>
                <w:bCs/>
                <w:sz w:val="22"/>
                <w:szCs w:val="22"/>
                <w:lang w:eastAsia="en-US"/>
              </w:rPr>
              <w:t>975,786</w:t>
            </w:r>
          </w:p>
        </w:tc>
        <w:tc>
          <w:tcPr>
            <w:tcW w:w="1096" w:type="dxa"/>
            <w:shd w:val="clear" w:color="000000" w:fill="FFFFFF"/>
            <w:noWrap/>
            <w:vAlign w:val="bottom"/>
            <w:hideMark/>
          </w:tcPr>
          <w:p w14:paraId="6C4E98CD" w14:textId="77777777" w:rsidR="00F65662" w:rsidRPr="0038045B" w:rsidRDefault="00F65662" w:rsidP="00F65662">
            <w:pPr>
              <w:jc w:val="center"/>
              <w:rPr>
                <w:bCs/>
                <w:sz w:val="22"/>
                <w:szCs w:val="22"/>
                <w:lang w:eastAsia="en-US"/>
              </w:rPr>
            </w:pPr>
            <w:r w:rsidRPr="0038045B">
              <w:rPr>
                <w:bCs/>
                <w:sz w:val="22"/>
                <w:szCs w:val="22"/>
                <w:lang w:eastAsia="en-US"/>
              </w:rPr>
              <w:t>720,350</w:t>
            </w:r>
          </w:p>
        </w:tc>
        <w:tc>
          <w:tcPr>
            <w:tcW w:w="1206" w:type="dxa"/>
            <w:shd w:val="clear" w:color="000000" w:fill="FFFFFF"/>
            <w:noWrap/>
            <w:vAlign w:val="bottom"/>
            <w:hideMark/>
          </w:tcPr>
          <w:p w14:paraId="1E48D361" w14:textId="77777777" w:rsidR="00F65662" w:rsidRPr="0038045B" w:rsidRDefault="00F65662" w:rsidP="00F65662">
            <w:pPr>
              <w:jc w:val="center"/>
              <w:rPr>
                <w:bCs/>
                <w:sz w:val="22"/>
                <w:szCs w:val="22"/>
                <w:lang w:eastAsia="en-US"/>
              </w:rPr>
            </w:pPr>
            <w:r w:rsidRPr="0038045B">
              <w:rPr>
                <w:bCs/>
                <w:sz w:val="22"/>
                <w:szCs w:val="22"/>
                <w:lang w:eastAsia="en-US"/>
              </w:rPr>
              <w:t>433,778</w:t>
            </w:r>
          </w:p>
        </w:tc>
        <w:tc>
          <w:tcPr>
            <w:tcW w:w="1206" w:type="dxa"/>
            <w:shd w:val="clear" w:color="000000" w:fill="FFFFFF"/>
            <w:vAlign w:val="bottom"/>
          </w:tcPr>
          <w:p w14:paraId="6AE20115" w14:textId="77777777" w:rsidR="00F65662" w:rsidRPr="0038045B" w:rsidRDefault="00F65662" w:rsidP="00F65662">
            <w:pPr>
              <w:jc w:val="center"/>
              <w:rPr>
                <w:bCs/>
                <w:sz w:val="22"/>
                <w:szCs w:val="22"/>
                <w:lang w:eastAsia="en-US"/>
              </w:rPr>
            </w:pPr>
            <w:r w:rsidRPr="0038045B">
              <w:rPr>
                <w:bCs/>
                <w:sz w:val="22"/>
                <w:szCs w:val="22"/>
                <w:lang w:eastAsia="en-US"/>
              </w:rPr>
              <w:t>457,604</w:t>
            </w:r>
          </w:p>
        </w:tc>
        <w:tc>
          <w:tcPr>
            <w:tcW w:w="1206" w:type="dxa"/>
            <w:shd w:val="clear" w:color="000000" w:fill="FFFFFF"/>
            <w:noWrap/>
            <w:vAlign w:val="bottom"/>
          </w:tcPr>
          <w:p w14:paraId="7B508274" w14:textId="77777777" w:rsidR="00F65662" w:rsidRPr="0038045B" w:rsidRDefault="00F65662" w:rsidP="00F65662">
            <w:pPr>
              <w:jc w:val="center"/>
              <w:rPr>
                <w:bCs/>
                <w:sz w:val="22"/>
                <w:szCs w:val="22"/>
                <w:lang w:eastAsia="en-US"/>
              </w:rPr>
            </w:pPr>
            <w:r w:rsidRPr="0038045B">
              <w:rPr>
                <w:bCs/>
                <w:sz w:val="22"/>
                <w:szCs w:val="22"/>
                <w:lang w:eastAsia="en-US"/>
              </w:rPr>
              <w:t>732,210</w:t>
            </w:r>
          </w:p>
        </w:tc>
      </w:tr>
      <w:tr w:rsidR="00F65662" w:rsidRPr="0038045B" w14:paraId="268228D3" w14:textId="77777777" w:rsidTr="00F65662">
        <w:trPr>
          <w:trHeight w:val="315"/>
          <w:jc w:val="center"/>
        </w:trPr>
        <w:tc>
          <w:tcPr>
            <w:tcW w:w="3685" w:type="dxa"/>
            <w:shd w:val="clear" w:color="000000" w:fill="FFFFFF"/>
            <w:noWrap/>
            <w:vAlign w:val="bottom"/>
            <w:hideMark/>
          </w:tcPr>
          <w:p w14:paraId="3733357A" w14:textId="77777777" w:rsidR="00F65662" w:rsidRPr="0038045B" w:rsidRDefault="00F65662" w:rsidP="00F65662">
            <w:pPr>
              <w:rPr>
                <w:bCs/>
                <w:sz w:val="22"/>
                <w:szCs w:val="22"/>
                <w:lang w:eastAsia="en-US"/>
              </w:rPr>
            </w:pPr>
            <w:r w:rsidRPr="0038045B">
              <w:rPr>
                <w:bCs/>
                <w:sz w:val="22"/>
                <w:szCs w:val="22"/>
                <w:lang w:eastAsia="en-US"/>
              </w:rPr>
              <w:t>5. E-money payments</w:t>
            </w:r>
          </w:p>
        </w:tc>
        <w:tc>
          <w:tcPr>
            <w:tcW w:w="1096" w:type="dxa"/>
            <w:shd w:val="clear" w:color="000000" w:fill="FFFFFF"/>
            <w:noWrap/>
            <w:vAlign w:val="bottom"/>
            <w:hideMark/>
          </w:tcPr>
          <w:p w14:paraId="42975466" w14:textId="77777777" w:rsidR="00F65662" w:rsidRPr="0038045B" w:rsidRDefault="00F65662" w:rsidP="00F65662">
            <w:pPr>
              <w:jc w:val="center"/>
              <w:rPr>
                <w:bCs/>
                <w:sz w:val="22"/>
                <w:szCs w:val="22"/>
                <w:lang w:eastAsia="en-US"/>
              </w:rPr>
            </w:pPr>
          </w:p>
        </w:tc>
        <w:tc>
          <w:tcPr>
            <w:tcW w:w="1096" w:type="dxa"/>
            <w:shd w:val="clear" w:color="000000" w:fill="FFFFFF"/>
            <w:noWrap/>
            <w:vAlign w:val="bottom"/>
            <w:hideMark/>
          </w:tcPr>
          <w:p w14:paraId="428DA70B" w14:textId="77777777" w:rsidR="00F65662" w:rsidRPr="0038045B" w:rsidRDefault="00F65662" w:rsidP="00F65662">
            <w:pPr>
              <w:jc w:val="center"/>
              <w:rPr>
                <w:bCs/>
                <w:sz w:val="22"/>
                <w:szCs w:val="22"/>
                <w:lang w:eastAsia="en-US"/>
              </w:rPr>
            </w:pPr>
          </w:p>
        </w:tc>
        <w:tc>
          <w:tcPr>
            <w:tcW w:w="1096" w:type="dxa"/>
            <w:shd w:val="clear" w:color="000000" w:fill="FFFFFF"/>
            <w:noWrap/>
            <w:vAlign w:val="bottom"/>
            <w:hideMark/>
          </w:tcPr>
          <w:p w14:paraId="4F4E309B" w14:textId="77777777" w:rsidR="00F65662" w:rsidRPr="0038045B" w:rsidRDefault="00F65662" w:rsidP="00F65662">
            <w:pPr>
              <w:jc w:val="center"/>
              <w:rPr>
                <w:bCs/>
                <w:sz w:val="22"/>
                <w:szCs w:val="22"/>
                <w:lang w:eastAsia="en-US"/>
              </w:rPr>
            </w:pPr>
          </w:p>
        </w:tc>
        <w:tc>
          <w:tcPr>
            <w:tcW w:w="1206" w:type="dxa"/>
            <w:shd w:val="clear" w:color="000000" w:fill="FFFFFF"/>
            <w:noWrap/>
            <w:vAlign w:val="bottom"/>
            <w:hideMark/>
          </w:tcPr>
          <w:p w14:paraId="05AB7B76" w14:textId="77777777" w:rsidR="00F65662" w:rsidRPr="0038045B" w:rsidRDefault="00F65662" w:rsidP="00F65662">
            <w:pPr>
              <w:jc w:val="center"/>
              <w:rPr>
                <w:bCs/>
                <w:sz w:val="22"/>
                <w:szCs w:val="22"/>
                <w:lang w:eastAsia="en-US"/>
              </w:rPr>
            </w:pPr>
          </w:p>
        </w:tc>
        <w:tc>
          <w:tcPr>
            <w:tcW w:w="1206" w:type="dxa"/>
            <w:shd w:val="clear" w:color="000000" w:fill="FFFFFF"/>
            <w:vAlign w:val="bottom"/>
          </w:tcPr>
          <w:p w14:paraId="1EAC067B" w14:textId="77777777" w:rsidR="00F65662" w:rsidRPr="0038045B" w:rsidRDefault="00F65662" w:rsidP="00F65662">
            <w:pPr>
              <w:jc w:val="center"/>
              <w:rPr>
                <w:bCs/>
                <w:sz w:val="22"/>
                <w:szCs w:val="22"/>
                <w:lang w:eastAsia="en-US"/>
              </w:rPr>
            </w:pPr>
            <w:r w:rsidRPr="0038045B">
              <w:rPr>
                <w:bCs/>
                <w:sz w:val="22"/>
                <w:szCs w:val="22"/>
                <w:lang w:eastAsia="en-US"/>
              </w:rPr>
              <w:t>156,283</w:t>
            </w:r>
          </w:p>
        </w:tc>
        <w:tc>
          <w:tcPr>
            <w:tcW w:w="1206" w:type="dxa"/>
            <w:shd w:val="clear" w:color="000000" w:fill="FFFFFF"/>
            <w:noWrap/>
            <w:vAlign w:val="bottom"/>
          </w:tcPr>
          <w:p w14:paraId="48816165" w14:textId="77777777" w:rsidR="00F65662" w:rsidRPr="0038045B" w:rsidRDefault="00F65662" w:rsidP="00F65662">
            <w:pPr>
              <w:jc w:val="center"/>
              <w:rPr>
                <w:bCs/>
                <w:sz w:val="22"/>
                <w:szCs w:val="22"/>
                <w:lang w:eastAsia="en-US"/>
              </w:rPr>
            </w:pPr>
            <w:r w:rsidRPr="0038045B">
              <w:rPr>
                <w:bCs/>
                <w:sz w:val="22"/>
                <w:szCs w:val="22"/>
                <w:lang w:eastAsia="en-US"/>
              </w:rPr>
              <w:t>205,200</w:t>
            </w:r>
          </w:p>
        </w:tc>
      </w:tr>
      <w:tr w:rsidR="00F65662" w:rsidRPr="0038045B" w14:paraId="45D7860A" w14:textId="77777777" w:rsidTr="00F65662">
        <w:trPr>
          <w:trHeight w:val="315"/>
          <w:jc w:val="center"/>
        </w:trPr>
        <w:tc>
          <w:tcPr>
            <w:tcW w:w="3685" w:type="dxa"/>
            <w:shd w:val="clear" w:color="000000" w:fill="FFFFFF"/>
            <w:noWrap/>
            <w:vAlign w:val="bottom"/>
            <w:hideMark/>
          </w:tcPr>
          <w:p w14:paraId="6A64E4EA" w14:textId="77777777" w:rsidR="00F65662" w:rsidRPr="0038045B" w:rsidRDefault="00F65662" w:rsidP="00F65662">
            <w:pPr>
              <w:rPr>
                <w:bCs/>
                <w:sz w:val="22"/>
                <w:szCs w:val="22"/>
                <w:lang w:eastAsia="en-US"/>
              </w:rPr>
            </w:pPr>
            <w:r w:rsidRPr="0038045B">
              <w:rPr>
                <w:bCs/>
                <w:sz w:val="22"/>
                <w:szCs w:val="22"/>
                <w:lang w:eastAsia="en-US"/>
              </w:rPr>
              <w:t>6. Cheques</w:t>
            </w:r>
          </w:p>
        </w:tc>
        <w:tc>
          <w:tcPr>
            <w:tcW w:w="1096" w:type="dxa"/>
            <w:shd w:val="clear" w:color="000000" w:fill="FFFFFF"/>
            <w:noWrap/>
            <w:vAlign w:val="bottom"/>
            <w:hideMark/>
          </w:tcPr>
          <w:p w14:paraId="3BAEE30A" w14:textId="77777777" w:rsidR="00F65662" w:rsidRPr="0038045B" w:rsidRDefault="00F65662" w:rsidP="00F65662">
            <w:pPr>
              <w:jc w:val="center"/>
              <w:rPr>
                <w:bCs/>
                <w:sz w:val="22"/>
                <w:szCs w:val="22"/>
                <w:lang w:eastAsia="en-US"/>
              </w:rPr>
            </w:pPr>
            <w:r w:rsidRPr="0038045B">
              <w:rPr>
                <w:bCs/>
                <w:sz w:val="22"/>
                <w:szCs w:val="22"/>
                <w:lang w:eastAsia="en-US"/>
              </w:rPr>
              <w:t>61,715</w:t>
            </w:r>
          </w:p>
        </w:tc>
        <w:tc>
          <w:tcPr>
            <w:tcW w:w="1096" w:type="dxa"/>
            <w:shd w:val="clear" w:color="000000" w:fill="FFFFFF"/>
            <w:noWrap/>
            <w:vAlign w:val="bottom"/>
            <w:hideMark/>
          </w:tcPr>
          <w:p w14:paraId="3F48BE0A" w14:textId="77777777" w:rsidR="00F65662" w:rsidRPr="0038045B" w:rsidRDefault="00F65662" w:rsidP="00F65662">
            <w:pPr>
              <w:jc w:val="center"/>
              <w:rPr>
                <w:bCs/>
                <w:sz w:val="22"/>
                <w:szCs w:val="22"/>
                <w:lang w:eastAsia="en-US"/>
              </w:rPr>
            </w:pPr>
            <w:r w:rsidRPr="0038045B">
              <w:rPr>
                <w:bCs/>
                <w:sz w:val="22"/>
                <w:szCs w:val="22"/>
                <w:lang w:eastAsia="en-US"/>
              </w:rPr>
              <w:t>63,096</w:t>
            </w:r>
          </w:p>
        </w:tc>
        <w:tc>
          <w:tcPr>
            <w:tcW w:w="1096" w:type="dxa"/>
            <w:shd w:val="clear" w:color="000000" w:fill="FFFFFF"/>
            <w:noWrap/>
            <w:vAlign w:val="bottom"/>
            <w:hideMark/>
          </w:tcPr>
          <w:p w14:paraId="64AF6371" w14:textId="77777777" w:rsidR="00F65662" w:rsidRPr="0038045B" w:rsidRDefault="00F65662" w:rsidP="00F65662">
            <w:pPr>
              <w:jc w:val="center"/>
              <w:rPr>
                <w:bCs/>
                <w:sz w:val="22"/>
                <w:szCs w:val="22"/>
                <w:lang w:eastAsia="en-US"/>
              </w:rPr>
            </w:pPr>
            <w:r w:rsidRPr="0038045B">
              <w:rPr>
                <w:bCs/>
                <w:sz w:val="22"/>
                <w:szCs w:val="22"/>
                <w:lang w:eastAsia="en-US"/>
              </w:rPr>
              <w:t>49,205</w:t>
            </w:r>
          </w:p>
        </w:tc>
        <w:tc>
          <w:tcPr>
            <w:tcW w:w="1206" w:type="dxa"/>
            <w:shd w:val="clear" w:color="000000" w:fill="FFFFFF"/>
            <w:noWrap/>
            <w:vAlign w:val="bottom"/>
            <w:hideMark/>
          </w:tcPr>
          <w:p w14:paraId="3786CFC7" w14:textId="77777777" w:rsidR="00F65662" w:rsidRPr="0038045B" w:rsidRDefault="00F65662" w:rsidP="00F65662">
            <w:pPr>
              <w:jc w:val="center"/>
              <w:rPr>
                <w:bCs/>
                <w:sz w:val="22"/>
                <w:szCs w:val="22"/>
                <w:lang w:eastAsia="en-US"/>
              </w:rPr>
            </w:pPr>
            <w:r w:rsidRPr="0038045B">
              <w:rPr>
                <w:bCs/>
                <w:sz w:val="22"/>
                <w:szCs w:val="22"/>
                <w:lang w:eastAsia="en-US"/>
              </w:rPr>
              <w:t>44,372</w:t>
            </w:r>
          </w:p>
        </w:tc>
        <w:tc>
          <w:tcPr>
            <w:tcW w:w="1206" w:type="dxa"/>
            <w:shd w:val="clear" w:color="000000" w:fill="FFFFFF"/>
            <w:vAlign w:val="bottom"/>
          </w:tcPr>
          <w:p w14:paraId="49DDC415" w14:textId="77777777" w:rsidR="00F65662" w:rsidRPr="0038045B" w:rsidRDefault="00F65662" w:rsidP="00F65662">
            <w:pPr>
              <w:jc w:val="center"/>
              <w:rPr>
                <w:bCs/>
                <w:sz w:val="22"/>
                <w:szCs w:val="22"/>
                <w:lang w:eastAsia="en-US"/>
              </w:rPr>
            </w:pPr>
            <w:r w:rsidRPr="0038045B">
              <w:rPr>
                <w:bCs/>
                <w:sz w:val="22"/>
                <w:szCs w:val="22"/>
                <w:lang w:eastAsia="en-US"/>
              </w:rPr>
              <w:t>47,145</w:t>
            </w:r>
          </w:p>
        </w:tc>
        <w:tc>
          <w:tcPr>
            <w:tcW w:w="1206" w:type="dxa"/>
            <w:shd w:val="clear" w:color="000000" w:fill="FFFFFF"/>
            <w:noWrap/>
            <w:vAlign w:val="bottom"/>
          </w:tcPr>
          <w:p w14:paraId="5BB83BB5" w14:textId="77777777" w:rsidR="00F65662" w:rsidRPr="0038045B" w:rsidRDefault="00F65662" w:rsidP="00F65662">
            <w:pPr>
              <w:jc w:val="center"/>
              <w:rPr>
                <w:bCs/>
                <w:sz w:val="22"/>
                <w:szCs w:val="22"/>
                <w:lang w:eastAsia="en-US"/>
              </w:rPr>
            </w:pPr>
            <w:r w:rsidRPr="0038045B">
              <w:rPr>
                <w:bCs/>
                <w:sz w:val="22"/>
                <w:szCs w:val="22"/>
                <w:lang w:eastAsia="en-US"/>
              </w:rPr>
              <w:t>32,576</w:t>
            </w:r>
          </w:p>
        </w:tc>
      </w:tr>
      <w:tr w:rsidR="00F65662" w:rsidRPr="0038045B" w14:paraId="5DA5EFBF" w14:textId="77777777" w:rsidTr="00F65662">
        <w:trPr>
          <w:trHeight w:val="315"/>
          <w:jc w:val="center"/>
        </w:trPr>
        <w:tc>
          <w:tcPr>
            <w:tcW w:w="3685" w:type="dxa"/>
            <w:shd w:val="clear" w:color="000000" w:fill="FFFFFF"/>
            <w:noWrap/>
            <w:vAlign w:val="bottom"/>
          </w:tcPr>
          <w:p w14:paraId="783E0E10" w14:textId="77777777" w:rsidR="00F65662" w:rsidRPr="0038045B" w:rsidRDefault="00F65662" w:rsidP="00F65662">
            <w:pPr>
              <w:rPr>
                <w:bCs/>
                <w:sz w:val="22"/>
                <w:szCs w:val="22"/>
                <w:lang w:eastAsia="en-US"/>
              </w:rPr>
            </w:pPr>
          </w:p>
        </w:tc>
        <w:tc>
          <w:tcPr>
            <w:tcW w:w="1096" w:type="dxa"/>
            <w:shd w:val="clear" w:color="000000" w:fill="FFFFFF"/>
            <w:noWrap/>
            <w:vAlign w:val="bottom"/>
          </w:tcPr>
          <w:p w14:paraId="7FAE733F" w14:textId="77777777" w:rsidR="00F65662" w:rsidRPr="0038045B" w:rsidRDefault="00F65662" w:rsidP="00F65662">
            <w:pPr>
              <w:jc w:val="center"/>
              <w:rPr>
                <w:bCs/>
                <w:sz w:val="22"/>
                <w:szCs w:val="22"/>
                <w:lang w:eastAsia="en-US"/>
              </w:rPr>
            </w:pPr>
          </w:p>
        </w:tc>
        <w:tc>
          <w:tcPr>
            <w:tcW w:w="1096" w:type="dxa"/>
            <w:shd w:val="clear" w:color="000000" w:fill="FFFFFF"/>
            <w:noWrap/>
            <w:vAlign w:val="bottom"/>
          </w:tcPr>
          <w:p w14:paraId="62882667" w14:textId="77777777" w:rsidR="00F65662" w:rsidRPr="0038045B" w:rsidRDefault="00F65662" w:rsidP="00F65662">
            <w:pPr>
              <w:jc w:val="center"/>
              <w:rPr>
                <w:bCs/>
                <w:sz w:val="22"/>
                <w:szCs w:val="22"/>
                <w:lang w:eastAsia="en-US"/>
              </w:rPr>
            </w:pPr>
          </w:p>
        </w:tc>
        <w:tc>
          <w:tcPr>
            <w:tcW w:w="1096" w:type="dxa"/>
            <w:shd w:val="clear" w:color="000000" w:fill="FFFFFF"/>
            <w:noWrap/>
            <w:vAlign w:val="bottom"/>
          </w:tcPr>
          <w:p w14:paraId="1C363AA0" w14:textId="77777777" w:rsidR="00F65662" w:rsidRPr="0038045B" w:rsidRDefault="00F65662" w:rsidP="00F65662">
            <w:pPr>
              <w:jc w:val="center"/>
              <w:rPr>
                <w:bCs/>
                <w:sz w:val="22"/>
                <w:szCs w:val="22"/>
                <w:lang w:eastAsia="en-US"/>
              </w:rPr>
            </w:pPr>
          </w:p>
        </w:tc>
        <w:tc>
          <w:tcPr>
            <w:tcW w:w="1206" w:type="dxa"/>
            <w:shd w:val="clear" w:color="000000" w:fill="FFFFFF"/>
            <w:noWrap/>
            <w:vAlign w:val="bottom"/>
          </w:tcPr>
          <w:p w14:paraId="6773D39B" w14:textId="77777777" w:rsidR="00F65662" w:rsidRPr="0038045B" w:rsidRDefault="00F65662" w:rsidP="00F65662">
            <w:pPr>
              <w:jc w:val="center"/>
              <w:rPr>
                <w:bCs/>
                <w:sz w:val="22"/>
                <w:szCs w:val="22"/>
                <w:lang w:eastAsia="en-US"/>
              </w:rPr>
            </w:pPr>
          </w:p>
        </w:tc>
        <w:tc>
          <w:tcPr>
            <w:tcW w:w="1206" w:type="dxa"/>
            <w:shd w:val="clear" w:color="000000" w:fill="FFFFFF"/>
            <w:vAlign w:val="bottom"/>
          </w:tcPr>
          <w:p w14:paraId="6189C616" w14:textId="77777777" w:rsidR="00F65662" w:rsidRPr="0038045B" w:rsidRDefault="00F65662" w:rsidP="00F65662">
            <w:pPr>
              <w:jc w:val="center"/>
              <w:rPr>
                <w:bCs/>
                <w:sz w:val="22"/>
                <w:szCs w:val="22"/>
                <w:lang w:eastAsia="en-US"/>
              </w:rPr>
            </w:pPr>
          </w:p>
        </w:tc>
        <w:tc>
          <w:tcPr>
            <w:tcW w:w="1206" w:type="dxa"/>
            <w:shd w:val="clear" w:color="000000" w:fill="FFFFFF"/>
            <w:noWrap/>
            <w:vAlign w:val="bottom"/>
          </w:tcPr>
          <w:p w14:paraId="7D811F97" w14:textId="77777777" w:rsidR="00F65662" w:rsidRPr="0038045B" w:rsidRDefault="00F65662" w:rsidP="00F65662">
            <w:pPr>
              <w:jc w:val="center"/>
              <w:rPr>
                <w:bCs/>
                <w:sz w:val="22"/>
                <w:szCs w:val="22"/>
                <w:lang w:eastAsia="en-US"/>
              </w:rPr>
            </w:pPr>
          </w:p>
        </w:tc>
      </w:tr>
      <w:tr w:rsidR="00F65662" w:rsidRPr="0038045B" w14:paraId="104F669D" w14:textId="77777777" w:rsidTr="00F65662">
        <w:trPr>
          <w:trHeight w:val="315"/>
          <w:jc w:val="center"/>
        </w:trPr>
        <w:tc>
          <w:tcPr>
            <w:tcW w:w="3685" w:type="dxa"/>
            <w:shd w:val="clear" w:color="000000" w:fill="FFFFFF"/>
            <w:noWrap/>
            <w:vAlign w:val="bottom"/>
            <w:hideMark/>
          </w:tcPr>
          <w:p w14:paraId="41EB5105" w14:textId="77777777" w:rsidR="00F65662" w:rsidRPr="0038045B" w:rsidRDefault="00F65662" w:rsidP="00F65662">
            <w:pPr>
              <w:rPr>
                <w:b/>
                <w:bCs/>
                <w:sz w:val="22"/>
                <w:szCs w:val="22"/>
                <w:lang w:eastAsia="en-US"/>
              </w:rPr>
            </w:pPr>
            <w:r w:rsidRPr="0038045B">
              <w:rPr>
                <w:b/>
                <w:bCs/>
                <w:sz w:val="22"/>
                <w:szCs w:val="22"/>
                <w:lang w:eastAsia="en-US"/>
              </w:rPr>
              <w:t>Total non-cash payments</w:t>
            </w:r>
          </w:p>
        </w:tc>
        <w:tc>
          <w:tcPr>
            <w:tcW w:w="1096" w:type="dxa"/>
            <w:shd w:val="clear" w:color="000000" w:fill="FFFFFF"/>
            <w:noWrap/>
            <w:vAlign w:val="bottom"/>
            <w:hideMark/>
          </w:tcPr>
          <w:p w14:paraId="7B901676" w14:textId="77777777" w:rsidR="00F65662" w:rsidRPr="0038045B" w:rsidRDefault="00F65662" w:rsidP="00F65662">
            <w:pPr>
              <w:jc w:val="center"/>
              <w:rPr>
                <w:b/>
                <w:bCs/>
                <w:sz w:val="22"/>
                <w:szCs w:val="22"/>
                <w:lang w:eastAsia="en-US"/>
              </w:rPr>
            </w:pPr>
            <w:r w:rsidRPr="0038045B">
              <w:rPr>
                <w:b/>
                <w:bCs/>
                <w:sz w:val="22"/>
                <w:szCs w:val="22"/>
                <w:lang w:eastAsia="en-US"/>
              </w:rPr>
              <w:t>8,039,256</w:t>
            </w:r>
          </w:p>
        </w:tc>
        <w:tc>
          <w:tcPr>
            <w:tcW w:w="1096" w:type="dxa"/>
            <w:shd w:val="clear" w:color="000000" w:fill="FFFFFF"/>
            <w:noWrap/>
            <w:vAlign w:val="bottom"/>
            <w:hideMark/>
          </w:tcPr>
          <w:p w14:paraId="61BAB16A" w14:textId="77777777" w:rsidR="00F65662" w:rsidRPr="0038045B" w:rsidRDefault="00F65662" w:rsidP="00F65662">
            <w:pPr>
              <w:jc w:val="center"/>
              <w:rPr>
                <w:b/>
                <w:bCs/>
                <w:sz w:val="22"/>
                <w:szCs w:val="22"/>
                <w:lang w:eastAsia="en-US"/>
              </w:rPr>
            </w:pPr>
            <w:r w:rsidRPr="0038045B">
              <w:rPr>
                <w:b/>
                <w:bCs/>
                <w:sz w:val="22"/>
                <w:szCs w:val="22"/>
                <w:lang w:eastAsia="en-US"/>
              </w:rPr>
              <w:t>8,758,791</w:t>
            </w:r>
          </w:p>
        </w:tc>
        <w:tc>
          <w:tcPr>
            <w:tcW w:w="1096" w:type="dxa"/>
            <w:shd w:val="clear" w:color="000000" w:fill="FFFFFF"/>
            <w:noWrap/>
            <w:vAlign w:val="bottom"/>
            <w:hideMark/>
          </w:tcPr>
          <w:p w14:paraId="523515C9" w14:textId="77777777" w:rsidR="00F65662" w:rsidRPr="0038045B" w:rsidRDefault="00F65662" w:rsidP="00F65662">
            <w:pPr>
              <w:jc w:val="center"/>
              <w:rPr>
                <w:b/>
                <w:bCs/>
                <w:sz w:val="22"/>
                <w:szCs w:val="22"/>
                <w:lang w:eastAsia="en-US"/>
              </w:rPr>
            </w:pPr>
            <w:r w:rsidRPr="0038045B">
              <w:rPr>
                <w:b/>
                <w:bCs/>
                <w:sz w:val="22"/>
                <w:szCs w:val="22"/>
                <w:lang w:eastAsia="en-US"/>
              </w:rPr>
              <w:t>8,675,098</w:t>
            </w:r>
          </w:p>
        </w:tc>
        <w:tc>
          <w:tcPr>
            <w:tcW w:w="1206" w:type="dxa"/>
            <w:shd w:val="clear" w:color="000000" w:fill="FFFFFF"/>
            <w:noWrap/>
            <w:vAlign w:val="bottom"/>
            <w:hideMark/>
          </w:tcPr>
          <w:p w14:paraId="59919789" w14:textId="77777777" w:rsidR="00F65662" w:rsidRPr="0038045B" w:rsidRDefault="00F65662" w:rsidP="00F65662">
            <w:pPr>
              <w:jc w:val="center"/>
              <w:rPr>
                <w:b/>
                <w:bCs/>
                <w:sz w:val="22"/>
                <w:szCs w:val="22"/>
                <w:lang w:eastAsia="en-US"/>
              </w:rPr>
            </w:pPr>
            <w:r w:rsidRPr="0038045B">
              <w:rPr>
                <w:b/>
                <w:bCs/>
                <w:sz w:val="22"/>
                <w:szCs w:val="22"/>
                <w:lang w:eastAsia="en-US"/>
              </w:rPr>
              <w:t>10,254,805</w:t>
            </w:r>
          </w:p>
        </w:tc>
        <w:tc>
          <w:tcPr>
            <w:tcW w:w="1206" w:type="dxa"/>
            <w:shd w:val="clear" w:color="000000" w:fill="FFFFFF"/>
            <w:vAlign w:val="bottom"/>
          </w:tcPr>
          <w:p w14:paraId="416F429A" w14:textId="77777777" w:rsidR="00F65662" w:rsidRPr="0038045B" w:rsidRDefault="00F65662" w:rsidP="00F65662">
            <w:pPr>
              <w:jc w:val="center"/>
              <w:rPr>
                <w:b/>
                <w:bCs/>
                <w:sz w:val="22"/>
                <w:szCs w:val="22"/>
                <w:lang w:eastAsia="en-US"/>
              </w:rPr>
            </w:pPr>
            <w:r w:rsidRPr="0038045B">
              <w:rPr>
                <w:b/>
                <w:bCs/>
                <w:sz w:val="22"/>
                <w:szCs w:val="22"/>
                <w:lang w:eastAsia="en-US"/>
              </w:rPr>
              <w:t>11,003,087</w:t>
            </w:r>
          </w:p>
        </w:tc>
        <w:tc>
          <w:tcPr>
            <w:tcW w:w="1206" w:type="dxa"/>
            <w:shd w:val="clear" w:color="000000" w:fill="FFFFFF"/>
            <w:noWrap/>
            <w:vAlign w:val="bottom"/>
            <w:hideMark/>
          </w:tcPr>
          <w:p w14:paraId="645AF3FF" w14:textId="77777777" w:rsidR="00F65662" w:rsidRPr="0038045B" w:rsidRDefault="00F65662" w:rsidP="00F65662">
            <w:pPr>
              <w:jc w:val="center"/>
              <w:rPr>
                <w:b/>
                <w:bCs/>
                <w:sz w:val="22"/>
                <w:szCs w:val="22"/>
                <w:lang w:eastAsia="en-US"/>
              </w:rPr>
            </w:pPr>
            <w:r w:rsidRPr="0038045B">
              <w:rPr>
                <w:b/>
                <w:bCs/>
                <w:sz w:val="22"/>
                <w:szCs w:val="22"/>
                <w:lang w:eastAsia="en-US"/>
              </w:rPr>
              <w:t>11,942,334</w:t>
            </w:r>
          </w:p>
        </w:tc>
      </w:tr>
      <w:tr w:rsidR="00F65662" w:rsidRPr="0038045B" w14:paraId="0A770B51" w14:textId="77777777" w:rsidTr="00F65662">
        <w:trPr>
          <w:trHeight w:val="315"/>
          <w:jc w:val="center"/>
        </w:trPr>
        <w:tc>
          <w:tcPr>
            <w:tcW w:w="3685" w:type="dxa"/>
            <w:shd w:val="clear" w:color="000000" w:fill="FFFFFF"/>
            <w:noWrap/>
            <w:vAlign w:val="bottom"/>
          </w:tcPr>
          <w:p w14:paraId="51205ADE" w14:textId="77777777" w:rsidR="00F65662" w:rsidRPr="0038045B" w:rsidRDefault="00F65662" w:rsidP="00F65662">
            <w:pPr>
              <w:rPr>
                <w:bCs/>
                <w:sz w:val="22"/>
                <w:szCs w:val="22"/>
                <w:lang w:eastAsia="en-US"/>
              </w:rPr>
            </w:pPr>
          </w:p>
        </w:tc>
        <w:tc>
          <w:tcPr>
            <w:tcW w:w="1096" w:type="dxa"/>
            <w:shd w:val="clear" w:color="000000" w:fill="FFFFFF"/>
            <w:noWrap/>
            <w:vAlign w:val="bottom"/>
          </w:tcPr>
          <w:p w14:paraId="614ADB93" w14:textId="77777777" w:rsidR="00F65662" w:rsidRPr="0038045B" w:rsidRDefault="00F65662" w:rsidP="00F65662">
            <w:pPr>
              <w:jc w:val="center"/>
              <w:rPr>
                <w:bCs/>
                <w:sz w:val="22"/>
                <w:szCs w:val="22"/>
                <w:lang w:eastAsia="en-US"/>
              </w:rPr>
            </w:pPr>
          </w:p>
        </w:tc>
        <w:tc>
          <w:tcPr>
            <w:tcW w:w="1096" w:type="dxa"/>
            <w:shd w:val="clear" w:color="000000" w:fill="FFFFFF"/>
            <w:noWrap/>
            <w:vAlign w:val="bottom"/>
          </w:tcPr>
          <w:p w14:paraId="0FD689F2" w14:textId="77777777" w:rsidR="00F65662" w:rsidRPr="0038045B" w:rsidRDefault="00F65662" w:rsidP="00F65662">
            <w:pPr>
              <w:jc w:val="center"/>
              <w:rPr>
                <w:bCs/>
                <w:sz w:val="22"/>
                <w:szCs w:val="22"/>
                <w:lang w:eastAsia="en-US"/>
              </w:rPr>
            </w:pPr>
          </w:p>
        </w:tc>
        <w:tc>
          <w:tcPr>
            <w:tcW w:w="1096" w:type="dxa"/>
            <w:shd w:val="clear" w:color="000000" w:fill="FFFFFF"/>
            <w:noWrap/>
            <w:vAlign w:val="bottom"/>
          </w:tcPr>
          <w:p w14:paraId="3476BFD6" w14:textId="77777777" w:rsidR="00F65662" w:rsidRPr="0038045B" w:rsidRDefault="00F65662" w:rsidP="00F65662">
            <w:pPr>
              <w:jc w:val="center"/>
              <w:rPr>
                <w:bCs/>
                <w:sz w:val="22"/>
                <w:szCs w:val="22"/>
                <w:lang w:eastAsia="en-US"/>
              </w:rPr>
            </w:pPr>
          </w:p>
        </w:tc>
        <w:tc>
          <w:tcPr>
            <w:tcW w:w="1206" w:type="dxa"/>
            <w:shd w:val="clear" w:color="000000" w:fill="FFFFFF"/>
            <w:noWrap/>
            <w:vAlign w:val="bottom"/>
          </w:tcPr>
          <w:p w14:paraId="4AAA540D" w14:textId="77777777" w:rsidR="00F65662" w:rsidRPr="0038045B" w:rsidRDefault="00F65662" w:rsidP="00F65662">
            <w:pPr>
              <w:jc w:val="center"/>
              <w:rPr>
                <w:bCs/>
                <w:sz w:val="22"/>
                <w:szCs w:val="22"/>
                <w:lang w:eastAsia="en-US"/>
              </w:rPr>
            </w:pPr>
          </w:p>
        </w:tc>
        <w:tc>
          <w:tcPr>
            <w:tcW w:w="1206" w:type="dxa"/>
            <w:shd w:val="clear" w:color="000000" w:fill="FFFFFF"/>
            <w:vAlign w:val="bottom"/>
          </w:tcPr>
          <w:p w14:paraId="0367525D" w14:textId="77777777" w:rsidR="00F65662" w:rsidRPr="0038045B" w:rsidRDefault="00F65662" w:rsidP="00F65662">
            <w:pPr>
              <w:jc w:val="center"/>
              <w:rPr>
                <w:bCs/>
                <w:sz w:val="22"/>
                <w:szCs w:val="22"/>
                <w:lang w:eastAsia="en-US"/>
              </w:rPr>
            </w:pPr>
          </w:p>
        </w:tc>
        <w:tc>
          <w:tcPr>
            <w:tcW w:w="1206" w:type="dxa"/>
            <w:shd w:val="clear" w:color="000000" w:fill="FFFFFF"/>
            <w:noWrap/>
            <w:vAlign w:val="bottom"/>
          </w:tcPr>
          <w:p w14:paraId="2DCF72E2" w14:textId="77777777" w:rsidR="00F65662" w:rsidRPr="0038045B" w:rsidRDefault="00F65662" w:rsidP="00F65662">
            <w:pPr>
              <w:jc w:val="center"/>
              <w:rPr>
                <w:bCs/>
                <w:sz w:val="22"/>
                <w:szCs w:val="22"/>
                <w:lang w:eastAsia="en-US"/>
              </w:rPr>
            </w:pPr>
          </w:p>
        </w:tc>
      </w:tr>
      <w:tr w:rsidR="00F65662" w:rsidRPr="0038045B" w14:paraId="565A5CFC" w14:textId="77777777" w:rsidTr="00F65662">
        <w:trPr>
          <w:trHeight w:val="315"/>
          <w:jc w:val="center"/>
        </w:trPr>
        <w:tc>
          <w:tcPr>
            <w:tcW w:w="3685" w:type="dxa"/>
            <w:shd w:val="clear" w:color="000000" w:fill="FFFFFF"/>
            <w:noWrap/>
            <w:vAlign w:val="bottom"/>
          </w:tcPr>
          <w:p w14:paraId="13F9D348" w14:textId="77777777" w:rsidR="00F65662" w:rsidRPr="0038045B" w:rsidRDefault="00F65662" w:rsidP="00F65662">
            <w:pPr>
              <w:rPr>
                <w:b/>
                <w:bCs/>
                <w:sz w:val="22"/>
                <w:szCs w:val="22"/>
                <w:lang w:eastAsia="en-US"/>
              </w:rPr>
            </w:pPr>
            <w:r w:rsidRPr="0038045B">
              <w:rPr>
                <w:b/>
                <w:bCs/>
                <w:sz w:val="22"/>
                <w:szCs w:val="22"/>
                <w:lang w:eastAsia="en-US"/>
              </w:rPr>
              <w:t xml:space="preserve">Non-cash payments per capita </w:t>
            </w:r>
            <w:r w:rsidRPr="0038045B">
              <w:rPr>
                <w:bCs/>
                <w:sz w:val="22"/>
                <w:szCs w:val="22"/>
                <w:lang w:eastAsia="en-US"/>
              </w:rPr>
              <w:t>(population = 2.8 million for all years)</w:t>
            </w:r>
          </w:p>
        </w:tc>
        <w:tc>
          <w:tcPr>
            <w:tcW w:w="1096" w:type="dxa"/>
            <w:shd w:val="clear" w:color="000000" w:fill="FFFFFF"/>
            <w:noWrap/>
            <w:vAlign w:val="bottom"/>
          </w:tcPr>
          <w:p w14:paraId="722B351D" w14:textId="77777777" w:rsidR="00F65662" w:rsidRPr="0038045B" w:rsidRDefault="00F65662" w:rsidP="00F65662">
            <w:pPr>
              <w:jc w:val="center"/>
              <w:rPr>
                <w:b/>
                <w:bCs/>
                <w:sz w:val="22"/>
                <w:szCs w:val="22"/>
                <w:lang w:eastAsia="en-US"/>
              </w:rPr>
            </w:pPr>
            <w:r w:rsidRPr="0038045B">
              <w:rPr>
                <w:b/>
                <w:bCs/>
                <w:sz w:val="22"/>
                <w:szCs w:val="22"/>
                <w:lang w:eastAsia="en-US"/>
              </w:rPr>
              <w:t>2.87</w:t>
            </w:r>
          </w:p>
        </w:tc>
        <w:tc>
          <w:tcPr>
            <w:tcW w:w="1096" w:type="dxa"/>
            <w:shd w:val="clear" w:color="000000" w:fill="FFFFFF"/>
            <w:noWrap/>
            <w:vAlign w:val="bottom"/>
          </w:tcPr>
          <w:p w14:paraId="7EA19011" w14:textId="77777777" w:rsidR="00F65662" w:rsidRPr="0038045B" w:rsidRDefault="00F65662" w:rsidP="00F65662">
            <w:pPr>
              <w:jc w:val="center"/>
              <w:rPr>
                <w:b/>
                <w:bCs/>
                <w:sz w:val="22"/>
                <w:szCs w:val="22"/>
                <w:lang w:eastAsia="en-US"/>
              </w:rPr>
            </w:pPr>
            <w:r w:rsidRPr="0038045B">
              <w:rPr>
                <w:b/>
                <w:bCs/>
                <w:sz w:val="22"/>
                <w:szCs w:val="22"/>
                <w:lang w:eastAsia="en-US"/>
              </w:rPr>
              <w:t>3.13</w:t>
            </w:r>
          </w:p>
        </w:tc>
        <w:tc>
          <w:tcPr>
            <w:tcW w:w="1096" w:type="dxa"/>
            <w:shd w:val="clear" w:color="000000" w:fill="FFFFFF"/>
            <w:noWrap/>
            <w:vAlign w:val="bottom"/>
          </w:tcPr>
          <w:p w14:paraId="1720EA2B" w14:textId="77777777" w:rsidR="00F65662" w:rsidRPr="0038045B" w:rsidRDefault="00F65662" w:rsidP="00F65662">
            <w:pPr>
              <w:jc w:val="center"/>
              <w:rPr>
                <w:b/>
                <w:bCs/>
                <w:sz w:val="22"/>
                <w:szCs w:val="22"/>
                <w:lang w:eastAsia="en-US"/>
              </w:rPr>
            </w:pPr>
            <w:r w:rsidRPr="0038045B">
              <w:rPr>
                <w:b/>
                <w:bCs/>
                <w:sz w:val="22"/>
                <w:szCs w:val="22"/>
                <w:lang w:eastAsia="en-US"/>
              </w:rPr>
              <w:t>3.10</w:t>
            </w:r>
          </w:p>
        </w:tc>
        <w:tc>
          <w:tcPr>
            <w:tcW w:w="1206" w:type="dxa"/>
            <w:shd w:val="clear" w:color="000000" w:fill="FFFFFF"/>
            <w:noWrap/>
            <w:vAlign w:val="bottom"/>
          </w:tcPr>
          <w:p w14:paraId="64C42F30" w14:textId="77777777" w:rsidR="00F65662" w:rsidRPr="0038045B" w:rsidRDefault="00F65662" w:rsidP="00F65662">
            <w:pPr>
              <w:jc w:val="center"/>
              <w:rPr>
                <w:b/>
                <w:bCs/>
                <w:sz w:val="22"/>
                <w:szCs w:val="22"/>
                <w:lang w:eastAsia="en-US"/>
              </w:rPr>
            </w:pPr>
            <w:r w:rsidRPr="0038045B">
              <w:rPr>
                <w:b/>
                <w:bCs/>
                <w:sz w:val="22"/>
                <w:szCs w:val="22"/>
                <w:lang w:eastAsia="en-US"/>
              </w:rPr>
              <w:t>3.67</w:t>
            </w:r>
          </w:p>
        </w:tc>
        <w:tc>
          <w:tcPr>
            <w:tcW w:w="1206" w:type="dxa"/>
            <w:shd w:val="clear" w:color="000000" w:fill="FFFFFF"/>
            <w:vAlign w:val="bottom"/>
          </w:tcPr>
          <w:p w14:paraId="55532DC9" w14:textId="77777777" w:rsidR="00F65662" w:rsidRPr="0038045B" w:rsidRDefault="00F65662" w:rsidP="00F65662">
            <w:pPr>
              <w:jc w:val="center"/>
              <w:rPr>
                <w:b/>
                <w:bCs/>
                <w:sz w:val="22"/>
                <w:szCs w:val="22"/>
                <w:lang w:eastAsia="en-US"/>
              </w:rPr>
            </w:pPr>
            <w:r w:rsidRPr="0038045B">
              <w:rPr>
                <w:b/>
                <w:bCs/>
                <w:sz w:val="22"/>
                <w:szCs w:val="22"/>
                <w:lang w:eastAsia="en-US"/>
              </w:rPr>
              <w:t>3.93</w:t>
            </w:r>
          </w:p>
        </w:tc>
        <w:tc>
          <w:tcPr>
            <w:tcW w:w="1206" w:type="dxa"/>
            <w:shd w:val="clear" w:color="000000" w:fill="FFFFFF"/>
            <w:noWrap/>
            <w:vAlign w:val="bottom"/>
          </w:tcPr>
          <w:p w14:paraId="731060B1" w14:textId="77777777" w:rsidR="00F65662" w:rsidRPr="0038045B" w:rsidRDefault="00F65662" w:rsidP="00F65662">
            <w:pPr>
              <w:jc w:val="center"/>
              <w:rPr>
                <w:b/>
                <w:bCs/>
                <w:sz w:val="22"/>
                <w:szCs w:val="22"/>
                <w:lang w:eastAsia="en-US"/>
              </w:rPr>
            </w:pPr>
            <w:r w:rsidRPr="0038045B">
              <w:rPr>
                <w:b/>
                <w:bCs/>
                <w:sz w:val="22"/>
                <w:szCs w:val="22"/>
                <w:lang w:eastAsia="en-US"/>
              </w:rPr>
              <w:t>4.26</w:t>
            </w:r>
          </w:p>
        </w:tc>
      </w:tr>
    </w:tbl>
    <w:p w14:paraId="63AE24F5" w14:textId="77777777" w:rsidR="001D65AB" w:rsidRPr="0038045B" w:rsidRDefault="001D65AB" w:rsidP="003C0D6D">
      <w:pPr>
        <w:pStyle w:val="Body"/>
        <w:spacing w:before="120" w:after="240" w:line="276" w:lineRule="auto"/>
        <w:ind w:firstLine="0"/>
        <w:rPr>
          <w:sz w:val="20"/>
          <w:lang w:val="en-US" w:eastAsia="en-US"/>
        </w:rPr>
      </w:pPr>
      <w:r w:rsidRPr="0038045B">
        <w:rPr>
          <w:i/>
          <w:sz w:val="20"/>
          <w:lang w:val="en-US" w:eastAsia="en-US"/>
        </w:rPr>
        <w:t>Source</w:t>
      </w:r>
      <w:r w:rsidRPr="0038045B">
        <w:rPr>
          <w:sz w:val="20"/>
          <w:lang w:val="en-US" w:eastAsia="en-US"/>
        </w:rPr>
        <w:t xml:space="preserve">: Bank of Albania, information available at </w:t>
      </w:r>
      <w:hyperlink r:id="rId16" w:history="1">
        <w:r w:rsidRPr="0038045B">
          <w:rPr>
            <w:rStyle w:val="Hyperlink"/>
            <w:sz w:val="20"/>
            <w:lang w:val="en-US" w:eastAsia="en-US"/>
          </w:rPr>
          <w:t>https://www.bankofalbania.org/web/Instrumentet_59_2.php</w:t>
        </w:r>
      </w:hyperlink>
      <w:r w:rsidRPr="0038045B">
        <w:rPr>
          <w:sz w:val="20"/>
          <w:lang w:val="en-US" w:eastAsia="en-US"/>
        </w:rPr>
        <w:t xml:space="preserve"> .</w:t>
      </w:r>
    </w:p>
    <w:p w14:paraId="2ACCBD0C" w14:textId="77777777" w:rsidR="006F758A" w:rsidRPr="0038045B" w:rsidRDefault="004E5DFA" w:rsidP="006F758A">
      <w:pPr>
        <w:pStyle w:val="Body"/>
        <w:numPr>
          <w:ilvl w:val="0"/>
          <w:numId w:val="15"/>
        </w:numPr>
        <w:spacing w:before="120" w:after="120" w:line="276" w:lineRule="auto"/>
        <w:ind w:left="0" w:firstLine="0"/>
        <w:rPr>
          <w:lang w:val="en-US" w:eastAsia="en-US"/>
        </w:rPr>
      </w:pPr>
      <w:r w:rsidRPr="0038045B">
        <w:rPr>
          <w:lang w:val="en-US" w:eastAsia="en-US"/>
        </w:rPr>
        <w:t>Payment card</w:t>
      </w:r>
      <w:r w:rsidR="009A2873" w:rsidRPr="0038045B">
        <w:rPr>
          <w:lang w:val="en-US" w:eastAsia="en-US"/>
        </w:rPr>
        <w:t xml:space="preserve"> usage</w:t>
      </w:r>
      <w:r w:rsidRPr="0038045B">
        <w:rPr>
          <w:lang w:val="en-US" w:eastAsia="en-US"/>
        </w:rPr>
        <w:t xml:space="preserve"> also show</w:t>
      </w:r>
      <w:r w:rsidR="009A2873" w:rsidRPr="0038045B">
        <w:rPr>
          <w:lang w:val="en-US" w:eastAsia="en-US"/>
        </w:rPr>
        <w:t>s</w:t>
      </w:r>
      <w:r w:rsidRPr="0038045B">
        <w:rPr>
          <w:lang w:val="en-US" w:eastAsia="en-US"/>
        </w:rPr>
        <w:t xml:space="preserve"> a promising upward trend, growing 230% over the 2011-2015 period.</w:t>
      </w:r>
      <w:r w:rsidR="003C0D6D" w:rsidRPr="0038045B">
        <w:rPr>
          <w:lang w:val="en-US" w:eastAsia="en-US"/>
        </w:rPr>
        <w:t xml:space="preserve"> Still, </w:t>
      </w:r>
      <w:r w:rsidR="00A55B1E" w:rsidRPr="0038045B">
        <w:rPr>
          <w:lang w:val="en-US" w:eastAsia="en-US"/>
        </w:rPr>
        <w:t xml:space="preserve">payment cards in Albania are mostly used for </w:t>
      </w:r>
      <w:r w:rsidR="003C0D6D" w:rsidRPr="0038045B">
        <w:rPr>
          <w:lang w:val="en-US" w:eastAsia="en-US"/>
        </w:rPr>
        <w:t>cash withdrawals</w:t>
      </w:r>
      <w:r w:rsidR="004058AA" w:rsidRPr="0038045B">
        <w:rPr>
          <w:lang w:val="en-US" w:eastAsia="en-US"/>
        </w:rPr>
        <w:t xml:space="preserve"> at automated teller machines (ATMs)</w:t>
      </w:r>
      <w:r w:rsidR="003C0D6D" w:rsidRPr="0038045B">
        <w:rPr>
          <w:lang w:val="en-US" w:eastAsia="en-US"/>
        </w:rPr>
        <w:t xml:space="preserve">: </w:t>
      </w:r>
      <w:r w:rsidR="00A55B1E" w:rsidRPr="0038045B">
        <w:rPr>
          <w:lang w:val="en-US" w:eastAsia="en-US"/>
        </w:rPr>
        <w:t xml:space="preserve">in 2016, there were 14.3 million cash withdrawals as opposed to </w:t>
      </w:r>
      <w:r w:rsidR="004058AA" w:rsidRPr="0038045B">
        <w:rPr>
          <w:lang w:val="en-US" w:eastAsia="en-US"/>
        </w:rPr>
        <w:t>2.3 million point-of-sale (POS) transactions</w:t>
      </w:r>
      <w:r w:rsidR="003C0D6D" w:rsidRPr="0038045B">
        <w:rPr>
          <w:lang w:val="en-US" w:eastAsia="en-US"/>
        </w:rPr>
        <w:t>.</w:t>
      </w:r>
    </w:p>
    <w:p w14:paraId="0B7D3A5F" w14:textId="77777777" w:rsidR="006F758A" w:rsidRPr="0038045B" w:rsidRDefault="006F758A" w:rsidP="00B46B24">
      <w:pPr>
        <w:pStyle w:val="Caption"/>
        <w:rPr>
          <w:bCs w:val="0"/>
          <w:spacing w:val="-3"/>
          <w:sz w:val="24"/>
        </w:rPr>
      </w:pPr>
      <w:r w:rsidRPr="0038045B">
        <w:rPr>
          <w:bCs w:val="0"/>
          <w:spacing w:val="-3"/>
          <w:sz w:val="24"/>
        </w:rPr>
        <w:t xml:space="preserve">Box </w:t>
      </w:r>
      <w:r w:rsidRPr="0038045B">
        <w:rPr>
          <w:bCs w:val="0"/>
          <w:spacing w:val="-3"/>
          <w:sz w:val="24"/>
        </w:rPr>
        <w:fldChar w:fldCharType="begin"/>
      </w:r>
      <w:r w:rsidRPr="0038045B">
        <w:rPr>
          <w:bCs w:val="0"/>
          <w:spacing w:val="-3"/>
          <w:sz w:val="24"/>
        </w:rPr>
        <w:instrText xml:space="preserve"> SEQ Box \* ARABIC </w:instrText>
      </w:r>
      <w:r w:rsidRPr="0038045B">
        <w:rPr>
          <w:bCs w:val="0"/>
          <w:spacing w:val="-3"/>
          <w:sz w:val="24"/>
        </w:rPr>
        <w:fldChar w:fldCharType="separate"/>
      </w:r>
      <w:r w:rsidR="005032F9">
        <w:rPr>
          <w:bCs w:val="0"/>
          <w:noProof/>
          <w:spacing w:val="-3"/>
          <w:sz w:val="24"/>
        </w:rPr>
        <w:t>1</w:t>
      </w:r>
      <w:r w:rsidRPr="0038045B">
        <w:rPr>
          <w:bCs w:val="0"/>
          <w:spacing w:val="-3"/>
          <w:sz w:val="24"/>
        </w:rPr>
        <w:fldChar w:fldCharType="end"/>
      </w:r>
      <w:r w:rsidRPr="0038045B">
        <w:rPr>
          <w:bCs w:val="0"/>
          <w:spacing w:val="-3"/>
          <w:sz w:val="24"/>
        </w:rPr>
        <w:t>: Consumer survey results of the BoA-WBG study on the cost of retail payments in Albania</w:t>
      </w:r>
    </w:p>
    <w:tbl>
      <w:tblPr>
        <w:tblStyle w:val="TableGrid"/>
        <w:tblW w:w="0" w:type="auto"/>
        <w:tblLook w:val="04A0" w:firstRow="1" w:lastRow="0" w:firstColumn="1" w:lastColumn="0" w:noHBand="0" w:noVBand="1"/>
      </w:tblPr>
      <w:tblGrid>
        <w:gridCol w:w="8630"/>
      </w:tblGrid>
      <w:tr w:rsidR="006F758A" w:rsidRPr="0038045B" w14:paraId="1941D96F" w14:textId="77777777" w:rsidTr="00550A2B">
        <w:tc>
          <w:tcPr>
            <w:tcW w:w="9350" w:type="dxa"/>
          </w:tcPr>
          <w:p w14:paraId="5E350D26" w14:textId="77777777" w:rsidR="006F758A" w:rsidRPr="0038045B" w:rsidRDefault="006F758A" w:rsidP="00550A2B">
            <w:pPr>
              <w:spacing w:after="120"/>
              <w:jc w:val="both"/>
              <w:rPr>
                <w:b/>
                <w:sz w:val="22"/>
                <w:szCs w:val="22"/>
              </w:rPr>
            </w:pPr>
            <w:r w:rsidRPr="0038045B">
              <w:rPr>
                <w:sz w:val="22"/>
                <w:szCs w:val="22"/>
              </w:rPr>
              <w:t>In 2014, the BoA and the WBG signed a Memorandum of Understanding (MoU) with the objective to undertake a study of the costs of retail payments in Albania on the</w:t>
            </w:r>
            <w:r w:rsidR="00194157" w:rsidRPr="0038045B">
              <w:rPr>
                <w:sz w:val="22"/>
                <w:szCs w:val="22"/>
              </w:rPr>
              <w:t xml:space="preserve"> basis of the WBG methodology outlined in the </w:t>
            </w:r>
            <w:r w:rsidRPr="0038045B">
              <w:rPr>
                <w:sz w:val="22"/>
                <w:szCs w:val="22"/>
              </w:rPr>
              <w:t>“Practical Guide to Measure Retail Payment Costs</w:t>
            </w:r>
            <w:r w:rsidR="00194157" w:rsidRPr="0038045B">
              <w:rPr>
                <w:sz w:val="22"/>
                <w:szCs w:val="22"/>
              </w:rPr>
              <w:t>”</w:t>
            </w:r>
            <w:r w:rsidRPr="0038045B">
              <w:rPr>
                <w:sz w:val="22"/>
                <w:szCs w:val="22"/>
              </w:rPr>
              <w:t>. The results of the study aimed to enable the BoA to ground payment system policies in a comprehensive analysis of the retail payments market, and to identify key actions to accelerate a transition from cash/pa</w:t>
            </w:r>
            <w:r w:rsidR="00194157" w:rsidRPr="0038045B">
              <w:rPr>
                <w:sz w:val="22"/>
                <w:szCs w:val="22"/>
              </w:rPr>
              <w:t>per-based to electronic payment instruments</w:t>
            </w:r>
            <w:r w:rsidRPr="0038045B">
              <w:rPr>
                <w:sz w:val="22"/>
                <w:szCs w:val="22"/>
              </w:rPr>
              <w:t>.</w:t>
            </w:r>
          </w:p>
          <w:p w14:paraId="34466550" w14:textId="77777777" w:rsidR="006F758A" w:rsidRPr="0038045B" w:rsidRDefault="006F758A" w:rsidP="00550A2B">
            <w:pPr>
              <w:spacing w:after="120"/>
              <w:jc w:val="both"/>
              <w:rPr>
                <w:sz w:val="22"/>
                <w:szCs w:val="22"/>
              </w:rPr>
            </w:pPr>
            <w:r w:rsidRPr="0038045B">
              <w:rPr>
                <w:sz w:val="22"/>
                <w:szCs w:val="22"/>
              </w:rPr>
              <w:t xml:space="preserve">From the perspective of access to transaction accounts, consumer survey data collected in this context indicated that at the </w:t>
            </w:r>
            <w:r w:rsidR="008575CF" w:rsidRPr="0038045B">
              <w:rPr>
                <w:sz w:val="22"/>
                <w:szCs w:val="22"/>
              </w:rPr>
              <w:t>time of the survey, 38.5%</w:t>
            </w:r>
            <w:r w:rsidRPr="0038045B">
              <w:rPr>
                <w:sz w:val="22"/>
                <w:szCs w:val="22"/>
              </w:rPr>
              <w:t xml:space="preserve"> of Albanian adults had access to a</w:t>
            </w:r>
            <w:r w:rsidR="008575CF" w:rsidRPr="0038045B">
              <w:rPr>
                <w:sz w:val="22"/>
                <w:szCs w:val="22"/>
              </w:rPr>
              <w:t xml:space="preserve"> bank </w:t>
            </w:r>
            <w:r w:rsidR="008575CF" w:rsidRPr="0038045B">
              <w:rPr>
                <w:sz w:val="22"/>
                <w:szCs w:val="22"/>
              </w:rPr>
              <w:lastRenderedPageBreak/>
              <w:t>account, with 33.5%</w:t>
            </w:r>
            <w:r w:rsidRPr="0038045B">
              <w:rPr>
                <w:sz w:val="22"/>
                <w:szCs w:val="22"/>
              </w:rPr>
              <w:t xml:space="preserve"> having </w:t>
            </w:r>
            <w:r w:rsidR="008575CF" w:rsidRPr="0038045B">
              <w:rPr>
                <w:sz w:val="22"/>
                <w:szCs w:val="22"/>
              </w:rPr>
              <w:t>a personal account and 5%</w:t>
            </w:r>
            <w:r w:rsidRPr="0038045B">
              <w:rPr>
                <w:sz w:val="22"/>
                <w:szCs w:val="22"/>
              </w:rPr>
              <w:t xml:space="preserve"> accessing an account through a family member.</w:t>
            </w:r>
          </w:p>
          <w:p w14:paraId="0BA9873B" w14:textId="77777777" w:rsidR="006F758A" w:rsidRPr="0038045B" w:rsidRDefault="006F758A" w:rsidP="00550A2B">
            <w:pPr>
              <w:pStyle w:val="Caption"/>
              <w:spacing w:after="120"/>
              <w:rPr>
                <w:sz w:val="22"/>
                <w:szCs w:val="22"/>
              </w:rPr>
            </w:pPr>
            <w:r w:rsidRPr="0038045B">
              <w:rPr>
                <w:sz w:val="22"/>
                <w:szCs w:val="22"/>
              </w:rPr>
              <w:t>Bank account and online money account access at the country level</w:t>
            </w:r>
          </w:p>
          <w:tbl>
            <w:tblPr>
              <w:tblStyle w:val="GridTable4-Accent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2078"/>
              <w:gridCol w:w="2124"/>
              <w:gridCol w:w="2079"/>
            </w:tblGrid>
            <w:tr w:rsidR="006F758A" w:rsidRPr="0038045B" w14:paraId="3C5F894A" w14:textId="77777777" w:rsidTr="006F7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4" w:type="dxa"/>
                  <w:gridSpan w:val="2"/>
                  <w:vAlign w:val="center"/>
                  <w:hideMark/>
                </w:tcPr>
                <w:p w14:paraId="01B59BC2" w14:textId="77777777" w:rsidR="006F758A" w:rsidRPr="0038045B" w:rsidRDefault="006F758A" w:rsidP="006F758A">
                  <w:pPr>
                    <w:pStyle w:val="ListParagraph"/>
                    <w:ind w:left="0"/>
                    <w:jc w:val="center"/>
                    <w:rPr>
                      <w:sz w:val="20"/>
                      <w:szCs w:val="20"/>
                    </w:rPr>
                  </w:pPr>
                  <w:r w:rsidRPr="0038045B">
                    <w:rPr>
                      <w:sz w:val="20"/>
                      <w:szCs w:val="20"/>
                    </w:rPr>
                    <w:t>Bank Account Access</w:t>
                  </w:r>
                </w:p>
              </w:tc>
              <w:tc>
                <w:tcPr>
                  <w:tcW w:w="4676" w:type="dxa"/>
                  <w:gridSpan w:val="2"/>
                  <w:vAlign w:val="center"/>
                  <w:hideMark/>
                </w:tcPr>
                <w:p w14:paraId="2F25133B" w14:textId="77777777" w:rsidR="006F758A" w:rsidRPr="0038045B" w:rsidRDefault="006F758A" w:rsidP="006F758A">
                  <w:pPr>
                    <w:pStyle w:val="ListParagraph"/>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38045B">
                    <w:rPr>
                      <w:sz w:val="20"/>
                      <w:szCs w:val="20"/>
                    </w:rPr>
                    <w:t>Online Money Account Access</w:t>
                  </w:r>
                </w:p>
              </w:tc>
            </w:tr>
            <w:tr w:rsidR="006F758A" w:rsidRPr="0038045B" w14:paraId="1E4156CE" w14:textId="77777777" w:rsidTr="006F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hideMark/>
                </w:tcPr>
                <w:p w14:paraId="3822B7F8" w14:textId="77777777" w:rsidR="006F758A" w:rsidRPr="0038045B" w:rsidRDefault="006F758A" w:rsidP="006F758A">
                  <w:pPr>
                    <w:pStyle w:val="ListParagraph"/>
                    <w:ind w:left="0"/>
                    <w:jc w:val="center"/>
                    <w:rPr>
                      <w:color w:val="000000" w:themeColor="text1"/>
                      <w:sz w:val="20"/>
                      <w:szCs w:val="20"/>
                    </w:rPr>
                  </w:pPr>
                  <w:r w:rsidRPr="0038045B">
                    <w:rPr>
                      <w:color w:val="000000" w:themeColor="text1"/>
                      <w:sz w:val="20"/>
                      <w:szCs w:val="20"/>
                    </w:rPr>
                    <w:t>Yes (personal)</w:t>
                  </w:r>
                </w:p>
              </w:tc>
              <w:tc>
                <w:tcPr>
                  <w:tcW w:w="2337" w:type="dxa"/>
                  <w:vAlign w:val="center"/>
                  <w:hideMark/>
                </w:tcPr>
                <w:p w14:paraId="26F88800" w14:textId="77777777" w:rsidR="006F758A" w:rsidRPr="0038045B" w:rsidRDefault="006F758A" w:rsidP="006F758A">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38045B">
                    <w:rPr>
                      <w:color w:val="000000" w:themeColor="text1"/>
                      <w:sz w:val="20"/>
                      <w:szCs w:val="20"/>
                    </w:rPr>
                    <w:t>33.5%</w:t>
                  </w:r>
                </w:p>
              </w:tc>
              <w:tc>
                <w:tcPr>
                  <w:tcW w:w="2338" w:type="dxa"/>
                  <w:vAlign w:val="center"/>
                  <w:hideMark/>
                </w:tcPr>
                <w:p w14:paraId="278638D9" w14:textId="77777777" w:rsidR="006F758A" w:rsidRPr="0038045B" w:rsidRDefault="006F758A" w:rsidP="006F758A">
                  <w:pPr>
                    <w:pStyle w:val="ListParagraph"/>
                    <w:ind w:left="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38045B">
                    <w:rPr>
                      <w:b/>
                      <w:color w:val="000000" w:themeColor="text1"/>
                      <w:sz w:val="20"/>
                      <w:szCs w:val="20"/>
                    </w:rPr>
                    <w:t>Yes (PayPal</w:t>
                  </w:r>
                  <w:r w:rsidR="00477FA0" w:rsidRPr="0038045B">
                    <w:rPr>
                      <w:b/>
                      <w:color w:val="000000" w:themeColor="text1"/>
                      <w:sz w:val="20"/>
                      <w:szCs w:val="20"/>
                    </w:rPr>
                    <w:t>*</w:t>
                  </w:r>
                  <w:r w:rsidRPr="0038045B">
                    <w:rPr>
                      <w:b/>
                      <w:color w:val="000000" w:themeColor="text1"/>
                      <w:sz w:val="20"/>
                      <w:szCs w:val="20"/>
                    </w:rPr>
                    <w:t>)</w:t>
                  </w:r>
                </w:p>
              </w:tc>
              <w:tc>
                <w:tcPr>
                  <w:tcW w:w="2338" w:type="dxa"/>
                  <w:vAlign w:val="center"/>
                  <w:hideMark/>
                </w:tcPr>
                <w:p w14:paraId="633FB64B" w14:textId="77777777" w:rsidR="006F758A" w:rsidRPr="0038045B" w:rsidRDefault="006F758A" w:rsidP="006F758A">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38045B">
                    <w:rPr>
                      <w:color w:val="000000" w:themeColor="text1"/>
                      <w:sz w:val="20"/>
                      <w:szCs w:val="20"/>
                    </w:rPr>
                    <w:t>0.5%</w:t>
                  </w:r>
                </w:p>
              </w:tc>
            </w:tr>
            <w:tr w:rsidR="006F758A" w:rsidRPr="0038045B" w14:paraId="316BDE59" w14:textId="77777777" w:rsidTr="006F758A">
              <w:tc>
                <w:tcPr>
                  <w:cnfStyle w:val="001000000000" w:firstRow="0" w:lastRow="0" w:firstColumn="1" w:lastColumn="0" w:oddVBand="0" w:evenVBand="0" w:oddHBand="0" w:evenHBand="0" w:firstRowFirstColumn="0" w:firstRowLastColumn="0" w:lastRowFirstColumn="0" w:lastRowLastColumn="0"/>
                  <w:tcW w:w="2337" w:type="dxa"/>
                  <w:vAlign w:val="center"/>
                  <w:hideMark/>
                </w:tcPr>
                <w:p w14:paraId="4BABE478" w14:textId="77777777" w:rsidR="006F758A" w:rsidRPr="0038045B" w:rsidRDefault="006F758A" w:rsidP="006F758A">
                  <w:pPr>
                    <w:pStyle w:val="ListParagraph"/>
                    <w:ind w:left="0"/>
                    <w:jc w:val="center"/>
                    <w:rPr>
                      <w:color w:val="000000" w:themeColor="text1"/>
                      <w:sz w:val="20"/>
                      <w:szCs w:val="20"/>
                    </w:rPr>
                  </w:pPr>
                  <w:r w:rsidRPr="0038045B">
                    <w:rPr>
                      <w:color w:val="000000" w:themeColor="text1"/>
                      <w:sz w:val="20"/>
                      <w:szCs w:val="20"/>
                    </w:rPr>
                    <w:t>Yes (through family)</w:t>
                  </w:r>
                </w:p>
              </w:tc>
              <w:tc>
                <w:tcPr>
                  <w:tcW w:w="2337" w:type="dxa"/>
                  <w:vAlign w:val="center"/>
                  <w:hideMark/>
                </w:tcPr>
                <w:p w14:paraId="1C689BF3" w14:textId="77777777" w:rsidR="006F758A" w:rsidRPr="0038045B" w:rsidRDefault="006F758A" w:rsidP="006F758A">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8045B">
                    <w:rPr>
                      <w:color w:val="000000" w:themeColor="text1"/>
                      <w:sz w:val="20"/>
                      <w:szCs w:val="20"/>
                    </w:rPr>
                    <w:t>5%</w:t>
                  </w:r>
                </w:p>
              </w:tc>
              <w:tc>
                <w:tcPr>
                  <w:tcW w:w="2338" w:type="dxa"/>
                  <w:vAlign w:val="center"/>
                  <w:hideMark/>
                </w:tcPr>
                <w:p w14:paraId="74337046" w14:textId="77777777" w:rsidR="006F758A" w:rsidRPr="0038045B" w:rsidRDefault="006F758A" w:rsidP="006F758A">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38045B">
                    <w:rPr>
                      <w:b/>
                      <w:color w:val="000000" w:themeColor="text1"/>
                      <w:sz w:val="20"/>
                      <w:szCs w:val="20"/>
                    </w:rPr>
                    <w:t>No (with bank account access)</w:t>
                  </w:r>
                </w:p>
              </w:tc>
              <w:tc>
                <w:tcPr>
                  <w:tcW w:w="2338" w:type="dxa"/>
                  <w:vAlign w:val="center"/>
                  <w:hideMark/>
                </w:tcPr>
                <w:p w14:paraId="746713B4" w14:textId="77777777" w:rsidR="006F758A" w:rsidRPr="0038045B" w:rsidRDefault="006F758A" w:rsidP="006F758A">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8045B">
                    <w:rPr>
                      <w:color w:val="000000" w:themeColor="text1"/>
                      <w:sz w:val="20"/>
                      <w:szCs w:val="20"/>
                    </w:rPr>
                    <w:t>37.5%</w:t>
                  </w:r>
                </w:p>
              </w:tc>
            </w:tr>
            <w:tr w:rsidR="006F758A" w:rsidRPr="0038045B" w14:paraId="211F81E7" w14:textId="77777777" w:rsidTr="006F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hideMark/>
                </w:tcPr>
                <w:p w14:paraId="123DBCD9" w14:textId="77777777" w:rsidR="006F758A" w:rsidRPr="0038045B" w:rsidRDefault="006F758A" w:rsidP="006F758A">
                  <w:pPr>
                    <w:pStyle w:val="ListParagraph"/>
                    <w:ind w:left="0"/>
                    <w:jc w:val="center"/>
                    <w:rPr>
                      <w:color w:val="000000" w:themeColor="text1"/>
                      <w:sz w:val="20"/>
                      <w:szCs w:val="20"/>
                    </w:rPr>
                  </w:pPr>
                  <w:r w:rsidRPr="0038045B">
                    <w:rPr>
                      <w:color w:val="000000" w:themeColor="text1"/>
                      <w:sz w:val="20"/>
                      <w:szCs w:val="20"/>
                    </w:rPr>
                    <w:t>No</w:t>
                  </w:r>
                </w:p>
              </w:tc>
              <w:tc>
                <w:tcPr>
                  <w:tcW w:w="2337" w:type="dxa"/>
                  <w:vAlign w:val="center"/>
                  <w:hideMark/>
                </w:tcPr>
                <w:p w14:paraId="6582935E" w14:textId="77777777" w:rsidR="006F758A" w:rsidRPr="0038045B" w:rsidRDefault="006F758A" w:rsidP="006F758A">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38045B">
                    <w:rPr>
                      <w:color w:val="000000" w:themeColor="text1"/>
                      <w:sz w:val="20"/>
                      <w:szCs w:val="20"/>
                    </w:rPr>
                    <w:t>61%</w:t>
                  </w:r>
                </w:p>
              </w:tc>
              <w:tc>
                <w:tcPr>
                  <w:tcW w:w="2338" w:type="dxa"/>
                  <w:vAlign w:val="center"/>
                  <w:hideMark/>
                </w:tcPr>
                <w:p w14:paraId="5D5C6260" w14:textId="77777777" w:rsidR="006F758A" w:rsidRPr="0038045B" w:rsidRDefault="006F758A" w:rsidP="006F758A">
                  <w:pPr>
                    <w:pStyle w:val="ListParagraph"/>
                    <w:ind w:left="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38045B">
                    <w:rPr>
                      <w:b/>
                      <w:color w:val="000000" w:themeColor="text1"/>
                      <w:sz w:val="20"/>
                      <w:szCs w:val="20"/>
                    </w:rPr>
                    <w:t>No (without bank account access)</w:t>
                  </w:r>
                </w:p>
              </w:tc>
              <w:tc>
                <w:tcPr>
                  <w:tcW w:w="2338" w:type="dxa"/>
                  <w:vAlign w:val="center"/>
                  <w:hideMark/>
                </w:tcPr>
                <w:p w14:paraId="3C36E5ED" w14:textId="77777777" w:rsidR="006F758A" w:rsidRPr="0038045B" w:rsidRDefault="006F758A" w:rsidP="006F758A">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38045B">
                    <w:rPr>
                      <w:color w:val="000000" w:themeColor="text1"/>
                      <w:sz w:val="20"/>
                      <w:szCs w:val="20"/>
                    </w:rPr>
                    <w:t>61%</w:t>
                  </w:r>
                </w:p>
              </w:tc>
            </w:tr>
            <w:tr w:rsidR="006F758A" w:rsidRPr="0038045B" w14:paraId="162A0F8D" w14:textId="77777777" w:rsidTr="006F758A">
              <w:tc>
                <w:tcPr>
                  <w:cnfStyle w:val="001000000000" w:firstRow="0" w:lastRow="0" w:firstColumn="1" w:lastColumn="0" w:oddVBand="0" w:evenVBand="0" w:oddHBand="0" w:evenHBand="0" w:firstRowFirstColumn="0" w:firstRowLastColumn="0" w:lastRowFirstColumn="0" w:lastRowLastColumn="0"/>
                  <w:tcW w:w="2337" w:type="dxa"/>
                  <w:vAlign w:val="center"/>
                  <w:hideMark/>
                </w:tcPr>
                <w:p w14:paraId="50C7355D" w14:textId="77777777" w:rsidR="006F758A" w:rsidRPr="0038045B" w:rsidRDefault="006F758A" w:rsidP="006F758A">
                  <w:pPr>
                    <w:pStyle w:val="ListParagraph"/>
                    <w:ind w:left="0"/>
                    <w:jc w:val="center"/>
                    <w:rPr>
                      <w:color w:val="000000" w:themeColor="text1"/>
                      <w:sz w:val="20"/>
                      <w:szCs w:val="20"/>
                    </w:rPr>
                  </w:pPr>
                  <w:r w:rsidRPr="0038045B">
                    <w:rPr>
                      <w:color w:val="000000" w:themeColor="text1"/>
                      <w:sz w:val="20"/>
                      <w:szCs w:val="20"/>
                    </w:rPr>
                    <w:t>NR</w:t>
                  </w:r>
                </w:p>
              </w:tc>
              <w:tc>
                <w:tcPr>
                  <w:tcW w:w="2337" w:type="dxa"/>
                  <w:vAlign w:val="center"/>
                  <w:hideMark/>
                </w:tcPr>
                <w:p w14:paraId="0556FE57" w14:textId="77777777" w:rsidR="006F758A" w:rsidRPr="0038045B" w:rsidRDefault="006F758A" w:rsidP="006F758A">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8045B">
                    <w:rPr>
                      <w:color w:val="000000" w:themeColor="text1"/>
                      <w:sz w:val="20"/>
                      <w:szCs w:val="20"/>
                    </w:rPr>
                    <w:t>0.5%</w:t>
                  </w:r>
                </w:p>
              </w:tc>
              <w:tc>
                <w:tcPr>
                  <w:tcW w:w="2338" w:type="dxa"/>
                  <w:vAlign w:val="center"/>
                  <w:hideMark/>
                </w:tcPr>
                <w:p w14:paraId="75680301" w14:textId="77777777" w:rsidR="006F758A" w:rsidRPr="0038045B" w:rsidRDefault="006F758A" w:rsidP="006F758A">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38045B">
                    <w:rPr>
                      <w:b/>
                      <w:color w:val="000000" w:themeColor="text1"/>
                      <w:sz w:val="20"/>
                      <w:szCs w:val="20"/>
                    </w:rPr>
                    <w:t>NR</w:t>
                  </w:r>
                </w:p>
              </w:tc>
              <w:tc>
                <w:tcPr>
                  <w:tcW w:w="2338" w:type="dxa"/>
                  <w:vAlign w:val="center"/>
                  <w:hideMark/>
                </w:tcPr>
                <w:p w14:paraId="32482E6E" w14:textId="77777777" w:rsidR="006F758A" w:rsidRPr="0038045B" w:rsidRDefault="006F758A" w:rsidP="006F758A">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8045B">
                    <w:rPr>
                      <w:color w:val="000000" w:themeColor="text1"/>
                      <w:sz w:val="20"/>
                      <w:szCs w:val="20"/>
                    </w:rPr>
                    <w:t>1%</w:t>
                  </w:r>
                </w:p>
              </w:tc>
            </w:tr>
            <w:tr w:rsidR="006F758A" w:rsidRPr="0038045B" w14:paraId="79427F1C" w14:textId="77777777" w:rsidTr="006F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hideMark/>
                </w:tcPr>
                <w:p w14:paraId="66A342AD" w14:textId="77777777" w:rsidR="006F758A" w:rsidRPr="0038045B" w:rsidRDefault="006F758A" w:rsidP="006F758A">
                  <w:pPr>
                    <w:pStyle w:val="ListParagraph"/>
                    <w:ind w:left="0"/>
                    <w:jc w:val="center"/>
                    <w:rPr>
                      <w:color w:val="000000" w:themeColor="text1"/>
                      <w:sz w:val="20"/>
                      <w:szCs w:val="20"/>
                    </w:rPr>
                  </w:pPr>
                  <w:r w:rsidRPr="0038045B">
                    <w:rPr>
                      <w:color w:val="000000" w:themeColor="text1"/>
                      <w:sz w:val="20"/>
                      <w:szCs w:val="20"/>
                    </w:rPr>
                    <w:t>Total</w:t>
                  </w:r>
                </w:p>
              </w:tc>
              <w:tc>
                <w:tcPr>
                  <w:tcW w:w="2337" w:type="dxa"/>
                  <w:vAlign w:val="center"/>
                  <w:hideMark/>
                </w:tcPr>
                <w:p w14:paraId="2041D85E" w14:textId="77777777" w:rsidR="006F758A" w:rsidRPr="0038045B" w:rsidRDefault="006F758A" w:rsidP="006F758A">
                  <w:pPr>
                    <w:pStyle w:val="ListParagraph"/>
                    <w:ind w:left="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38045B">
                    <w:rPr>
                      <w:b/>
                      <w:color w:val="000000" w:themeColor="text1"/>
                      <w:sz w:val="20"/>
                      <w:szCs w:val="20"/>
                    </w:rPr>
                    <w:t>100%</w:t>
                  </w:r>
                </w:p>
              </w:tc>
              <w:tc>
                <w:tcPr>
                  <w:tcW w:w="2338" w:type="dxa"/>
                  <w:vAlign w:val="center"/>
                  <w:hideMark/>
                </w:tcPr>
                <w:p w14:paraId="191648BF" w14:textId="77777777" w:rsidR="006F758A" w:rsidRPr="0038045B" w:rsidRDefault="006F758A" w:rsidP="006F758A">
                  <w:pPr>
                    <w:pStyle w:val="ListParagraph"/>
                    <w:ind w:left="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38045B">
                    <w:rPr>
                      <w:b/>
                      <w:color w:val="000000" w:themeColor="text1"/>
                      <w:sz w:val="20"/>
                      <w:szCs w:val="20"/>
                    </w:rPr>
                    <w:t>Total</w:t>
                  </w:r>
                </w:p>
              </w:tc>
              <w:tc>
                <w:tcPr>
                  <w:tcW w:w="2338" w:type="dxa"/>
                  <w:vAlign w:val="center"/>
                  <w:hideMark/>
                </w:tcPr>
                <w:p w14:paraId="06F17C84" w14:textId="77777777" w:rsidR="006F758A" w:rsidRPr="0038045B" w:rsidRDefault="006F758A" w:rsidP="006F758A">
                  <w:pPr>
                    <w:pStyle w:val="ListParagraph"/>
                    <w:ind w:left="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38045B">
                    <w:rPr>
                      <w:b/>
                      <w:color w:val="000000" w:themeColor="text1"/>
                      <w:sz w:val="20"/>
                      <w:szCs w:val="20"/>
                    </w:rPr>
                    <w:t>100%</w:t>
                  </w:r>
                </w:p>
              </w:tc>
            </w:tr>
          </w:tbl>
          <w:p w14:paraId="071346FE" w14:textId="77777777" w:rsidR="006F758A" w:rsidRPr="0038045B" w:rsidRDefault="00477FA0" w:rsidP="00941D8E">
            <w:pPr>
              <w:spacing w:after="240"/>
              <w:jc w:val="both"/>
              <w:rPr>
                <w:i/>
                <w:sz w:val="18"/>
                <w:szCs w:val="18"/>
              </w:rPr>
            </w:pPr>
            <w:r w:rsidRPr="0038045B">
              <w:rPr>
                <w:i/>
                <w:sz w:val="18"/>
                <w:szCs w:val="18"/>
              </w:rPr>
              <w:t xml:space="preserve">* For Albania, online money constitutes an exception to the cost study methodology in that at the time of the survey there were no authorized e-money </w:t>
            </w:r>
            <w:r w:rsidR="00194157" w:rsidRPr="0038045B">
              <w:rPr>
                <w:i/>
                <w:sz w:val="18"/>
                <w:szCs w:val="18"/>
              </w:rPr>
              <w:t>institutions</w:t>
            </w:r>
            <w:r w:rsidRPr="0038045B">
              <w:rPr>
                <w:i/>
                <w:sz w:val="18"/>
                <w:szCs w:val="18"/>
              </w:rPr>
              <w:t xml:space="preserve">. In fact, online money </w:t>
            </w:r>
            <w:r w:rsidR="00194157" w:rsidRPr="0038045B">
              <w:rPr>
                <w:i/>
                <w:sz w:val="18"/>
                <w:szCs w:val="18"/>
              </w:rPr>
              <w:t xml:space="preserve">here </w:t>
            </w:r>
            <w:r w:rsidRPr="0038045B">
              <w:rPr>
                <w:i/>
                <w:sz w:val="18"/>
                <w:szCs w:val="18"/>
              </w:rPr>
              <w:t xml:space="preserve">refers to Paypal services, which in spite of being below </w:t>
            </w:r>
            <w:r w:rsidR="00194157" w:rsidRPr="0038045B">
              <w:rPr>
                <w:i/>
                <w:sz w:val="18"/>
                <w:szCs w:val="18"/>
              </w:rPr>
              <w:t xml:space="preserve">of </w:t>
            </w:r>
            <w:r w:rsidRPr="0038045B">
              <w:rPr>
                <w:i/>
                <w:sz w:val="18"/>
                <w:szCs w:val="18"/>
              </w:rPr>
              <w:t>the 5</w:t>
            </w:r>
            <w:r w:rsidR="009C166B" w:rsidRPr="0038045B">
              <w:rPr>
                <w:i/>
                <w:sz w:val="18"/>
                <w:szCs w:val="18"/>
              </w:rPr>
              <w:t xml:space="preserve">% </w:t>
            </w:r>
            <w:r w:rsidRPr="0038045B">
              <w:rPr>
                <w:i/>
                <w:sz w:val="18"/>
                <w:szCs w:val="18"/>
              </w:rPr>
              <w:t>minimum threshold</w:t>
            </w:r>
            <w:r w:rsidR="00194157" w:rsidRPr="0038045B">
              <w:rPr>
                <w:i/>
                <w:sz w:val="18"/>
                <w:szCs w:val="18"/>
              </w:rPr>
              <w:t xml:space="preserve"> allowed by the methodology</w:t>
            </w:r>
            <w:r w:rsidRPr="0038045B">
              <w:rPr>
                <w:i/>
                <w:sz w:val="18"/>
                <w:szCs w:val="18"/>
              </w:rPr>
              <w:t>, was considered to be indicative of a growing pattern in e-money products in the near future, and as such, captured in the study.</w:t>
            </w:r>
          </w:p>
          <w:p w14:paraId="09972E75" w14:textId="77777777" w:rsidR="006F758A" w:rsidRPr="0038045B" w:rsidRDefault="006F758A" w:rsidP="00550A2B">
            <w:pPr>
              <w:spacing w:after="120" w:line="256" w:lineRule="auto"/>
              <w:jc w:val="both"/>
              <w:rPr>
                <w:sz w:val="22"/>
                <w:szCs w:val="22"/>
              </w:rPr>
            </w:pPr>
            <w:r w:rsidRPr="0038045B">
              <w:rPr>
                <w:sz w:val="22"/>
                <w:szCs w:val="22"/>
                <w:lang w:eastAsia="ja-JP"/>
              </w:rPr>
              <w:t>Breakdown data sho</w:t>
            </w:r>
            <w:r w:rsidR="008575CF" w:rsidRPr="0038045B">
              <w:rPr>
                <w:sz w:val="22"/>
                <w:szCs w:val="22"/>
                <w:lang w:eastAsia="ja-JP"/>
              </w:rPr>
              <w:t xml:space="preserve">wed that in rural areas only 23% </w:t>
            </w:r>
            <w:r w:rsidRPr="0038045B">
              <w:rPr>
                <w:sz w:val="22"/>
                <w:szCs w:val="22"/>
                <w:lang w:eastAsia="ja-JP"/>
              </w:rPr>
              <w:t>of the adult population had access to a bank account while in urban areas, the e</w:t>
            </w:r>
            <w:r w:rsidR="008575CF" w:rsidRPr="0038045B">
              <w:rPr>
                <w:sz w:val="22"/>
                <w:szCs w:val="22"/>
                <w:lang w:eastAsia="ja-JP"/>
              </w:rPr>
              <w:t>quivalent portion was 50%</w:t>
            </w:r>
            <w:r w:rsidRPr="0038045B">
              <w:rPr>
                <w:sz w:val="22"/>
                <w:szCs w:val="22"/>
                <w:lang w:eastAsia="ja-JP"/>
              </w:rPr>
              <w:t>. Across age categories, adults of 65 years old and above seemed to display the lowest ratio for bank accoun</w:t>
            </w:r>
            <w:r w:rsidR="008575CF" w:rsidRPr="0038045B">
              <w:rPr>
                <w:sz w:val="22"/>
                <w:szCs w:val="22"/>
                <w:lang w:eastAsia="ja-JP"/>
              </w:rPr>
              <w:t xml:space="preserve">t access. Specifically, only 20% </w:t>
            </w:r>
            <w:r w:rsidRPr="0038045B">
              <w:rPr>
                <w:sz w:val="22"/>
                <w:szCs w:val="22"/>
                <w:lang w:eastAsia="ja-JP"/>
              </w:rPr>
              <w:t>of adults within this category reported having access to a bank account, while the equivalent percentage is higher for the ot</w:t>
            </w:r>
            <w:r w:rsidR="008575CF" w:rsidRPr="0038045B">
              <w:rPr>
                <w:sz w:val="22"/>
                <w:szCs w:val="22"/>
                <w:lang w:eastAsia="ja-JP"/>
              </w:rPr>
              <w:t xml:space="preserve">her categories, ranging from 39% </w:t>
            </w:r>
            <w:r w:rsidRPr="0038045B">
              <w:rPr>
                <w:sz w:val="22"/>
                <w:szCs w:val="22"/>
                <w:lang w:eastAsia="ja-JP"/>
              </w:rPr>
              <w:t xml:space="preserve">(for those between 18 and 39 </w:t>
            </w:r>
            <w:r w:rsidR="008575CF" w:rsidRPr="0038045B">
              <w:rPr>
                <w:sz w:val="22"/>
                <w:szCs w:val="22"/>
                <w:lang w:eastAsia="ja-JP"/>
              </w:rPr>
              <w:t xml:space="preserve">years old) to 45% </w:t>
            </w:r>
            <w:r w:rsidRPr="0038045B">
              <w:rPr>
                <w:sz w:val="22"/>
                <w:szCs w:val="22"/>
                <w:lang w:eastAsia="ja-JP"/>
              </w:rPr>
              <w:t>(for those between 40n and 64 years old). The higher the income, the higher the percentage of the population that has access to a bank account: All respondents belonging to the income level of ALL 100,000 and above reported having access to a bank account.</w:t>
            </w:r>
          </w:p>
          <w:p w14:paraId="07DDEA1E" w14:textId="77777777" w:rsidR="006F758A" w:rsidRPr="0038045B" w:rsidRDefault="006F758A" w:rsidP="006F758A">
            <w:pPr>
              <w:spacing w:after="120" w:line="257" w:lineRule="auto"/>
              <w:jc w:val="both"/>
              <w:rPr>
                <w:sz w:val="22"/>
                <w:szCs w:val="22"/>
              </w:rPr>
            </w:pPr>
            <w:r w:rsidRPr="0038045B">
              <w:rPr>
                <w:sz w:val="22"/>
                <w:szCs w:val="22"/>
              </w:rPr>
              <w:t>Accor</w:t>
            </w:r>
            <w:r w:rsidR="008575CF" w:rsidRPr="0038045B">
              <w:rPr>
                <w:sz w:val="22"/>
                <w:szCs w:val="22"/>
              </w:rPr>
              <w:t xml:space="preserve">ding to the survey findings, 24% </w:t>
            </w:r>
            <w:r w:rsidRPr="0038045B">
              <w:rPr>
                <w:sz w:val="22"/>
                <w:szCs w:val="22"/>
              </w:rPr>
              <w:t>of the adult population in Alba</w:t>
            </w:r>
            <w:r w:rsidR="008575CF" w:rsidRPr="0038045B">
              <w:rPr>
                <w:sz w:val="22"/>
                <w:szCs w:val="22"/>
              </w:rPr>
              <w:t xml:space="preserve">nia owned a debit card, and 3.5% </w:t>
            </w:r>
            <w:r w:rsidRPr="0038045B">
              <w:rPr>
                <w:sz w:val="22"/>
                <w:szCs w:val="22"/>
              </w:rPr>
              <w:t xml:space="preserve">of the adult population owned a credit card. </w:t>
            </w:r>
            <w:r w:rsidRPr="0038045B">
              <w:rPr>
                <w:sz w:val="22"/>
                <w:szCs w:val="22"/>
                <w:lang w:eastAsia="ja-JP"/>
              </w:rPr>
              <w:t>In terms of debit card ownership across different age categories, the highest ownership ratio was observed for the age</w:t>
            </w:r>
            <w:r w:rsidR="008575CF" w:rsidRPr="0038045B">
              <w:rPr>
                <w:sz w:val="22"/>
                <w:szCs w:val="22"/>
                <w:lang w:eastAsia="ja-JP"/>
              </w:rPr>
              <w:t>s between 30 to 39 years old (32%</w:t>
            </w:r>
            <w:r w:rsidRPr="0038045B">
              <w:rPr>
                <w:sz w:val="22"/>
                <w:szCs w:val="22"/>
                <w:lang w:eastAsia="ja-JP"/>
              </w:rPr>
              <w:t>), while the other categories display similar ownership ratios, except for those of 65 years and older, with an ownership ratio of only 7</w:t>
            </w:r>
            <w:r w:rsidR="008575CF" w:rsidRPr="0038045B">
              <w:rPr>
                <w:sz w:val="22"/>
                <w:szCs w:val="22"/>
                <w:lang w:eastAsia="ja-JP"/>
              </w:rPr>
              <w:t>%</w:t>
            </w:r>
            <w:r w:rsidRPr="0038045B">
              <w:rPr>
                <w:sz w:val="22"/>
                <w:szCs w:val="22"/>
                <w:lang w:eastAsia="ja-JP"/>
              </w:rPr>
              <w:t>. The higher the personal income bracket, the larger the share of adults that own a debit card. Indeed, the ownership ratio increases progressively from the lowest income bracket (11</w:t>
            </w:r>
            <w:r w:rsidR="008575CF" w:rsidRPr="0038045B">
              <w:rPr>
                <w:sz w:val="22"/>
                <w:szCs w:val="22"/>
                <w:lang w:eastAsia="ja-JP"/>
              </w:rPr>
              <w:t>%</w:t>
            </w:r>
            <w:r w:rsidRPr="0038045B">
              <w:rPr>
                <w:sz w:val="22"/>
                <w:szCs w:val="22"/>
                <w:lang w:eastAsia="ja-JP"/>
              </w:rPr>
              <w:t>) to the highest income bracket (100</w:t>
            </w:r>
            <w:r w:rsidR="008575CF" w:rsidRPr="0038045B">
              <w:rPr>
                <w:sz w:val="22"/>
                <w:szCs w:val="22"/>
                <w:lang w:eastAsia="ja-JP"/>
              </w:rPr>
              <w:t>%</w:t>
            </w:r>
            <w:r w:rsidRPr="0038045B">
              <w:rPr>
                <w:sz w:val="22"/>
                <w:szCs w:val="22"/>
                <w:lang w:eastAsia="ja-JP"/>
              </w:rPr>
              <w:t xml:space="preserve">). </w:t>
            </w:r>
            <w:r w:rsidRPr="0038045B">
              <w:rPr>
                <w:sz w:val="22"/>
                <w:szCs w:val="22"/>
              </w:rPr>
              <w:t xml:space="preserve">In terms </w:t>
            </w:r>
            <w:r w:rsidR="008575CF" w:rsidRPr="0038045B">
              <w:rPr>
                <w:sz w:val="22"/>
                <w:szCs w:val="22"/>
              </w:rPr>
              <w:t xml:space="preserve">of internet banking use, only 2% </w:t>
            </w:r>
            <w:r w:rsidRPr="0038045B">
              <w:rPr>
                <w:sz w:val="22"/>
                <w:szCs w:val="22"/>
              </w:rPr>
              <w:t xml:space="preserve">of the population used internet banking at least once a six-month period. </w:t>
            </w:r>
          </w:p>
          <w:p w14:paraId="676B296F" w14:textId="77777777" w:rsidR="006F758A" w:rsidRPr="0038045B" w:rsidRDefault="006F758A" w:rsidP="006F758A">
            <w:pPr>
              <w:pStyle w:val="Caption"/>
              <w:spacing w:after="120"/>
              <w:rPr>
                <w:sz w:val="22"/>
                <w:szCs w:val="22"/>
              </w:rPr>
            </w:pPr>
            <w:r w:rsidRPr="0038045B">
              <w:rPr>
                <w:sz w:val="22"/>
                <w:szCs w:val="22"/>
              </w:rPr>
              <w:t>Debit and credit card ownership at the country level</w:t>
            </w:r>
          </w:p>
          <w:tbl>
            <w:tblPr>
              <w:tblStyle w:val="GridTable4-Accent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2086"/>
              <w:gridCol w:w="2121"/>
              <w:gridCol w:w="2087"/>
            </w:tblGrid>
            <w:tr w:rsidR="006F758A" w:rsidRPr="0038045B" w14:paraId="65CA83DF" w14:textId="77777777" w:rsidTr="006F7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4" w:type="dxa"/>
                  <w:gridSpan w:val="2"/>
                  <w:hideMark/>
                </w:tcPr>
                <w:p w14:paraId="15216B6E" w14:textId="77777777" w:rsidR="006F758A" w:rsidRPr="0038045B" w:rsidRDefault="006F758A" w:rsidP="00550A2B">
                  <w:pPr>
                    <w:jc w:val="center"/>
                    <w:rPr>
                      <w:rFonts w:asciiTheme="minorHAnsi" w:hAnsiTheme="minorHAnsi"/>
                      <w:sz w:val="20"/>
                    </w:rPr>
                  </w:pPr>
                  <w:r w:rsidRPr="0038045B">
                    <w:rPr>
                      <w:rFonts w:asciiTheme="minorHAnsi" w:hAnsiTheme="minorHAnsi"/>
                      <w:sz w:val="20"/>
                    </w:rPr>
                    <w:t>Debit Card Ownership</w:t>
                  </w:r>
                </w:p>
              </w:tc>
              <w:tc>
                <w:tcPr>
                  <w:tcW w:w="4676" w:type="dxa"/>
                  <w:gridSpan w:val="2"/>
                  <w:hideMark/>
                </w:tcPr>
                <w:p w14:paraId="3E232836" w14:textId="77777777" w:rsidR="006F758A" w:rsidRPr="0038045B" w:rsidRDefault="006F758A" w:rsidP="00550A2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38045B">
                    <w:rPr>
                      <w:rFonts w:asciiTheme="minorHAnsi" w:hAnsiTheme="minorHAnsi"/>
                      <w:sz w:val="20"/>
                    </w:rPr>
                    <w:t>Credit Card Ownership</w:t>
                  </w:r>
                </w:p>
              </w:tc>
            </w:tr>
            <w:tr w:rsidR="006F758A" w:rsidRPr="0038045B" w14:paraId="5D0CA651" w14:textId="77777777" w:rsidTr="006F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hideMark/>
                </w:tcPr>
                <w:p w14:paraId="2531DD34" w14:textId="77777777" w:rsidR="006F758A" w:rsidRPr="0038045B" w:rsidRDefault="006F758A" w:rsidP="00550A2B">
                  <w:pPr>
                    <w:jc w:val="center"/>
                    <w:rPr>
                      <w:rFonts w:asciiTheme="minorHAnsi" w:hAnsiTheme="minorHAnsi"/>
                      <w:sz w:val="20"/>
                    </w:rPr>
                  </w:pPr>
                  <w:r w:rsidRPr="0038045B">
                    <w:rPr>
                      <w:rFonts w:asciiTheme="minorHAnsi" w:hAnsiTheme="minorHAnsi"/>
                      <w:sz w:val="20"/>
                    </w:rPr>
                    <w:t>Yes</w:t>
                  </w:r>
                </w:p>
              </w:tc>
              <w:tc>
                <w:tcPr>
                  <w:tcW w:w="2337" w:type="dxa"/>
                  <w:hideMark/>
                </w:tcPr>
                <w:p w14:paraId="04FFC98B" w14:textId="77777777" w:rsidR="006F758A" w:rsidRPr="0038045B" w:rsidRDefault="006F758A" w:rsidP="00550A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38045B">
                    <w:rPr>
                      <w:rFonts w:asciiTheme="minorHAnsi" w:hAnsiTheme="minorHAnsi"/>
                      <w:sz w:val="20"/>
                    </w:rPr>
                    <w:t>24%</w:t>
                  </w:r>
                </w:p>
              </w:tc>
              <w:tc>
                <w:tcPr>
                  <w:tcW w:w="2338" w:type="dxa"/>
                  <w:hideMark/>
                </w:tcPr>
                <w:p w14:paraId="63E38F11" w14:textId="77777777" w:rsidR="006F758A" w:rsidRPr="0038045B" w:rsidRDefault="006F758A" w:rsidP="00550A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rPr>
                  </w:pPr>
                  <w:r w:rsidRPr="0038045B">
                    <w:rPr>
                      <w:rFonts w:asciiTheme="minorHAnsi" w:hAnsiTheme="minorHAnsi"/>
                      <w:b/>
                      <w:sz w:val="20"/>
                    </w:rPr>
                    <w:t>Yes</w:t>
                  </w:r>
                </w:p>
              </w:tc>
              <w:tc>
                <w:tcPr>
                  <w:tcW w:w="2338" w:type="dxa"/>
                  <w:hideMark/>
                </w:tcPr>
                <w:p w14:paraId="2BF47A82" w14:textId="77777777" w:rsidR="006F758A" w:rsidRPr="0038045B" w:rsidRDefault="006F758A" w:rsidP="00550A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38045B">
                    <w:rPr>
                      <w:rFonts w:asciiTheme="minorHAnsi" w:hAnsiTheme="minorHAnsi"/>
                      <w:sz w:val="20"/>
                    </w:rPr>
                    <w:t>3.5%</w:t>
                  </w:r>
                </w:p>
              </w:tc>
            </w:tr>
            <w:tr w:rsidR="006F758A" w:rsidRPr="0038045B" w14:paraId="57527EAD" w14:textId="77777777" w:rsidTr="006F758A">
              <w:tc>
                <w:tcPr>
                  <w:cnfStyle w:val="001000000000" w:firstRow="0" w:lastRow="0" w:firstColumn="1" w:lastColumn="0" w:oddVBand="0" w:evenVBand="0" w:oddHBand="0" w:evenHBand="0" w:firstRowFirstColumn="0" w:firstRowLastColumn="0" w:lastRowFirstColumn="0" w:lastRowLastColumn="0"/>
                  <w:tcW w:w="2337" w:type="dxa"/>
                  <w:hideMark/>
                </w:tcPr>
                <w:p w14:paraId="49554A24" w14:textId="77777777" w:rsidR="006F758A" w:rsidRPr="0038045B" w:rsidRDefault="006F758A" w:rsidP="00550A2B">
                  <w:pPr>
                    <w:jc w:val="center"/>
                    <w:rPr>
                      <w:rFonts w:asciiTheme="minorHAnsi" w:hAnsiTheme="minorHAnsi"/>
                      <w:sz w:val="20"/>
                    </w:rPr>
                  </w:pPr>
                  <w:r w:rsidRPr="0038045B">
                    <w:rPr>
                      <w:rFonts w:asciiTheme="minorHAnsi" w:hAnsiTheme="minorHAnsi"/>
                      <w:sz w:val="20"/>
                    </w:rPr>
                    <w:t>No (without account)</w:t>
                  </w:r>
                </w:p>
              </w:tc>
              <w:tc>
                <w:tcPr>
                  <w:tcW w:w="2337" w:type="dxa"/>
                  <w:hideMark/>
                </w:tcPr>
                <w:p w14:paraId="680A2350" w14:textId="77777777" w:rsidR="006F758A" w:rsidRPr="0038045B" w:rsidRDefault="006F758A" w:rsidP="00550A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38045B">
                    <w:rPr>
                      <w:rFonts w:asciiTheme="minorHAnsi" w:hAnsiTheme="minorHAnsi"/>
                      <w:sz w:val="20"/>
                    </w:rPr>
                    <w:t>61.5%</w:t>
                  </w:r>
                </w:p>
              </w:tc>
              <w:tc>
                <w:tcPr>
                  <w:tcW w:w="2338" w:type="dxa"/>
                  <w:hideMark/>
                </w:tcPr>
                <w:p w14:paraId="67F9A4E7" w14:textId="77777777" w:rsidR="006F758A" w:rsidRPr="0038045B" w:rsidRDefault="006F758A" w:rsidP="00550A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rPr>
                  </w:pPr>
                  <w:r w:rsidRPr="0038045B">
                    <w:rPr>
                      <w:rFonts w:asciiTheme="minorHAnsi" w:hAnsiTheme="minorHAnsi"/>
                      <w:b/>
                      <w:sz w:val="20"/>
                    </w:rPr>
                    <w:t>No (without account)</w:t>
                  </w:r>
                </w:p>
              </w:tc>
              <w:tc>
                <w:tcPr>
                  <w:tcW w:w="2338" w:type="dxa"/>
                  <w:hideMark/>
                </w:tcPr>
                <w:p w14:paraId="6F3820E2" w14:textId="77777777" w:rsidR="006F758A" w:rsidRPr="0038045B" w:rsidRDefault="006F758A" w:rsidP="00550A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38045B">
                    <w:rPr>
                      <w:rFonts w:asciiTheme="minorHAnsi" w:hAnsiTheme="minorHAnsi"/>
                      <w:sz w:val="20"/>
                    </w:rPr>
                    <w:t>61.5%</w:t>
                  </w:r>
                </w:p>
              </w:tc>
            </w:tr>
            <w:tr w:rsidR="006F758A" w:rsidRPr="0038045B" w14:paraId="5A7F79BF" w14:textId="77777777" w:rsidTr="006F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hideMark/>
                </w:tcPr>
                <w:p w14:paraId="12D2A75D" w14:textId="77777777" w:rsidR="006F758A" w:rsidRPr="0038045B" w:rsidRDefault="006F758A" w:rsidP="00550A2B">
                  <w:pPr>
                    <w:jc w:val="center"/>
                    <w:rPr>
                      <w:rFonts w:asciiTheme="minorHAnsi" w:hAnsiTheme="minorHAnsi"/>
                      <w:sz w:val="20"/>
                    </w:rPr>
                  </w:pPr>
                  <w:r w:rsidRPr="0038045B">
                    <w:rPr>
                      <w:rFonts w:asciiTheme="minorHAnsi" w:hAnsiTheme="minorHAnsi"/>
                      <w:sz w:val="20"/>
                    </w:rPr>
                    <w:t>No (with account)</w:t>
                  </w:r>
                </w:p>
              </w:tc>
              <w:tc>
                <w:tcPr>
                  <w:tcW w:w="2337" w:type="dxa"/>
                  <w:hideMark/>
                </w:tcPr>
                <w:p w14:paraId="366B5F92" w14:textId="77777777" w:rsidR="006F758A" w:rsidRPr="0038045B" w:rsidRDefault="006F758A" w:rsidP="00550A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38045B">
                    <w:rPr>
                      <w:rFonts w:asciiTheme="minorHAnsi" w:hAnsiTheme="minorHAnsi"/>
                      <w:sz w:val="20"/>
                    </w:rPr>
                    <w:t>14%</w:t>
                  </w:r>
                </w:p>
              </w:tc>
              <w:tc>
                <w:tcPr>
                  <w:tcW w:w="2338" w:type="dxa"/>
                  <w:hideMark/>
                </w:tcPr>
                <w:p w14:paraId="503E3423" w14:textId="77777777" w:rsidR="006F758A" w:rsidRPr="0038045B" w:rsidRDefault="006F758A" w:rsidP="00550A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rPr>
                  </w:pPr>
                  <w:r w:rsidRPr="0038045B">
                    <w:rPr>
                      <w:rFonts w:asciiTheme="minorHAnsi" w:hAnsiTheme="minorHAnsi"/>
                      <w:b/>
                      <w:sz w:val="20"/>
                    </w:rPr>
                    <w:t>No (with account)</w:t>
                  </w:r>
                </w:p>
              </w:tc>
              <w:tc>
                <w:tcPr>
                  <w:tcW w:w="2338" w:type="dxa"/>
                  <w:hideMark/>
                </w:tcPr>
                <w:p w14:paraId="7D630338" w14:textId="77777777" w:rsidR="006F758A" w:rsidRPr="0038045B" w:rsidRDefault="006F758A" w:rsidP="00550A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38045B">
                    <w:rPr>
                      <w:rFonts w:asciiTheme="minorHAnsi" w:hAnsiTheme="minorHAnsi"/>
                      <w:sz w:val="20"/>
                    </w:rPr>
                    <w:t>34%</w:t>
                  </w:r>
                </w:p>
              </w:tc>
            </w:tr>
            <w:tr w:rsidR="006F758A" w:rsidRPr="0038045B" w14:paraId="064EB73B" w14:textId="77777777" w:rsidTr="006F758A">
              <w:tc>
                <w:tcPr>
                  <w:cnfStyle w:val="001000000000" w:firstRow="0" w:lastRow="0" w:firstColumn="1" w:lastColumn="0" w:oddVBand="0" w:evenVBand="0" w:oddHBand="0" w:evenHBand="0" w:firstRowFirstColumn="0" w:firstRowLastColumn="0" w:lastRowFirstColumn="0" w:lastRowLastColumn="0"/>
                  <w:tcW w:w="2337" w:type="dxa"/>
                  <w:hideMark/>
                </w:tcPr>
                <w:p w14:paraId="676E7EB5" w14:textId="77777777" w:rsidR="006F758A" w:rsidRPr="0038045B" w:rsidRDefault="006F758A" w:rsidP="00550A2B">
                  <w:pPr>
                    <w:jc w:val="center"/>
                    <w:rPr>
                      <w:rFonts w:asciiTheme="minorHAnsi" w:hAnsiTheme="minorHAnsi"/>
                      <w:sz w:val="20"/>
                    </w:rPr>
                  </w:pPr>
                  <w:r w:rsidRPr="0038045B">
                    <w:rPr>
                      <w:rFonts w:asciiTheme="minorHAnsi" w:hAnsiTheme="minorHAnsi"/>
                      <w:sz w:val="20"/>
                    </w:rPr>
                    <w:t>NR</w:t>
                  </w:r>
                </w:p>
              </w:tc>
              <w:tc>
                <w:tcPr>
                  <w:tcW w:w="2337" w:type="dxa"/>
                  <w:hideMark/>
                </w:tcPr>
                <w:p w14:paraId="14FFDC4B" w14:textId="77777777" w:rsidR="006F758A" w:rsidRPr="0038045B" w:rsidRDefault="006F758A" w:rsidP="00550A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38045B">
                    <w:rPr>
                      <w:rFonts w:asciiTheme="minorHAnsi" w:hAnsiTheme="minorHAnsi"/>
                      <w:sz w:val="20"/>
                    </w:rPr>
                    <w:t>0.5%</w:t>
                  </w:r>
                </w:p>
              </w:tc>
              <w:tc>
                <w:tcPr>
                  <w:tcW w:w="2338" w:type="dxa"/>
                  <w:hideMark/>
                </w:tcPr>
                <w:p w14:paraId="36B2EA5C" w14:textId="77777777" w:rsidR="006F758A" w:rsidRPr="0038045B" w:rsidRDefault="006F758A" w:rsidP="00550A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rPr>
                  </w:pPr>
                  <w:r w:rsidRPr="0038045B">
                    <w:rPr>
                      <w:rFonts w:asciiTheme="minorHAnsi" w:hAnsiTheme="minorHAnsi"/>
                      <w:b/>
                      <w:sz w:val="20"/>
                    </w:rPr>
                    <w:t>NR</w:t>
                  </w:r>
                </w:p>
              </w:tc>
              <w:tc>
                <w:tcPr>
                  <w:tcW w:w="2338" w:type="dxa"/>
                  <w:hideMark/>
                </w:tcPr>
                <w:p w14:paraId="08D59F58" w14:textId="77777777" w:rsidR="006F758A" w:rsidRPr="0038045B" w:rsidRDefault="006F758A" w:rsidP="00550A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38045B">
                    <w:rPr>
                      <w:rFonts w:asciiTheme="minorHAnsi" w:hAnsiTheme="minorHAnsi"/>
                      <w:sz w:val="20"/>
                    </w:rPr>
                    <w:t>1%</w:t>
                  </w:r>
                </w:p>
              </w:tc>
            </w:tr>
            <w:tr w:rsidR="006F758A" w:rsidRPr="0038045B" w14:paraId="635E4F96" w14:textId="77777777" w:rsidTr="006F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hideMark/>
                </w:tcPr>
                <w:p w14:paraId="14D8181F" w14:textId="77777777" w:rsidR="006F758A" w:rsidRPr="0038045B" w:rsidRDefault="006F758A" w:rsidP="00550A2B">
                  <w:pPr>
                    <w:jc w:val="center"/>
                    <w:rPr>
                      <w:rFonts w:asciiTheme="minorHAnsi" w:hAnsiTheme="minorHAnsi"/>
                      <w:sz w:val="20"/>
                    </w:rPr>
                  </w:pPr>
                  <w:r w:rsidRPr="0038045B">
                    <w:rPr>
                      <w:rFonts w:asciiTheme="minorHAnsi" w:hAnsiTheme="minorHAnsi"/>
                      <w:sz w:val="20"/>
                    </w:rPr>
                    <w:t>Total</w:t>
                  </w:r>
                </w:p>
              </w:tc>
              <w:tc>
                <w:tcPr>
                  <w:tcW w:w="2337" w:type="dxa"/>
                  <w:hideMark/>
                </w:tcPr>
                <w:p w14:paraId="41220DE4" w14:textId="77777777" w:rsidR="006F758A" w:rsidRPr="0038045B" w:rsidRDefault="006F758A" w:rsidP="00550A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rPr>
                  </w:pPr>
                  <w:r w:rsidRPr="0038045B">
                    <w:rPr>
                      <w:rFonts w:asciiTheme="minorHAnsi" w:hAnsiTheme="minorHAnsi"/>
                      <w:b/>
                      <w:sz w:val="20"/>
                    </w:rPr>
                    <w:t>100%</w:t>
                  </w:r>
                </w:p>
              </w:tc>
              <w:tc>
                <w:tcPr>
                  <w:tcW w:w="2338" w:type="dxa"/>
                  <w:hideMark/>
                </w:tcPr>
                <w:p w14:paraId="527BB93F" w14:textId="77777777" w:rsidR="006F758A" w:rsidRPr="0038045B" w:rsidRDefault="006F758A" w:rsidP="00550A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rPr>
                  </w:pPr>
                  <w:r w:rsidRPr="0038045B">
                    <w:rPr>
                      <w:rFonts w:asciiTheme="minorHAnsi" w:hAnsiTheme="minorHAnsi"/>
                      <w:b/>
                      <w:sz w:val="20"/>
                    </w:rPr>
                    <w:t>Total</w:t>
                  </w:r>
                </w:p>
              </w:tc>
              <w:tc>
                <w:tcPr>
                  <w:tcW w:w="2338" w:type="dxa"/>
                  <w:hideMark/>
                </w:tcPr>
                <w:p w14:paraId="6F7E826C" w14:textId="77777777" w:rsidR="006F758A" w:rsidRPr="0038045B" w:rsidRDefault="006F758A" w:rsidP="00550A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rPr>
                  </w:pPr>
                  <w:r w:rsidRPr="0038045B">
                    <w:rPr>
                      <w:rFonts w:asciiTheme="minorHAnsi" w:hAnsiTheme="minorHAnsi"/>
                      <w:b/>
                      <w:sz w:val="20"/>
                    </w:rPr>
                    <w:t>100%</w:t>
                  </w:r>
                </w:p>
              </w:tc>
            </w:tr>
            <w:tr w:rsidR="006F758A" w:rsidRPr="0038045B" w14:paraId="46C355B5" w14:textId="77777777" w:rsidTr="006F758A">
              <w:tc>
                <w:tcPr>
                  <w:cnfStyle w:val="001000000000" w:firstRow="0" w:lastRow="0" w:firstColumn="1" w:lastColumn="0" w:oddVBand="0" w:evenVBand="0" w:oddHBand="0" w:evenHBand="0" w:firstRowFirstColumn="0" w:firstRowLastColumn="0" w:lastRowFirstColumn="0" w:lastRowLastColumn="0"/>
                  <w:tcW w:w="2337" w:type="dxa"/>
                </w:tcPr>
                <w:p w14:paraId="34200C21" w14:textId="77777777" w:rsidR="006F758A" w:rsidRPr="0038045B" w:rsidRDefault="006F758A" w:rsidP="00550A2B">
                  <w:pPr>
                    <w:jc w:val="center"/>
                    <w:rPr>
                      <w:rFonts w:asciiTheme="minorHAnsi" w:hAnsiTheme="minorHAnsi"/>
                      <w:sz w:val="20"/>
                    </w:rPr>
                  </w:pPr>
                </w:p>
              </w:tc>
              <w:tc>
                <w:tcPr>
                  <w:tcW w:w="2337" w:type="dxa"/>
                </w:tcPr>
                <w:p w14:paraId="4C7E1146" w14:textId="77777777" w:rsidR="006F758A" w:rsidRPr="0038045B" w:rsidRDefault="006F758A" w:rsidP="00550A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rPr>
                  </w:pPr>
                </w:p>
              </w:tc>
              <w:tc>
                <w:tcPr>
                  <w:tcW w:w="2338" w:type="dxa"/>
                </w:tcPr>
                <w:p w14:paraId="1B69889E" w14:textId="77777777" w:rsidR="006F758A" w:rsidRPr="0038045B" w:rsidRDefault="006F758A" w:rsidP="00550A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rPr>
                  </w:pPr>
                </w:p>
              </w:tc>
              <w:tc>
                <w:tcPr>
                  <w:tcW w:w="2338" w:type="dxa"/>
                </w:tcPr>
                <w:p w14:paraId="3AAAD53D" w14:textId="77777777" w:rsidR="006F758A" w:rsidRPr="0038045B" w:rsidRDefault="006F758A" w:rsidP="00550A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rPr>
                  </w:pPr>
                </w:p>
              </w:tc>
            </w:tr>
          </w:tbl>
          <w:p w14:paraId="4EBBE4B5" w14:textId="77777777" w:rsidR="006F758A" w:rsidRPr="0038045B" w:rsidRDefault="006F758A" w:rsidP="00550A2B">
            <w:pPr>
              <w:jc w:val="both"/>
              <w:rPr>
                <w:sz w:val="22"/>
                <w:szCs w:val="22"/>
              </w:rPr>
            </w:pPr>
          </w:p>
        </w:tc>
      </w:tr>
    </w:tbl>
    <w:p w14:paraId="0E3F3D76" w14:textId="77777777" w:rsidR="006F758A" w:rsidRPr="0038045B" w:rsidRDefault="006F758A" w:rsidP="006F758A"/>
    <w:p w14:paraId="2B258BF2" w14:textId="77777777" w:rsidR="006F758A" w:rsidRPr="0038045B" w:rsidRDefault="00F230D1" w:rsidP="00642FFC">
      <w:pPr>
        <w:pStyle w:val="Body"/>
        <w:numPr>
          <w:ilvl w:val="0"/>
          <w:numId w:val="15"/>
        </w:numPr>
        <w:spacing w:before="120" w:after="120" w:line="276" w:lineRule="auto"/>
        <w:ind w:left="0" w:firstLine="0"/>
        <w:rPr>
          <w:lang w:val="en-US" w:eastAsia="en-US"/>
        </w:rPr>
      </w:pPr>
      <w:r w:rsidRPr="0038045B">
        <w:rPr>
          <w:lang w:val="en-US" w:eastAsia="en-US"/>
        </w:rPr>
        <w:t xml:space="preserve">Banking and </w:t>
      </w:r>
      <w:r w:rsidR="00941D8E" w:rsidRPr="0038045B">
        <w:rPr>
          <w:lang w:val="en-US" w:eastAsia="en-US"/>
        </w:rPr>
        <w:t xml:space="preserve">retail </w:t>
      </w:r>
      <w:r w:rsidRPr="0038045B">
        <w:rPr>
          <w:lang w:val="en-US" w:eastAsia="en-US"/>
        </w:rPr>
        <w:t xml:space="preserve">payments infrastructure is </w:t>
      </w:r>
      <w:r w:rsidR="00194157" w:rsidRPr="0038045B">
        <w:rPr>
          <w:lang w:val="en-US" w:eastAsia="en-US"/>
        </w:rPr>
        <w:t xml:space="preserve">relatively </w:t>
      </w:r>
      <w:r w:rsidRPr="0038045B">
        <w:rPr>
          <w:lang w:val="en-US" w:eastAsia="en-US"/>
        </w:rPr>
        <w:t>less developed in Albania th</w:t>
      </w:r>
      <w:r w:rsidR="00941D8E" w:rsidRPr="0038045B">
        <w:rPr>
          <w:lang w:val="en-US" w:eastAsia="en-US"/>
        </w:rPr>
        <w:t>an in</w:t>
      </w:r>
      <w:r w:rsidRPr="0038045B">
        <w:rPr>
          <w:lang w:val="en-US" w:eastAsia="en-US"/>
        </w:rPr>
        <w:t xml:space="preserve"> neighboring countries and peer upper MICs. </w:t>
      </w:r>
      <w:r w:rsidR="000370A0" w:rsidRPr="0038045B">
        <w:rPr>
          <w:lang w:val="en-US" w:eastAsia="en-US"/>
        </w:rPr>
        <w:t xml:space="preserve">Section 4.2 provides a detailed </w:t>
      </w:r>
      <w:r w:rsidR="00B279F4" w:rsidRPr="0038045B">
        <w:rPr>
          <w:lang w:val="en-US" w:eastAsia="en-US"/>
        </w:rPr>
        <w:t xml:space="preserve">analysis of </w:t>
      </w:r>
      <w:r w:rsidR="000370A0" w:rsidRPr="0038045B">
        <w:rPr>
          <w:lang w:val="en-US" w:eastAsia="en-US"/>
        </w:rPr>
        <w:t xml:space="preserve">the various account </w:t>
      </w:r>
      <w:r w:rsidR="00B279F4" w:rsidRPr="0038045B">
        <w:rPr>
          <w:lang w:val="en-US" w:eastAsia="en-US"/>
        </w:rPr>
        <w:t xml:space="preserve">access points </w:t>
      </w:r>
      <w:r w:rsidR="000370A0" w:rsidRPr="0038045B">
        <w:rPr>
          <w:lang w:val="en-US" w:eastAsia="en-US"/>
        </w:rPr>
        <w:t xml:space="preserve">available in Albania and some cross-country comparisons. </w:t>
      </w:r>
    </w:p>
    <w:p w14:paraId="5A767F9B" w14:textId="77777777" w:rsidR="002C2894" w:rsidRPr="0038045B" w:rsidRDefault="00CC6B66" w:rsidP="009A685A">
      <w:pPr>
        <w:pStyle w:val="Heading2"/>
        <w:spacing w:before="360" w:after="240"/>
        <w:rPr>
          <w:b/>
          <w:smallCaps/>
          <w:sz w:val="24"/>
          <w:szCs w:val="24"/>
          <w:u w:val="none"/>
        </w:rPr>
      </w:pPr>
      <w:bookmarkStart w:id="24" w:name="_Toc441569265"/>
      <w:bookmarkStart w:id="25" w:name="_Toc441595668"/>
      <w:bookmarkStart w:id="26" w:name="_Toc441569266"/>
      <w:bookmarkStart w:id="27" w:name="_Toc441595669"/>
      <w:bookmarkStart w:id="28" w:name="_Toc441569267"/>
      <w:bookmarkStart w:id="29" w:name="_Toc441595670"/>
      <w:bookmarkStart w:id="30" w:name="_Toc441569268"/>
      <w:bookmarkStart w:id="31" w:name="_Toc441595671"/>
      <w:bookmarkStart w:id="32" w:name="_Toc441569269"/>
      <w:bookmarkStart w:id="33" w:name="_Toc441595672"/>
      <w:bookmarkStart w:id="34" w:name="_Toc441569270"/>
      <w:bookmarkStart w:id="35" w:name="_Toc441595673"/>
      <w:bookmarkStart w:id="36" w:name="_Toc441569271"/>
      <w:bookmarkStart w:id="37" w:name="_Toc441595674"/>
      <w:bookmarkStart w:id="38" w:name="_Toc441569272"/>
      <w:bookmarkStart w:id="39" w:name="_Toc441595675"/>
      <w:bookmarkStart w:id="40" w:name="_Toc441569273"/>
      <w:bookmarkStart w:id="41" w:name="_Toc441595676"/>
      <w:bookmarkStart w:id="42" w:name="_Toc441569274"/>
      <w:bookmarkStart w:id="43" w:name="_Toc441595677"/>
      <w:bookmarkStart w:id="44" w:name="_Toc476239702"/>
      <w:bookmarkEnd w:id="19"/>
      <w:bookmarkEnd w:id="2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38045B">
        <w:rPr>
          <w:b/>
          <w:smallCaps/>
          <w:sz w:val="24"/>
          <w:szCs w:val="24"/>
          <w:u w:val="none"/>
        </w:rPr>
        <w:lastRenderedPageBreak/>
        <w:t xml:space="preserve">The </w:t>
      </w:r>
      <w:r w:rsidR="0084298B" w:rsidRPr="0038045B">
        <w:rPr>
          <w:b/>
          <w:smallCaps/>
          <w:sz w:val="24"/>
          <w:szCs w:val="24"/>
          <w:u w:val="none"/>
        </w:rPr>
        <w:t>“</w:t>
      </w:r>
      <w:r w:rsidRPr="0038045B">
        <w:rPr>
          <w:b/>
          <w:smallCaps/>
          <w:sz w:val="24"/>
          <w:szCs w:val="24"/>
          <w:u w:val="none"/>
        </w:rPr>
        <w:t>PAFI</w:t>
      </w:r>
      <w:r w:rsidR="0084298B" w:rsidRPr="0038045B">
        <w:rPr>
          <w:b/>
          <w:smallCaps/>
          <w:sz w:val="24"/>
          <w:szCs w:val="24"/>
          <w:u w:val="none"/>
        </w:rPr>
        <w:t>”</w:t>
      </w:r>
      <w:r w:rsidRPr="0038045B">
        <w:rPr>
          <w:b/>
          <w:smallCaps/>
          <w:sz w:val="24"/>
          <w:szCs w:val="24"/>
          <w:u w:val="none"/>
        </w:rPr>
        <w:t xml:space="preserve"> Framework: I</w:t>
      </w:r>
      <w:r w:rsidR="002C2894" w:rsidRPr="0038045B">
        <w:rPr>
          <w:b/>
          <w:smallCaps/>
          <w:sz w:val="24"/>
          <w:szCs w:val="24"/>
          <w:u w:val="none"/>
        </w:rPr>
        <w:t xml:space="preserve">nternational developments and </w:t>
      </w:r>
      <w:r w:rsidR="000C5090" w:rsidRPr="0038045B">
        <w:rPr>
          <w:b/>
          <w:smallCaps/>
          <w:sz w:val="24"/>
          <w:szCs w:val="24"/>
          <w:u w:val="none"/>
        </w:rPr>
        <w:t>other work that led to the creation of the PAFI task force</w:t>
      </w:r>
      <w:bookmarkEnd w:id="44"/>
    </w:p>
    <w:p w14:paraId="0F0A3C19" w14:textId="77777777" w:rsidR="00C92E08" w:rsidRPr="0038045B" w:rsidRDefault="002E38F2" w:rsidP="00C92E08">
      <w:pPr>
        <w:pStyle w:val="Heading3"/>
        <w:spacing w:before="240" w:after="240"/>
        <w:rPr>
          <w:b w:val="0"/>
          <w:i/>
        </w:rPr>
      </w:pPr>
      <w:bookmarkStart w:id="45" w:name="_Toc476239703"/>
      <w:r w:rsidRPr="0038045B">
        <w:rPr>
          <w:b w:val="0"/>
          <w:i/>
        </w:rPr>
        <w:t>D</w:t>
      </w:r>
      <w:r w:rsidR="002460FD" w:rsidRPr="0038045B">
        <w:rPr>
          <w:b w:val="0"/>
          <w:i/>
        </w:rPr>
        <w:t>evelopments</w:t>
      </w:r>
      <w:r w:rsidRPr="0038045B">
        <w:rPr>
          <w:b w:val="0"/>
          <w:i/>
        </w:rPr>
        <w:t xml:space="preserve"> at </w:t>
      </w:r>
      <w:r w:rsidR="000C5090" w:rsidRPr="0038045B">
        <w:rPr>
          <w:b w:val="0"/>
          <w:i/>
        </w:rPr>
        <w:t xml:space="preserve">the </w:t>
      </w:r>
      <w:r w:rsidR="004C1DB7" w:rsidRPr="0038045B">
        <w:rPr>
          <w:b w:val="0"/>
          <w:i/>
        </w:rPr>
        <w:t>global level</w:t>
      </w:r>
      <w:bookmarkEnd w:id="45"/>
    </w:p>
    <w:p w14:paraId="16B035F2" w14:textId="77777777" w:rsidR="004C1DB7" w:rsidRPr="0038045B" w:rsidRDefault="00C92E08" w:rsidP="00C80F30">
      <w:pPr>
        <w:pStyle w:val="Body"/>
        <w:numPr>
          <w:ilvl w:val="0"/>
          <w:numId w:val="15"/>
        </w:numPr>
        <w:spacing w:after="240" w:line="276" w:lineRule="auto"/>
        <w:ind w:left="0" w:firstLine="0"/>
        <w:rPr>
          <w:szCs w:val="24"/>
          <w:lang w:val="en-US"/>
        </w:rPr>
      </w:pPr>
      <w:r w:rsidRPr="0038045B">
        <w:rPr>
          <w:szCs w:val="24"/>
          <w:lang w:val="en-US"/>
        </w:rPr>
        <w:t xml:space="preserve">In 2010, the G20 endorsed a Financial Inclusion Action Plan (FIAP) and established the Global Partnership for Financial Inclusion (GPFI) to coordinate and implement FIAP. The GPFI </w:t>
      </w:r>
      <w:r w:rsidR="004C1DB7" w:rsidRPr="0038045B">
        <w:rPr>
          <w:lang w:val="en-US"/>
        </w:rPr>
        <w:t xml:space="preserve">is the main </w:t>
      </w:r>
      <w:r w:rsidR="004C1DB7" w:rsidRPr="0038045B">
        <w:rPr>
          <w:szCs w:val="24"/>
          <w:lang w:val="en-US"/>
        </w:rPr>
        <w:t>implementing mechanism of the</w:t>
      </w:r>
      <w:r w:rsidRPr="0038045B">
        <w:rPr>
          <w:szCs w:val="24"/>
          <w:lang w:val="en-US"/>
        </w:rPr>
        <w:t xml:space="preserve"> FIAP and G20 commitments through various subgroups: Regulation and Standard-Setting Bodies (SSBs), SME Finance, and the Financial Literacy and Consumer Protection (established in 2013). </w:t>
      </w:r>
      <w:r w:rsidR="004C1DB7" w:rsidRPr="0038045B">
        <w:rPr>
          <w:szCs w:val="24"/>
          <w:lang w:val="en-US"/>
        </w:rPr>
        <w:t xml:space="preserve">In September 2013, the G20 released the St. Petersburg Development Outlook which announced that G20 countries – in coordination with the GPFI – </w:t>
      </w:r>
      <w:r w:rsidR="004C1DB7" w:rsidRPr="0038045B">
        <w:rPr>
          <w:i/>
          <w:szCs w:val="24"/>
          <w:lang w:val="en-US"/>
        </w:rPr>
        <w:t>“will explore in 2014 options to strengthen financial inclusion work in developing countries and targeted actions to harness emerging mechanisms such as electronic payments and mobile technology that can significantly improve access; and increase uptake by increasing incentives, financial literacy, education and consumer protection for the poor, in particular vulnerable groups such as women, youth and migrants.”</w:t>
      </w:r>
      <w:r w:rsidR="004C1DB7" w:rsidRPr="0038045B">
        <w:rPr>
          <w:szCs w:val="24"/>
          <w:lang w:val="en-US"/>
        </w:rPr>
        <w:t xml:space="preserve"> </w:t>
      </w:r>
    </w:p>
    <w:p w14:paraId="0112347F" w14:textId="77777777" w:rsidR="00C92E08" w:rsidRPr="0038045B" w:rsidRDefault="00C92E08" w:rsidP="00C80F30">
      <w:pPr>
        <w:pStyle w:val="Body"/>
        <w:numPr>
          <w:ilvl w:val="0"/>
          <w:numId w:val="15"/>
        </w:numPr>
        <w:spacing w:after="200" w:line="276" w:lineRule="auto"/>
        <w:ind w:left="0" w:firstLine="0"/>
        <w:rPr>
          <w:szCs w:val="24"/>
          <w:lang w:val="en-US"/>
        </w:rPr>
      </w:pPr>
      <w:r w:rsidRPr="0038045B">
        <w:rPr>
          <w:szCs w:val="24"/>
          <w:lang w:val="en-US"/>
        </w:rPr>
        <w:t>In 2014, the GPFI launched the Markets and Payment Systems subgroup, which is tasked to advance th</w:t>
      </w:r>
      <w:r w:rsidR="004C1DB7" w:rsidRPr="0038045B">
        <w:rPr>
          <w:szCs w:val="24"/>
          <w:lang w:val="en-US"/>
        </w:rPr>
        <w:t>is</w:t>
      </w:r>
      <w:r w:rsidRPr="0038045B">
        <w:rPr>
          <w:szCs w:val="24"/>
          <w:lang w:val="en-US"/>
        </w:rPr>
        <w:t xml:space="preserve"> commitment made in 2013 by </w:t>
      </w:r>
      <w:r w:rsidR="004C1DB7" w:rsidRPr="0038045B">
        <w:rPr>
          <w:szCs w:val="24"/>
          <w:lang w:val="en-US"/>
        </w:rPr>
        <w:t xml:space="preserve">the </w:t>
      </w:r>
      <w:r w:rsidRPr="0038045B">
        <w:rPr>
          <w:szCs w:val="24"/>
          <w:lang w:val="en-US"/>
        </w:rPr>
        <w:t xml:space="preserve">G20 Leaders. </w:t>
      </w:r>
      <w:r w:rsidR="004C1DB7" w:rsidRPr="0038045B">
        <w:rPr>
          <w:szCs w:val="24"/>
          <w:lang w:val="en-US"/>
        </w:rPr>
        <w:t xml:space="preserve">The overall goal of the sub-group for the next five years is </w:t>
      </w:r>
      <w:r w:rsidR="004C1DB7" w:rsidRPr="0038045B">
        <w:rPr>
          <w:i/>
          <w:szCs w:val="24"/>
          <w:lang w:val="en-US"/>
        </w:rPr>
        <w:t xml:space="preserve">to advance utilization of payment systems including remittances in the pursuit of increased and sustainable financial inclusion. </w:t>
      </w:r>
      <w:r w:rsidR="004C1DB7" w:rsidRPr="0038045B">
        <w:rPr>
          <w:szCs w:val="24"/>
          <w:lang w:val="en-US"/>
        </w:rPr>
        <w:t xml:space="preserve">In doing so, the sub-group is focused on </w:t>
      </w:r>
      <w:r w:rsidR="0084298B" w:rsidRPr="0038045B">
        <w:rPr>
          <w:szCs w:val="24"/>
          <w:lang w:val="en-US"/>
        </w:rPr>
        <w:t xml:space="preserve">innovative </w:t>
      </w:r>
      <w:r w:rsidR="004C1DB7" w:rsidRPr="0038045B">
        <w:rPr>
          <w:szCs w:val="24"/>
          <w:lang w:val="en-US"/>
        </w:rPr>
        <w:t>technologies and business models, with an emphasis on market-based approaches, particularly through engagement with financial services providers. Th</w:t>
      </w:r>
      <w:r w:rsidR="0084298B" w:rsidRPr="0038045B">
        <w:rPr>
          <w:szCs w:val="24"/>
          <w:lang w:val="en-US"/>
        </w:rPr>
        <w:t>is</w:t>
      </w:r>
      <w:r w:rsidR="004C1DB7" w:rsidRPr="0038045B">
        <w:rPr>
          <w:szCs w:val="24"/>
          <w:lang w:val="en-US"/>
        </w:rPr>
        <w:t xml:space="preserve"> sub-group believes that making a payment is one of the most basic and most important financial transactions in any economy. It is crucial that access to payments systems is provided in a way that makes these systems beneficial to all stakeholders and leads to sustainable financial inclusion.</w:t>
      </w:r>
      <w:r w:rsidR="00C872C6" w:rsidRPr="0038045B">
        <w:rPr>
          <w:szCs w:val="24"/>
          <w:lang w:val="en-US"/>
        </w:rPr>
        <w:t xml:space="preserve"> In</w:t>
      </w:r>
      <w:r w:rsidR="0084298B" w:rsidRPr="0038045B">
        <w:rPr>
          <w:szCs w:val="24"/>
          <w:lang w:val="en-US"/>
        </w:rPr>
        <w:t xml:space="preserve"> this regard, </w:t>
      </w:r>
      <w:r w:rsidR="00C872C6" w:rsidRPr="0038045B">
        <w:rPr>
          <w:szCs w:val="24"/>
          <w:lang w:val="en-US"/>
        </w:rPr>
        <w:t>the updated 2014 FIAP, agreed to by the G20 Leaders at the 2014 Brisbane Summit, included as one of its ten action areas to “</w:t>
      </w:r>
      <w:r w:rsidR="00C872C6" w:rsidRPr="0038045B">
        <w:rPr>
          <w:i/>
          <w:szCs w:val="24"/>
          <w:lang w:val="en-US"/>
        </w:rPr>
        <w:t>expand opportunities for innovative technologies to grow responsible financial inclusion</w:t>
      </w:r>
      <w:r w:rsidR="00C872C6" w:rsidRPr="0038045B">
        <w:rPr>
          <w:szCs w:val="24"/>
          <w:lang w:val="en-US"/>
        </w:rPr>
        <w:t>”.</w:t>
      </w:r>
      <w:r w:rsidR="00C872C6" w:rsidRPr="0038045B">
        <w:rPr>
          <w:rStyle w:val="FootnoteReference"/>
          <w:szCs w:val="24"/>
          <w:lang w:val="en-US"/>
        </w:rPr>
        <w:footnoteReference w:id="20"/>
      </w:r>
      <w:r w:rsidR="002519E9" w:rsidRPr="0038045B">
        <w:rPr>
          <w:szCs w:val="24"/>
          <w:lang w:val="en-US"/>
        </w:rPr>
        <w:t xml:space="preserve"> </w:t>
      </w:r>
    </w:p>
    <w:p w14:paraId="3274ACBA" w14:textId="77777777" w:rsidR="00C92E08" w:rsidRPr="0038045B" w:rsidRDefault="004C1DB7" w:rsidP="00C80F30">
      <w:pPr>
        <w:pStyle w:val="Body"/>
        <w:numPr>
          <w:ilvl w:val="0"/>
          <w:numId w:val="15"/>
        </w:numPr>
        <w:spacing w:after="200" w:line="276" w:lineRule="auto"/>
        <w:ind w:left="0" w:firstLine="0"/>
        <w:rPr>
          <w:szCs w:val="24"/>
          <w:lang w:val="en-US"/>
        </w:rPr>
      </w:pPr>
      <w:r w:rsidRPr="0038045B">
        <w:rPr>
          <w:szCs w:val="24"/>
          <w:lang w:val="en-US"/>
        </w:rPr>
        <w:t xml:space="preserve">During the annual meetings in autumn </w:t>
      </w:r>
      <w:r w:rsidR="00C92E08" w:rsidRPr="0038045B">
        <w:rPr>
          <w:szCs w:val="24"/>
          <w:lang w:val="en-US"/>
        </w:rPr>
        <w:t>2013, the President of the World Bank Group, Dr Jim Y</w:t>
      </w:r>
      <w:r w:rsidR="00335F66" w:rsidRPr="0038045B">
        <w:rPr>
          <w:szCs w:val="24"/>
          <w:lang w:val="en-US"/>
        </w:rPr>
        <w:t>.</w:t>
      </w:r>
      <w:r w:rsidR="00C92E08" w:rsidRPr="0038045B">
        <w:rPr>
          <w:szCs w:val="24"/>
          <w:lang w:val="en-US"/>
        </w:rPr>
        <w:t xml:space="preserve"> Kim, set a goal of achieving </w:t>
      </w:r>
      <w:r w:rsidR="002460FD" w:rsidRPr="0038045B">
        <w:rPr>
          <w:szCs w:val="24"/>
          <w:lang w:val="en-US"/>
        </w:rPr>
        <w:t>u</w:t>
      </w:r>
      <w:r w:rsidR="00C92E08" w:rsidRPr="0038045B">
        <w:rPr>
          <w:szCs w:val="24"/>
          <w:lang w:val="en-US"/>
        </w:rPr>
        <w:t xml:space="preserve">niversal </w:t>
      </w:r>
      <w:r w:rsidR="002460FD" w:rsidRPr="0038045B">
        <w:rPr>
          <w:szCs w:val="24"/>
          <w:lang w:val="en-US"/>
        </w:rPr>
        <w:t>f</w:t>
      </w:r>
      <w:r w:rsidR="00C92E08" w:rsidRPr="0038045B">
        <w:rPr>
          <w:szCs w:val="24"/>
          <w:lang w:val="en-US"/>
        </w:rPr>
        <w:t xml:space="preserve">inancial </w:t>
      </w:r>
      <w:r w:rsidR="002460FD" w:rsidRPr="0038045B">
        <w:rPr>
          <w:szCs w:val="24"/>
          <w:lang w:val="en-US"/>
        </w:rPr>
        <w:t>ac</w:t>
      </w:r>
      <w:r w:rsidR="00C92E08" w:rsidRPr="0038045B">
        <w:rPr>
          <w:szCs w:val="24"/>
          <w:lang w:val="en-US"/>
        </w:rPr>
        <w:t>cess (UFA) by 2020. The UFA</w:t>
      </w:r>
      <w:r w:rsidRPr="0038045B">
        <w:rPr>
          <w:szCs w:val="24"/>
          <w:lang w:val="en-US"/>
        </w:rPr>
        <w:t>2020 goal envisions that adults worldwide will be able to have access to an account or an electronic instrument to store money, send payments and receive deposits.</w:t>
      </w:r>
      <w:r w:rsidR="00C92E08" w:rsidRPr="0038045B">
        <w:rPr>
          <w:szCs w:val="24"/>
          <w:lang w:val="en-US"/>
        </w:rPr>
        <w:t xml:space="preserve"> In April 2015, a broad coalition of partners gathered </w:t>
      </w:r>
      <w:r w:rsidR="002460FD" w:rsidRPr="0038045B">
        <w:rPr>
          <w:szCs w:val="24"/>
          <w:lang w:val="en-US"/>
        </w:rPr>
        <w:t>at</w:t>
      </w:r>
      <w:r w:rsidR="00C92E08" w:rsidRPr="0038045B">
        <w:rPr>
          <w:szCs w:val="24"/>
          <w:lang w:val="en-US"/>
        </w:rPr>
        <w:t xml:space="preserve"> the World Bank to galvanize private sector investment and innovation to accelerate UFA. </w:t>
      </w:r>
      <w:r w:rsidR="00C872C6" w:rsidRPr="0038045B">
        <w:rPr>
          <w:szCs w:val="24"/>
          <w:lang w:val="en-US"/>
        </w:rPr>
        <w:t xml:space="preserve">Some </w:t>
      </w:r>
      <w:r w:rsidR="00C92E08" w:rsidRPr="0038045B">
        <w:rPr>
          <w:szCs w:val="24"/>
          <w:lang w:val="en-US"/>
        </w:rPr>
        <w:t xml:space="preserve">concrete UFA efforts include the launch of efforts to foster alliances with large retailers and distributors, and the development of a set of tracking and measurement tools to gauge progress and adjust course when needed. </w:t>
      </w:r>
    </w:p>
    <w:p w14:paraId="41132514" w14:textId="77777777" w:rsidR="00C92E08" w:rsidRPr="0038045B" w:rsidRDefault="00CC6B66" w:rsidP="001E6340">
      <w:pPr>
        <w:pStyle w:val="Heading3"/>
        <w:spacing w:before="240" w:after="240"/>
        <w:rPr>
          <w:b w:val="0"/>
          <w:i/>
        </w:rPr>
      </w:pPr>
      <w:bookmarkStart w:id="46" w:name="_Toc432412184"/>
      <w:bookmarkStart w:id="47" w:name="_Toc432412224"/>
      <w:bookmarkStart w:id="48" w:name="_Toc432688705"/>
      <w:bookmarkStart w:id="49" w:name="_Toc432412185"/>
      <w:bookmarkStart w:id="50" w:name="_Toc432412225"/>
      <w:bookmarkStart w:id="51" w:name="_Toc432688707"/>
      <w:bookmarkStart w:id="52" w:name="_Toc432412190"/>
      <w:bookmarkStart w:id="53" w:name="_Toc432412230"/>
      <w:bookmarkStart w:id="54" w:name="_Toc432688712"/>
      <w:bookmarkStart w:id="55" w:name="_Toc476239704"/>
      <w:bookmarkEnd w:id="46"/>
      <w:bookmarkEnd w:id="47"/>
      <w:bookmarkEnd w:id="48"/>
      <w:bookmarkEnd w:id="49"/>
      <w:bookmarkEnd w:id="50"/>
      <w:bookmarkEnd w:id="51"/>
      <w:bookmarkEnd w:id="52"/>
      <w:bookmarkEnd w:id="53"/>
      <w:bookmarkEnd w:id="54"/>
      <w:r w:rsidRPr="0038045B">
        <w:rPr>
          <w:b w:val="0"/>
          <w:i/>
        </w:rPr>
        <w:lastRenderedPageBreak/>
        <w:t>Previous r</w:t>
      </w:r>
      <w:r w:rsidR="00C92E08" w:rsidRPr="0038045B">
        <w:rPr>
          <w:b w:val="0"/>
          <w:i/>
        </w:rPr>
        <w:t>eports on innovations in retail payments</w:t>
      </w:r>
      <w:r w:rsidRPr="0038045B">
        <w:rPr>
          <w:b w:val="0"/>
          <w:i/>
        </w:rPr>
        <w:t xml:space="preserve"> and the role of non-banks</w:t>
      </w:r>
      <w:bookmarkEnd w:id="55"/>
    </w:p>
    <w:p w14:paraId="16823684" w14:textId="77777777" w:rsidR="002061B9" w:rsidRPr="0038045B" w:rsidRDefault="002061B9" w:rsidP="00C80F30">
      <w:pPr>
        <w:pStyle w:val="ListParagraph"/>
        <w:numPr>
          <w:ilvl w:val="0"/>
          <w:numId w:val="15"/>
        </w:numPr>
        <w:spacing w:after="200" w:line="276" w:lineRule="auto"/>
        <w:ind w:left="0" w:firstLine="0"/>
        <w:jc w:val="both"/>
      </w:pPr>
      <w:r w:rsidRPr="0038045B">
        <w:t>In June 2010 the Committee on Payments and Market Infrastructures (CPMI) of the Bank for International Settlements (BIS) set up a working group to investigate developments in retail payments, focusing especially on innovations. The working group launched a fact-finding exercise identif</w:t>
      </w:r>
      <w:r w:rsidR="003C3490" w:rsidRPr="0038045B">
        <w:t xml:space="preserve">ying </w:t>
      </w:r>
      <w:r w:rsidRPr="0038045B">
        <w:t>five types of innovations: (i) innovation in the use of card payments; (ii) internet payments; (iii) mobile payments; (iv)</w:t>
      </w:r>
      <w:r w:rsidR="002641D5" w:rsidRPr="0038045B">
        <w:t xml:space="preserve"> </w:t>
      </w:r>
      <w:r w:rsidRPr="0038045B">
        <w:t xml:space="preserve">electronic bill presentment and payments; and, (v) improvements in infrastructure and security. Among the trends identified </w:t>
      </w:r>
      <w:r w:rsidR="00F221ED" w:rsidRPr="0038045B">
        <w:t xml:space="preserve">in the associated </w:t>
      </w:r>
      <w:r w:rsidR="00335F66" w:rsidRPr="0038045B">
        <w:t xml:space="preserve">CPMI </w:t>
      </w:r>
      <w:r w:rsidR="00F221ED" w:rsidRPr="0038045B">
        <w:t>report</w:t>
      </w:r>
      <w:r w:rsidR="00335F66" w:rsidRPr="0038045B">
        <w:t xml:space="preserve"> published in 2012</w:t>
      </w:r>
      <w:r w:rsidR="00F221ED" w:rsidRPr="0038045B">
        <w:t>,</w:t>
      </w:r>
      <w:r w:rsidR="00F221ED" w:rsidRPr="0038045B">
        <w:rPr>
          <w:rStyle w:val="FootnoteReference"/>
        </w:rPr>
        <w:footnoteReference w:id="21"/>
      </w:r>
      <w:r w:rsidR="00F221ED" w:rsidRPr="0038045B">
        <w:t xml:space="preserve"> </w:t>
      </w:r>
      <w:r w:rsidRPr="0038045B">
        <w:t>two appear especially relevant for this report</w:t>
      </w:r>
      <w:r w:rsidR="00F221ED" w:rsidRPr="0038045B">
        <w:t xml:space="preserve"> for </w:t>
      </w:r>
      <w:r w:rsidR="00C872C6" w:rsidRPr="0038045B">
        <w:t>Albania</w:t>
      </w:r>
      <w:r w:rsidRPr="0038045B">
        <w:t>:</w:t>
      </w:r>
    </w:p>
    <w:p w14:paraId="1C721144" w14:textId="77777777" w:rsidR="002061B9" w:rsidRPr="0038045B" w:rsidRDefault="002061B9" w:rsidP="00AF08C5">
      <w:pPr>
        <w:pStyle w:val="Body"/>
        <w:numPr>
          <w:ilvl w:val="0"/>
          <w:numId w:val="10"/>
        </w:numPr>
        <w:spacing w:after="60" w:line="276" w:lineRule="auto"/>
        <w:rPr>
          <w:i/>
          <w:szCs w:val="24"/>
          <w:lang w:val="en-US"/>
        </w:rPr>
      </w:pPr>
      <w:r w:rsidRPr="0038045B">
        <w:rPr>
          <w:i/>
          <w:szCs w:val="24"/>
          <w:lang w:val="en-US"/>
        </w:rPr>
        <w:t>Financial inclusion has served as an important driving force for innovations in many countries, either under a government mandate or because of the new business opportunities opened up by an untapped market.</w:t>
      </w:r>
    </w:p>
    <w:p w14:paraId="5F0D10BA" w14:textId="77777777" w:rsidR="002061B9" w:rsidRPr="0038045B" w:rsidRDefault="002061B9" w:rsidP="00AF08C5">
      <w:pPr>
        <w:pStyle w:val="Body"/>
        <w:numPr>
          <w:ilvl w:val="0"/>
          <w:numId w:val="10"/>
        </w:numPr>
        <w:spacing w:after="200" w:line="276" w:lineRule="auto"/>
        <w:rPr>
          <w:i/>
          <w:szCs w:val="24"/>
          <w:lang w:val="en-US"/>
        </w:rPr>
      </w:pPr>
      <w:r w:rsidRPr="0038045B">
        <w:rPr>
          <w:i/>
          <w:szCs w:val="24"/>
          <w:lang w:val="en-US"/>
        </w:rPr>
        <w:t>The role of non-banks in retail payments has increased significantly, owing in part to the growing use of innovative technology that allows non-banks to compete in areas not yet dominated by banks.</w:t>
      </w:r>
    </w:p>
    <w:p w14:paraId="1347A429" w14:textId="77777777" w:rsidR="00560A73" w:rsidRPr="0038045B" w:rsidRDefault="002061B9" w:rsidP="00560A73">
      <w:pPr>
        <w:pStyle w:val="Body"/>
        <w:numPr>
          <w:ilvl w:val="0"/>
          <w:numId w:val="15"/>
        </w:numPr>
        <w:spacing w:after="200" w:line="276" w:lineRule="auto"/>
        <w:ind w:left="0" w:firstLine="0"/>
        <w:rPr>
          <w:szCs w:val="24"/>
          <w:lang w:val="en-US"/>
        </w:rPr>
      </w:pPr>
      <w:r w:rsidRPr="0038045B">
        <w:rPr>
          <w:szCs w:val="24"/>
          <w:lang w:val="en-US"/>
        </w:rPr>
        <w:t>Th</w:t>
      </w:r>
      <w:r w:rsidR="00F221ED" w:rsidRPr="0038045B">
        <w:rPr>
          <w:szCs w:val="24"/>
          <w:lang w:val="en-US"/>
        </w:rPr>
        <w:t>is</w:t>
      </w:r>
      <w:r w:rsidRPr="0038045B">
        <w:rPr>
          <w:szCs w:val="24"/>
          <w:lang w:val="en-US"/>
        </w:rPr>
        <w:t xml:space="preserve"> </w:t>
      </w:r>
      <w:r w:rsidR="00F221ED" w:rsidRPr="0038045B">
        <w:rPr>
          <w:szCs w:val="24"/>
          <w:lang w:val="en-US"/>
        </w:rPr>
        <w:t xml:space="preserve">same </w:t>
      </w:r>
      <w:r w:rsidRPr="0038045B">
        <w:rPr>
          <w:szCs w:val="24"/>
          <w:lang w:val="en-US"/>
        </w:rPr>
        <w:t xml:space="preserve">CPMI report </w:t>
      </w:r>
      <w:r w:rsidR="00F221ED" w:rsidRPr="0038045B">
        <w:rPr>
          <w:szCs w:val="24"/>
          <w:lang w:val="en-US"/>
        </w:rPr>
        <w:t xml:space="preserve">also </w:t>
      </w:r>
      <w:r w:rsidRPr="0038045B">
        <w:rPr>
          <w:szCs w:val="24"/>
          <w:lang w:val="en-US"/>
        </w:rPr>
        <w:t>identified a number of exogenous and endogenous factors that could serve as drivers for retail payment innovations</w:t>
      </w:r>
      <w:r w:rsidR="00F221ED" w:rsidRPr="0038045B">
        <w:rPr>
          <w:szCs w:val="24"/>
          <w:lang w:val="en-US"/>
        </w:rPr>
        <w:t>,</w:t>
      </w:r>
      <w:r w:rsidRPr="0038045B">
        <w:rPr>
          <w:szCs w:val="24"/>
          <w:lang w:val="en-US"/>
        </w:rPr>
        <w:t xml:space="preserve"> or as barriers to them. The key </w:t>
      </w:r>
      <w:r w:rsidRPr="0038045B">
        <w:rPr>
          <w:i/>
          <w:szCs w:val="24"/>
          <w:lang w:val="en-US"/>
        </w:rPr>
        <w:t>exogenous</w:t>
      </w:r>
      <w:r w:rsidRPr="0038045B">
        <w:rPr>
          <w:szCs w:val="24"/>
          <w:lang w:val="en-US"/>
        </w:rPr>
        <w:t xml:space="preserve"> factors are: i) technological developments; ii) user behavior; and, iii) regulation. User demand is probably the most important driver for innovation, since it is the basis for a valid business case. </w:t>
      </w:r>
      <w:r w:rsidR="00F221ED" w:rsidRPr="0038045B">
        <w:rPr>
          <w:szCs w:val="24"/>
          <w:lang w:val="en-US"/>
        </w:rPr>
        <w:t>An example of the relevance of t</w:t>
      </w:r>
      <w:r w:rsidRPr="0038045B">
        <w:rPr>
          <w:szCs w:val="24"/>
          <w:lang w:val="en-US"/>
        </w:rPr>
        <w:t xml:space="preserve">he regulatory framework </w:t>
      </w:r>
      <w:r w:rsidR="00F221ED" w:rsidRPr="0038045B">
        <w:rPr>
          <w:szCs w:val="24"/>
          <w:lang w:val="en-US"/>
        </w:rPr>
        <w:t>can be observed in that m</w:t>
      </w:r>
      <w:r w:rsidRPr="0038045B">
        <w:rPr>
          <w:szCs w:val="24"/>
          <w:lang w:val="en-US"/>
        </w:rPr>
        <w:t xml:space="preserve">any regulators </w:t>
      </w:r>
      <w:r w:rsidR="00F221ED" w:rsidRPr="0038045B">
        <w:rPr>
          <w:szCs w:val="24"/>
          <w:lang w:val="en-US"/>
        </w:rPr>
        <w:t xml:space="preserve">are seeking </w:t>
      </w:r>
      <w:r w:rsidRPr="0038045B">
        <w:rPr>
          <w:szCs w:val="24"/>
          <w:lang w:val="en-US"/>
        </w:rPr>
        <w:t>to foster competition in the payments market</w:t>
      </w:r>
      <w:r w:rsidR="00F221ED" w:rsidRPr="0038045B">
        <w:rPr>
          <w:szCs w:val="24"/>
          <w:lang w:val="en-US"/>
        </w:rPr>
        <w:t>, which tend to be oligopolistic,</w:t>
      </w:r>
      <w:r w:rsidRPr="0038045B">
        <w:rPr>
          <w:szCs w:val="24"/>
          <w:lang w:val="en-US"/>
        </w:rPr>
        <w:t xml:space="preserve"> by easing the requirements for </w:t>
      </w:r>
      <w:r w:rsidR="00335F66" w:rsidRPr="0038045B">
        <w:rPr>
          <w:szCs w:val="24"/>
          <w:lang w:val="en-US"/>
        </w:rPr>
        <w:t xml:space="preserve">non-traditional </w:t>
      </w:r>
      <w:r w:rsidRPr="0038045B">
        <w:rPr>
          <w:szCs w:val="24"/>
          <w:lang w:val="en-US"/>
        </w:rPr>
        <w:t>payment service</w:t>
      </w:r>
      <w:r w:rsidR="00335F66" w:rsidRPr="0038045B">
        <w:rPr>
          <w:szCs w:val="24"/>
          <w:lang w:val="en-US"/>
        </w:rPr>
        <w:t xml:space="preserve"> provider</w:t>
      </w:r>
      <w:r w:rsidRPr="0038045B">
        <w:rPr>
          <w:szCs w:val="24"/>
          <w:lang w:val="en-US"/>
        </w:rPr>
        <w:t xml:space="preserve">s. On the other hand the main </w:t>
      </w:r>
      <w:r w:rsidRPr="0038045B">
        <w:rPr>
          <w:i/>
          <w:szCs w:val="24"/>
          <w:lang w:val="en-US"/>
        </w:rPr>
        <w:t>endogenous</w:t>
      </w:r>
      <w:r w:rsidRPr="0038045B">
        <w:rPr>
          <w:szCs w:val="24"/>
          <w:lang w:val="en-US"/>
        </w:rPr>
        <w:t xml:space="preserve"> factors are: i) cooperation; and, ii) standardization. </w:t>
      </w:r>
      <w:r w:rsidR="00F221ED" w:rsidRPr="0038045B">
        <w:rPr>
          <w:szCs w:val="24"/>
          <w:lang w:val="en-US"/>
        </w:rPr>
        <w:t>C</w:t>
      </w:r>
      <w:r w:rsidRPr="0038045B">
        <w:rPr>
          <w:szCs w:val="24"/>
          <w:lang w:val="en-US"/>
        </w:rPr>
        <w:t>ommon standards may</w:t>
      </w:r>
      <w:r w:rsidR="00F221ED" w:rsidRPr="0038045B">
        <w:rPr>
          <w:szCs w:val="24"/>
          <w:lang w:val="en-US"/>
        </w:rPr>
        <w:t>, due to network effects inherent in retail payment markets,</w:t>
      </w:r>
      <w:r w:rsidRPr="0038045B">
        <w:rPr>
          <w:szCs w:val="24"/>
          <w:lang w:val="en-US"/>
        </w:rPr>
        <w:t xml:space="preserve"> help </w:t>
      </w:r>
      <w:r w:rsidR="00F221ED" w:rsidRPr="0038045B">
        <w:rPr>
          <w:szCs w:val="24"/>
          <w:lang w:val="en-US"/>
        </w:rPr>
        <w:t>to a</w:t>
      </w:r>
      <w:r w:rsidRPr="0038045B">
        <w:rPr>
          <w:szCs w:val="24"/>
          <w:lang w:val="en-US"/>
        </w:rPr>
        <w:t xml:space="preserve">chieve a necessary critical mass and can create a stable ground for new players coming into the market. </w:t>
      </w:r>
      <w:r w:rsidR="00F221ED" w:rsidRPr="0038045B">
        <w:rPr>
          <w:szCs w:val="24"/>
          <w:lang w:val="en-US"/>
        </w:rPr>
        <w:t>Co</w:t>
      </w:r>
      <w:r w:rsidRPr="0038045B">
        <w:rPr>
          <w:szCs w:val="24"/>
          <w:lang w:val="en-US"/>
        </w:rPr>
        <w:t>operation can help to reduce costs through shared investment or economies of scale and scope. Security aspects also deserve attention</w:t>
      </w:r>
      <w:r w:rsidR="00F221ED" w:rsidRPr="0038045B">
        <w:rPr>
          <w:szCs w:val="24"/>
          <w:lang w:val="en-US"/>
        </w:rPr>
        <w:t xml:space="preserve">, </w:t>
      </w:r>
      <w:r w:rsidRPr="0038045B">
        <w:rPr>
          <w:szCs w:val="24"/>
          <w:lang w:val="en-US"/>
        </w:rPr>
        <w:t xml:space="preserve">since inadequate security, whether real or perceived, </w:t>
      </w:r>
      <w:r w:rsidR="00F221ED" w:rsidRPr="0038045B">
        <w:rPr>
          <w:szCs w:val="24"/>
          <w:lang w:val="en-US"/>
        </w:rPr>
        <w:t xml:space="preserve">can </w:t>
      </w:r>
      <w:r w:rsidRPr="0038045B">
        <w:rPr>
          <w:szCs w:val="24"/>
          <w:lang w:val="en-US"/>
        </w:rPr>
        <w:t>undermine public confidence in new payment solution</w:t>
      </w:r>
      <w:r w:rsidR="00F221ED" w:rsidRPr="0038045B">
        <w:rPr>
          <w:szCs w:val="24"/>
          <w:lang w:val="en-US"/>
        </w:rPr>
        <w:t>s</w:t>
      </w:r>
      <w:r w:rsidRPr="0038045B">
        <w:rPr>
          <w:szCs w:val="24"/>
          <w:lang w:val="en-US"/>
        </w:rPr>
        <w:t>.</w:t>
      </w:r>
    </w:p>
    <w:p w14:paraId="3E7184A6" w14:textId="77777777" w:rsidR="00560A73" w:rsidRPr="0038045B" w:rsidRDefault="00560A73" w:rsidP="00560A73">
      <w:pPr>
        <w:pStyle w:val="Body"/>
        <w:numPr>
          <w:ilvl w:val="0"/>
          <w:numId w:val="15"/>
        </w:numPr>
        <w:spacing w:after="200" w:line="276" w:lineRule="auto"/>
        <w:ind w:left="0" w:firstLine="0"/>
        <w:rPr>
          <w:szCs w:val="24"/>
          <w:lang w:val="en-US"/>
        </w:rPr>
      </w:pPr>
      <w:r w:rsidRPr="0038045B">
        <w:rPr>
          <w:szCs w:val="24"/>
          <w:lang w:val="en-US"/>
        </w:rPr>
        <w:t xml:space="preserve">In parallel, the World Bank consolidated the lessons learned during more than a decade of payment system technical assistance, along with the research findings of other international and national agencies, into a comprehensive package for the development and reform of the national retail payments system: (i) “Developing a comprehensive national retail payments strategy” aiming to provide public authorities and market participants with detailed guidance on how to develop and implement a comprehensive, strategic retail payments reform; (ii) “A practical guide for retail payments stocktaking”, which identifies a methodology for undertaking a detailed stock-taking of a country’s retail payments landscape; </w:t>
      </w:r>
      <w:r w:rsidRPr="0038045B">
        <w:rPr>
          <w:szCs w:val="24"/>
          <w:lang w:val="en-US"/>
        </w:rPr>
        <w:lastRenderedPageBreak/>
        <w:t>(iii) “From remittances to m-payments: Understanding ‘alternative’ means of payment within the common framework of retail payments system regulation”, which explores the development of a normative framework to underpin an efficient retail payments industry, including the so-called innovative payment mechanisms; and, (iv) “Innovations in retail payments worldwide: A snapshot: Outcomes of the global survey on innovations in retail payments instruments and methods 2010”, which presents the results of the first World Bank survey among central banks that collected information on innovative retail payment products and programs.</w:t>
      </w:r>
    </w:p>
    <w:p w14:paraId="23FAA049" w14:textId="77777777" w:rsidR="000D0C8B" w:rsidRPr="0038045B" w:rsidRDefault="002061B9" w:rsidP="00C80F30">
      <w:pPr>
        <w:pStyle w:val="Body"/>
        <w:numPr>
          <w:ilvl w:val="0"/>
          <w:numId w:val="15"/>
        </w:numPr>
        <w:spacing w:after="200" w:line="276" w:lineRule="auto"/>
        <w:ind w:left="0" w:firstLine="0"/>
        <w:rPr>
          <w:szCs w:val="24"/>
          <w:lang w:val="en-US"/>
        </w:rPr>
      </w:pPr>
      <w:r w:rsidRPr="0038045B">
        <w:rPr>
          <w:szCs w:val="24"/>
          <w:lang w:val="en-US"/>
        </w:rPr>
        <w:t xml:space="preserve">Following </w:t>
      </w:r>
      <w:r w:rsidR="002D0AEF" w:rsidRPr="0038045B">
        <w:rPr>
          <w:szCs w:val="24"/>
          <w:lang w:val="en-US"/>
        </w:rPr>
        <w:t xml:space="preserve">up </w:t>
      </w:r>
      <w:r w:rsidRPr="0038045B">
        <w:rPr>
          <w:szCs w:val="24"/>
          <w:lang w:val="en-US"/>
        </w:rPr>
        <w:t xml:space="preserve">on some of the conclusions of its report on innovations in retail payments, </w:t>
      </w:r>
      <w:r w:rsidR="002D0AEF" w:rsidRPr="0038045B">
        <w:rPr>
          <w:szCs w:val="24"/>
          <w:lang w:val="en-US"/>
        </w:rPr>
        <w:t xml:space="preserve">in September 2014 </w:t>
      </w:r>
      <w:r w:rsidRPr="0038045B">
        <w:rPr>
          <w:szCs w:val="24"/>
          <w:lang w:val="en-US"/>
        </w:rPr>
        <w:t xml:space="preserve">the </w:t>
      </w:r>
      <w:r w:rsidR="000133BA" w:rsidRPr="0038045B">
        <w:rPr>
          <w:szCs w:val="24"/>
          <w:lang w:val="en-US"/>
        </w:rPr>
        <w:t xml:space="preserve">CPMI </w:t>
      </w:r>
      <w:r w:rsidR="002D0AEF" w:rsidRPr="0038045B">
        <w:rPr>
          <w:szCs w:val="24"/>
          <w:lang w:val="en-US"/>
        </w:rPr>
        <w:t xml:space="preserve">published a new report on the </w:t>
      </w:r>
      <w:r w:rsidRPr="0038045B">
        <w:rPr>
          <w:szCs w:val="24"/>
          <w:lang w:val="en-US"/>
        </w:rPr>
        <w:t>r</w:t>
      </w:r>
      <w:r w:rsidR="000133BA" w:rsidRPr="0038045B">
        <w:rPr>
          <w:szCs w:val="24"/>
          <w:lang w:val="en-US"/>
        </w:rPr>
        <w:t>ole of non-banks</w:t>
      </w:r>
      <w:r w:rsidRPr="0038045B">
        <w:rPr>
          <w:szCs w:val="24"/>
          <w:lang w:val="en-US"/>
        </w:rPr>
        <w:t xml:space="preserve"> in retai</w:t>
      </w:r>
      <w:r w:rsidR="002D0AEF" w:rsidRPr="0038045B">
        <w:rPr>
          <w:szCs w:val="24"/>
          <w:lang w:val="en-US"/>
        </w:rPr>
        <w:t>l payments.</w:t>
      </w:r>
      <w:r w:rsidR="002D0AEF" w:rsidRPr="0038045B">
        <w:rPr>
          <w:rStyle w:val="FootnoteReference"/>
          <w:lang w:val="en-US"/>
        </w:rPr>
        <w:footnoteReference w:id="22"/>
      </w:r>
      <w:r w:rsidR="002D0AEF" w:rsidRPr="0038045B">
        <w:rPr>
          <w:szCs w:val="24"/>
          <w:lang w:val="en-US"/>
        </w:rPr>
        <w:t xml:space="preserve"> In this report non-banks are defined as entities “</w:t>
      </w:r>
      <w:r w:rsidR="002D0AEF" w:rsidRPr="0038045B">
        <w:rPr>
          <w:i/>
          <w:szCs w:val="24"/>
          <w:lang w:val="en-US"/>
        </w:rPr>
        <w:t>involved in the provision of retail payment services whose main business is not related to taking deposits from the public and using these deposits to make loans</w:t>
      </w:r>
      <w:r w:rsidR="002D0AEF" w:rsidRPr="0038045B">
        <w:rPr>
          <w:szCs w:val="24"/>
          <w:lang w:val="en-US"/>
        </w:rPr>
        <w:t xml:space="preserve">”. The report categorized non-banks into four types based mainly on the stages of the payment chain in which they engage, the type of payment service provided and also their relationship with banks: (i) front-end providers that provide services directly to end users such as consumers and businesses/corporates; (ii) back-end providers that typically provide services to banks; (iii) operators of retail payment infrastructures; and (iv) end-to-end providers that combine front-end services to end users with clearing and settlement services. </w:t>
      </w:r>
    </w:p>
    <w:p w14:paraId="60E3CB09" w14:textId="77777777" w:rsidR="00E3641C" w:rsidRPr="0038045B" w:rsidRDefault="000D0C8B" w:rsidP="001E6340">
      <w:pPr>
        <w:pStyle w:val="Body"/>
        <w:numPr>
          <w:ilvl w:val="0"/>
          <w:numId w:val="15"/>
        </w:numPr>
        <w:spacing w:after="200" w:line="276" w:lineRule="auto"/>
        <w:ind w:left="0" w:firstLine="0"/>
        <w:rPr>
          <w:szCs w:val="24"/>
          <w:lang w:val="en-US"/>
        </w:rPr>
      </w:pPr>
      <w:r w:rsidRPr="0038045B">
        <w:rPr>
          <w:szCs w:val="24"/>
          <w:lang w:val="en-US"/>
        </w:rPr>
        <w:t xml:space="preserve">This </w:t>
      </w:r>
      <w:r w:rsidR="00224CCE" w:rsidRPr="0038045B">
        <w:rPr>
          <w:szCs w:val="24"/>
          <w:lang w:val="en-US"/>
        </w:rPr>
        <w:t xml:space="preserve">2014 </w:t>
      </w:r>
      <w:r w:rsidRPr="0038045B">
        <w:rPr>
          <w:szCs w:val="24"/>
          <w:lang w:val="en-US"/>
        </w:rPr>
        <w:t>CPMI r</w:t>
      </w:r>
      <w:r w:rsidR="002D0AEF" w:rsidRPr="0038045B">
        <w:rPr>
          <w:szCs w:val="24"/>
          <w:lang w:val="en-US"/>
        </w:rPr>
        <w:t>eport identifies a number of market-driven factors that attract non-banks to the retail payments market, and confirms that the regulatory environment can also influence non-banks’ involvement in this field</w:t>
      </w:r>
      <w:r w:rsidRPr="0038045B">
        <w:rPr>
          <w:szCs w:val="24"/>
          <w:lang w:val="en-US"/>
        </w:rPr>
        <w:t>. Furthermore, the report stresses that non-banks can have a positive effect on improving efficiency of retail payment systems, and help achieve financial inclusion objectives. For example, n</w:t>
      </w:r>
      <w:r w:rsidR="002D0AEF" w:rsidRPr="0038045B">
        <w:rPr>
          <w:szCs w:val="24"/>
          <w:lang w:val="en-US"/>
        </w:rPr>
        <w:t xml:space="preserve">on-bank providers of front-end services may compete with banks </w:t>
      </w:r>
      <w:r w:rsidRPr="0038045B">
        <w:rPr>
          <w:szCs w:val="24"/>
          <w:lang w:val="en-US"/>
        </w:rPr>
        <w:t xml:space="preserve">in certain segments, and this competition may: i) potentially lower fees; ii) broaden the set of alternatives open to end users; </w:t>
      </w:r>
      <w:r w:rsidR="00335F66" w:rsidRPr="0038045B">
        <w:rPr>
          <w:szCs w:val="24"/>
          <w:lang w:val="en-US"/>
        </w:rPr>
        <w:t xml:space="preserve">and, </w:t>
      </w:r>
      <w:r w:rsidRPr="0038045B">
        <w:rPr>
          <w:szCs w:val="24"/>
          <w:lang w:val="en-US"/>
        </w:rPr>
        <w:t>iii) lead to i</w:t>
      </w:r>
      <w:r w:rsidR="002D0AEF" w:rsidRPr="0038045B">
        <w:rPr>
          <w:szCs w:val="24"/>
          <w:lang w:val="en-US"/>
        </w:rPr>
        <w:t xml:space="preserve">mprovements in traditional payment systems, such as faster or round-the-clock retail payment services. Further, in some </w:t>
      </w:r>
      <w:r w:rsidR="000926B3" w:rsidRPr="0038045B">
        <w:rPr>
          <w:szCs w:val="24"/>
          <w:lang w:val="en-US"/>
        </w:rPr>
        <w:t>j</w:t>
      </w:r>
      <w:r w:rsidR="002D0AEF" w:rsidRPr="0038045B">
        <w:rPr>
          <w:szCs w:val="24"/>
          <w:lang w:val="en-US"/>
        </w:rPr>
        <w:t>urisdictions non-bank</w:t>
      </w:r>
      <w:r w:rsidR="000926B3" w:rsidRPr="0038045B">
        <w:rPr>
          <w:szCs w:val="24"/>
          <w:lang w:val="en-US"/>
        </w:rPr>
        <w:t xml:space="preserve">s are helping </w:t>
      </w:r>
      <w:r w:rsidR="002D0AEF" w:rsidRPr="0038045B">
        <w:rPr>
          <w:szCs w:val="24"/>
          <w:lang w:val="en-US"/>
        </w:rPr>
        <w:t>meet financial inclusion objectives</w:t>
      </w:r>
      <w:r w:rsidR="000926B3" w:rsidRPr="0038045B">
        <w:rPr>
          <w:szCs w:val="24"/>
          <w:lang w:val="en-US"/>
        </w:rPr>
        <w:t xml:space="preserve"> through, for example, the involvement of agents or through mobile payments</w:t>
      </w:r>
      <w:r w:rsidR="002D0AEF" w:rsidRPr="0038045B">
        <w:rPr>
          <w:szCs w:val="24"/>
          <w:lang w:val="en-US"/>
        </w:rPr>
        <w:t xml:space="preserve">. </w:t>
      </w:r>
      <w:r w:rsidR="000926B3" w:rsidRPr="0038045B">
        <w:rPr>
          <w:szCs w:val="24"/>
          <w:lang w:val="en-US"/>
        </w:rPr>
        <w:t xml:space="preserve">Nevertheless, this report also recognizes that the involvement of </w:t>
      </w:r>
      <w:r w:rsidR="002D0AEF" w:rsidRPr="0038045B">
        <w:rPr>
          <w:szCs w:val="24"/>
          <w:lang w:val="en-US"/>
        </w:rPr>
        <w:t xml:space="preserve">non-banks </w:t>
      </w:r>
      <w:r w:rsidR="000926B3" w:rsidRPr="0038045B">
        <w:rPr>
          <w:szCs w:val="24"/>
          <w:lang w:val="en-US"/>
        </w:rPr>
        <w:t xml:space="preserve">in the payments value chain </w:t>
      </w:r>
      <w:r w:rsidR="002D0AEF" w:rsidRPr="0038045B">
        <w:rPr>
          <w:szCs w:val="24"/>
          <w:lang w:val="en-US"/>
        </w:rPr>
        <w:t>may have implications for some types of risk</w:t>
      </w:r>
      <w:r w:rsidR="000926B3" w:rsidRPr="0038045B">
        <w:rPr>
          <w:szCs w:val="24"/>
          <w:lang w:val="en-US"/>
        </w:rPr>
        <w:t>s</w:t>
      </w:r>
      <w:r w:rsidR="002D0AEF" w:rsidRPr="0038045B">
        <w:rPr>
          <w:szCs w:val="24"/>
          <w:lang w:val="en-US"/>
        </w:rPr>
        <w:t xml:space="preserve"> arising from retail payment systems.</w:t>
      </w:r>
    </w:p>
    <w:p w14:paraId="1DF11328" w14:textId="77777777" w:rsidR="00C92E08" w:rsidRPr="0038045B" w:rsidRDefault="0084298B" w:rsidP="00C92E08">
      <w:pPr>
        <w:pStyle w:val="Heading3"/>
        <w:spacing w:before="240" w:after="240"/>
        <w:rPr>
          <w:b w:val="0"/>
          <w:i/>
        </w:rPr>
      </w:pPr>
      <w:bookmarkStart w:id="56" w:name="_Toc476239705"/>
      <w:r w:rsidRPr="0038045B">
        <w:rPr>
          <w:b w:val="0"/>
          <w:i/>
        </w:rPr>
        <w:t xml:space="preserve">The PAFI Report: </w:t>
      </w:r>
      <w:r w:rsidR="000926B3" w:rsidRPr="0038045B">
        <w:rPr>
          <w:b w:val="0"/>
          <w:i/>
        </w:rPr>
        <w:t xml:space="preserve">CPMI-World Bank </w:t>
      </w:r>
      <w:r w:rsidR="00224CCE" w:rsidRPr="0038045B">
        <w:rPr>
          <w:b w:val="0"/>
          <w:i/>
        </w:rPr>
        <w:t xml:space="preserve">Group </w:t>
      </w:r>
      <w:r w:rsidR="000926B3" w:rsidRPr="0038045B">
        <w:rPr>
          <w:b w:val="0"/>
          <w:i/>
        </w:rPr>
        <w:t>guid</w:t>
      </w:r>
      <w:r w:rsidR="00224CCE" w:rsidRPr="0038045B">
        <w:rPr>
          <w:b w:val="0"/>
          <w:i/>
        </w:rPr>
        <w:t>ing principle</w:t>
      </w:r>
      <w:r w:rsidR="000926B3" w:rsidRPr="0038045B">
        <w:rPr>
          <w:b w:val="0"/>
          <w:i/>
        </w:rPr>
        <w:t xml:space="preserve">s </w:t>
      </w:r>
      <w:r w:rsidR="00C92E08" w:rsidRPr="0038045B">
        <w:rPr>
          <w:b w:val="0"/>
          <w:i/>
        </w:rPr>
        <w:t>on financial inclusion from a payments perspective</w:t>
      </w:r>
      <w:bookmarkEnd w:id="56"/>
      <w:r w:rsidR="00C92E08" w:rsidRPr="0038045B">
        <w:rPr>
          <w:b w:val="0"/>
          <w:i/>
        </w:rPr>
        <w:t xml:space="preserve"> </w:t>
      </w:r>
    </w:p>
    <w:p w14:paraId="447894D0" w14:textId="77777777" w:rsidR="0084298B" w:rsidRPr="0038045B" w:rsidRDefault="0076379F" w:rsidP="00C80F30">
      <w:pPr>
        <w:pStyle w:val="Body"/>
        <w:numPr>
          <w:ilvl w:val="0"/>
          <w:numId w:val="15"/>
        </w:numPr>
        <w:spacing w:after="120" w:line="276" w:lineRule="auto"/>
        <w:ind w:left="0" w:firstLine="0"/>
        <w:rPr>
          <w:szCs w:val="24"/>
          <w:lang w:val="en-US"/>
        </w:rPr>
      </w:pPr>
      <w:r w:rsidRPr="0038045B">
        <w:rPr>
          <w:szCs w:val="24"/>
          <w:lang w:val="en-US"/>
        </w:rPr>
        <w:t xml:space="preserve">In April 2014, the CPMI and the World Bank </w:t>
      </w:r>
      <w:r w:rsidR="00224CCE" w:rsidRPr="0038045B">
        <w:rPr>
          <w:szCs w:val="24"/>
          <w:lang w:val="en-US"/>
        </w:rPr>
        <w:t xml:space="preserve">Group </w:t>
      </w:r>
      <w:r w:rsidRPr="0038045B">
        <w:rPr>
          <w:szCs w:val="24"/>
          <w:lang w:val="en-US"/>
        </w:rPr>
        <w:t xml:space="preserve">launched a task force to examine demand and supply side factors affecting financial inclusion in the context of payment systems and services, and to suggest measures that could be taken to address these issues. </w:t>
      </w:r>
      <w:r w:rsidR="00E4774C" w:rsidRPr="0038045B">
        <w:rPr>
          <w:szCs w:val="24"/>
          <w:lang w:val="en-US"/>
        </w:rPr>
        <w:t xml:space="preserve">The </w:t>
      </w:r>
      <w:r w:rsidR="00E4774C" w:rsidRPr="0038045B">
        <w:rPr>
          <w:szCs w:val="24"/>
          <w:lang w:val="en-US"/>
        </w:rPr>
        <w:lastRenderedPageBreak/>
        <w:t>final report was released in April 2016</w:t>
      </w:r>
      <w:r w:rsidR="00894B1D" w:rsidRPr="0038045B">
        <w:rPr>
          <w:szCs w:val="24"/>
          <w:lang w:val="en-US"/>
        </w:rPr>
        <w:t>.</w:t>
      </w:r>
      <w:r w:rsidRPr="0038045B">
        <w:rPr>
          <w:szCs w:val="24"/>
          <w:lang w:val="en-US"/>
        </w:rPr>
        <w:t xml:space="preserve"> This report, referred to as the “Payments aspects of financial inclusion report” or “PAFI report”, states as </w:t>
      </w:r>
      <w:r w:rsidR="0084298B" w:rsidRPr="0038045B">
        <w:rPr>
          <w:szCs w:val="24"/>
          <w:lang w:val="en-US"/>
        </w:rPr>
        <w:t>an ob</w:t>
      </w:r>
      <w:r w:rsidR="0084298B" w:rsidRPr="0038045B">
        <w:rPr>
          <w:lang w:val="en-US"/>
        </w:rPr>
        <w:t>jective that all individuals and micro- and small-sized enterprises should be able to have and use at least one transaction account</w:t>
      </w:r>
      <w:r w:rsidR="0084298B" w:rsidRPr="0038045B">
        <w:rPr>
          <w:rStyle w:val="FootnoteReference"/>
          <w:szCs w:val="24"/>
          <w:lang w:val="en-US"/>
        </w:rPr>
        <w:footnoteReference w:id="23"/>
      </w:r>
      <w:r w:rsidR="0084298B" w:rsidRPr="0038045B">
        <w:rPr>
          <w:lang w:val="en-US"/>
        </w:rPr>
        <w:t xml:space="preserve"> operated by a regulated/authorized payment service provider: </w:t>
      </w:r>
    </w:p>
    <w:p w14:paraId="60F1BAA4" w14:textId="77777777" w:rsidR="0084298B" w:rsidRPr="0038045B" w:rsidRDefault="0084298B" w:rsidP="00C80F30">
      <w:pPr>
        <w:pStyle w:val="Body"/>
        <w:numPr>
          <w:ilvl w:val="0"/>
          <w:numId w:val="16"/>
        </w:numPr>
        <w:spacing w:after="60" w:line="276" w:lineRule="auto"/>
        <w:rPr>
          <w:i/>
          <w:szCs w:val="24"/>
          <w:lang w:val="en-US"/>
        </w:rPr>
      </w:pPr>
      <w:r w:rsidRPr="0038045B">
        <w:rPr>
          <w:lang w:val="en-US"/>
        </w:rPr>
        <w:t>to perform most, if not all, of their payment needs</w:t>
      </w:r>
    </w:p>
    <w:p w14:paraId="3491FF91" w14:textId="77777777" w:rsidR="0084298B" w:rsidRPr="0038045B" w:rsidRDefault="0084298B" w:rsidP="00C80F30">
      <w:pPr>
        <w:pStyle w:val="Body"/>
        <w:numPr>
          <w:ilvl w:val="0"/>
          <w:numId w:val="16"/>
        </w:numPr>
        <w:spacing w:after="60" w:line="276" w:lineRule="auto"/>
        <w:rPr>
          <w:i/>
          <w:szCs w:val="24"/>
          <w:lang w:val="en-US"/>
        </w:rPr>
      </w:pPr>
      <w:r w:rsidRPr="0038045B">
        <w:rPr>
          <w:lang w:val="en-US"/>
        </w:rPr>
        <w:t xml:space="preserve">to safely store some value; and, </w:t>
      </w:r>
    </w:p>
    <w:p w14:paraId="60063D48" w14:textId="77777777" w:rsidR="0084298B" w:rsidRPr="0038045B" w:rsidRDefault="0084298B" w:rsidP="00C80F30">
      <w:pPr>
        <w:pStyle w:val="Body"/>
        <w:numPr>
          <w:ilvl w:val="0"/>
          <w:numId w:val="16"/>
        </w:numPr>
        <w:spacing w:after="240" w:line="276" w:lineRule="auto"/>
        <w:rPr>
          <w:i/>
          <w:szCs w:val="24"/>
          <w:lang w:val="en-US"/>
        </w:rPr>
      </w:pPr>
      <w:r w:rsidRPr="0038045B">
        <w:rPr>
          <w:lang w:val="en-US"/>
        </w:rPr>
        <w:t>to serve as a gateway to other financial services</w:t>
      </w:r>
    </w:p>
    <w:p w14:paraId="6A69EAAA" w14:textId="77777777" w:rsidR="00E65D46" w:rsidRPr="0038045B" w:rsidRDefault="00532779" w:rsidP="00C80F30">
      <w:pPr>
        <w:pStyle w:val="Body"/>
        <w:numPr>
          <w:ilvl w:val="0"/>
          <w:numId w:val="15"/>
        </w:numPr>
        <w:spacing w:after="200" w:line="276" w:lineRule="auto"/>
        <w:ind w:left="0" w:firstLine="0"/>
        <w:rPr>
          <w:szCs w:val="24"/>
          <w:lang w:val="en-US"/>
        </w:rPr>
      </w:pPr>
      <w:r w:rsidRPr="0038045B">
        <w:rPr>
          <w:szCs w:val="24"/>
          <w:lang w:val="en-US"/>
        </w:rPr>
        <w:t xml:space="preserve">The PAFI report </w:t>
      </w:r>
      <w:r w:rsidR="00E65D46" w:rsidRPr="0038045B">
        <w:rPr>
          <w:szCs w:val="24"/>
          <w:lang w:val="en-US"/>
        </w:rPr>
        <w:t xml:space="preserve">identifies a number of barriers to transaction accounts access and usage, and proposes a framework to address these barriers based on evidence from many financial inclusion efforts around the world. </w:t>
      </w:r>
      <w:r w:rsidR="00E65D46" w:rsidRPr="0038045B">
        <w:rPr>
          <w:b/>
          <w:szCs w:val="24"/>
          <w:lang w:val="en-US"/>
        </w:rPr>
        <w:t>This framework</w:t>
      </w:r>
      <w:r w:rsidR="003F2166" w:rsidRPr="0038045B">
        <w:rPr>
          <w:b/>
          <w:szCs w:val="24"/>
          <w:lang w:val="en-US"/>
        </w:rPr>
        <w:t xml:space="preserve">, </w:t>
      </w:r>
      <w:r w:rsidR="00E65D46" w:rsidRPr="0038045B">
        <w:rPr>
          <w:b/>
          <w:szCs w:val="24"/>
          <w:lang w:val="en-US"/>
        </w:rPr>
        <w:t xml:space="preserve">illustrated in Figure </w:t>
      </w:r>
      <w:r w:rsidR="00A34CDE" w:rsidRPr="0038045B">
        <w:rPr>
          <w:b/>
          <w:szCs w:val="24"/>
          <w:lang w:val="en-US"/>
        </w:rPr>
        <w:t>1</w:t>
      </w:r>
      <w:r w:rsidR="007A340C" w:rsidRPr="0038045B">
        <w:rPr>
          <w:b/>
          <w:szCs w:val="24"/>
          <w:lang w:val="en-US"/>
        </w:rPr>
        <w:t xml:space="preserve">, </w:t>
      </w:r>
      <w:r w:rsidR="009856FA" w:rsidRPr="0038045B">
        <w:rPr>
          <w:b/>
          <w:szCs w:val="24"/>
          <w:lang w:val="en-US"/>
        </w:rPr>
        <w:t xml:space="preserve">is </w:t>
      </w:r>
      <w:r w:rsidR="00EA182F" w:rsidRPr="0038045B">
        <w:rPr>
          <w:b/>
          <w:szCs w:val="24"/>
          <w:lang w:val="en-US"/>
        </w:rPr>
        <w:t xml:space="preserve">being used </w:t>
      </w:r>
      <w:r w:rsidR="009856FA" w:rsidRPr="0038045B">
        <w:rPr>
          <w:b/>
          <w:szCs w:val="24"/>
          <w:lang w:val="en-US"/>
        </w:rPr>
        <w:t xml:space="preserve">as </w:t>
      </w:r>
      <w:r w:rsidR="00EA182F" w:rsidRPr="0038045B">
        <w:rPr>
          <w:b/>
          <w:szCs w:val="24"/>
          <w:lang w:val="en-US"/>
        </w:rPr>
        <w:t xml:space="preserve">the basis for organizing the analysis, discussion and recommendations contained in this report for </w:t>
      </w:r>
      <w:r w:rsidR="002D172E" w:rsidRPr="0038045B">
        <w:rPr>
          <w:b/>
          <w:szCs w:val="24"/>
          <w:lang w:val="en-US"/>
        </w:rPr>
        <w:t>Albanian</w:t>
      </w:r>
      <w:r w:rsidR="00EA182F" w:rsidRPr="0038045B">
        <w:rPr>
          <w:b/>
          <w:szCs w:val="24"/>
          <w:lang w:val="en-US"/>
        </w:rPr>
        <w:t xml:space="preserve"> authorities. </w:t>
      </w:r>
    </w:p>
    <w:p w14:paraId="7C5C7118" w14:textId="77777777" w:rsidR="003F4308" w:rsidRPr="0038045B" w:rsidRDefault="003F4308" w:rsidP="003F4308">
      <w:pPr>
        <w:pStyle w:val="Body"/>
        <w:spacing w:before="360" w:after="240" w:line="276" w:lineRule="auto"/>
        <w:ind w:firstLine="0"/>
        <w:jc w:val="center"/>
        <w:rPr>
          <w:b/>
          <w:lang w:val="en-US"/>
        </w:rPr>
      </w:pPr>
      <w:bookmarkStart w:id="57" w:name="_Ref441569322"/>
      <w:bookmarkStart w:id="58" w:name="_Ref441569307"/>
      <w:r w:rsidRPr="0038045B">
        <w:rPr>
          <w:b/>
          <w:lang w:val="en-US"/>
        </w:rPr>
        <w:t>Figure 1</w:t>
      </w:r>
      <w:bookmarkEnd w:id="57"/>
      <w:r w:rsidRPr="0038045B">
        <w:rPr>
          <w:b/>
          <w:lang w:val="en-US"/>
        </w:rPr>
        <w:t xml:space="preserve">: PAFI framework to address barriers to transaction account access and usage </w:t>
      </w:r>
      <w:bookmarkEnd w:id="58"/>
    </w:p>
    <w:p w14:paraId="016B90CC" w14:textId="77777777" w:rsidR="00E4774C" w:rsidRPr="0038045B" w:rsidRDefault="00E4774C" w:rsidP="00E4774C">
      <w:pPr>
        <w:pStyle w:val="Body"/>
        <w:spacing w:after="200" w:line="276" w:lineRule="auto"/>
        <w:ind w:firstLine="0"/>
        <w:rPr>
          <w:szCs w:val="24"/>
          <w:lang w:val="en-US"/>
        </w:rPr>
      </w:pPr>
      <w:r w:rsidRPr="0038045B">
        <w:rPr>
          <w:noProof/>
          <w:szCs w:val="24"/>
          <w:lang w:val="en-US" w:eastAsia="en-US"/>
        </w:rPr>
        <w:drawing>
          <wp:inline distT="0" distB="0" distL="0" distR="0" wp14:anchorId="2E8ED0CA" wp14:editId="37ECB30B">
            <wp:extent cx="5486400" cy="25806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a:stretch>
                      <a:fillRect/>
                    </a:stretch>
                  </pic:blipFill>
                  <pic:spPr>
                    <a:xfrm>
                      <a:off x="0" y="0"/>
                      <a:ext cx="5486400" cy="2580640"/>
                    </a:xfrm>
                    <a:prstGeom prst="rect">
                      <a:avLst/>
                    </a:prstGeom>
                  </pic:spPr>
                </pic:pic>
              </a:graphicData>
            </a:graphic>
          </wp:inline>
        </w:drawing>
      </w:r>
    </w:p>
    <w:p w14:paraId="169E84F4" w14:textId="77777777" w:rsidR="001F11FD" w:rsidRPr="0038045B" w:rsidRDefault="001F11FD" w:rsidP="001F11FD">
      <w:pPr>
        <w:jc w:val="center"/>
        <w:rPr>
          <w:rFonts w:ascii="Calibri" w:hAnsi="Calibri"/>
          <w:color w:val="1F497D"/>
        </w:rPr>
      </w:pPr>
    </w:p>
    <w:p w14:paraId="5A5F49E0" w14:textId="77777777" w:rsidR="009856FA" w:rsidRPr="0038045B" w:rsidRDefault="002E4231" w:rsidP="00C80F30">
      <w:pPr>
        <w:pStyle w:val="Body"/>
        <w:numPr>
          <w:ilvl w:val="0"/>
          <w:numId w:val="15"/>
        </w:numPr>
        <w:spacing w:after="200" w:line="276" w:lineRule="auto"/>
        <w:ind w:left="0" w:firstLine="0"/>
        <w:rPr>
          <w:szCs w:val="24"/>
          <w:lang w:val="en-US"/>
        </w:rPr>
      </w:pPr>
      <w:r w:rsidRPr="0038045B">
        <w:rPr>
          <w:szCs w:val="24"/>
          <w:lang w:val="en-US"/>
        </w:rPr>
        <w:t>As shown i</w:t>
      </w:r>
      <w:r w:rsidR="00EA182F" w:rsidRPr="0038045B">
        <w:rPr>
          <w:szCs w:val="24"/>
          <w:lang w:val="en-US"/>
        </w:rPr>
        <w:t xml:space="preserve">n </w:t>
      </w:r>
      <w:r w:rsidR="001F11FD" w:rsidRPr="0038045B">
        <w:rPr>
          <w:szCs w:val="24"/>
          <w:lang w:val="en-US"/>
        </w:rPr>
        <w:fldChar w:fldCharType="begin"/>
      </w:r>
      <w:r w:rsidR="001F11FD" w:rsidRPr="0038045B">
        <w:rPr>
          <w:szCs w:val="24"/>
          <w:lang w:val="en-US"/>
        </w:rPr>
        <w:instrText xml:space="preserve"> REF _Ref441569322 \h </w:instrText>
      </w:r>
      <w:r w:rsidR="00B9778F" w:rsidRPr="0038045B">
        <w:rPr>
          <w:szCs w:val="24"/>
          <w:lang w:val="en-US"/>
        </w:rPr>
        <w:instrText xml:space="preserve"> \* MERGEFORMAT </w:instrText>
      </w:r>
      <w:r w:rsidR="001F11FD" w:rsidRPr="0038045B">
        <w:rPr>
          <w:szCs w:val="24"/>
          <w:lang w:val="en-US"/>
        </w:rPr>
      </w:r>
      <w:r w:rsidR="001F11FD" w:rsidRPr="0038045B">
        <w:rPr>
          <w:szCs w:val="24"/>
          <w:lang w:val="en-US"/>
        </w:rPr>
        <w:fldChar w:fldCharType="separate"/>
      </w:r>
      <w:r w:rsidR="005032F9" w:rsidRPr="0038045B">
        <w:rPr>
          <w:b/>
          <w:lang w:val="en-US"/>
        </w:rPr>
        <w:t>Figure</w:t>
      </w:r>
      <w:r w:rsidR="005032F9" w:rsidRPr="005032F9">
        <w:rPr>
          <w:lang w:val="en-US"/>
        </w:rPr>
        <w:t xml:space="preserve"> 1</w:t>
      </w:r>
      <w:r w:rsidR="001F11FD" w:rsidRPr="0038045B">
        <w:rPr>
          <w:szCs w:val="24"/>
          <w:lang w:val="en-US"/>
        </w:rPr>
        <w:fldChar w:fldCharType="end"/>
      </w:r>
      <w:r w:rsidR="00EA182F" w:rsidRPr="0038045B">
        <w:rPr>
          <w:szCs w:val="24"/>
          <w:lang w:val="en-US"/>
        </w:rPr>
        <w:t xml:space="preserve">, the framework consists initially of a number of “foundations”, which are the critical enablers for payment systems and the provision of payment services in general, but specifically also for the access to and usage of transaction accounts. Based on these foundations, there are “catalytic pillars” as the drivers for access and usage. The end objective is achieving universal access to and frequent usage of transaction accounts. The PAFI report then states guiding principles for each of the foundations and catalytic pillars, </w:t>
      </w:r>
      <w:r w:rsidR="00EA182F" w:rsidRPr="0038045B">
        <w:rPr>
          <w:szCs w:val="24"/>
          <w:lang w:val="en-US"/>
        </w:rPr>
        <w:lastRenderedPageBreak/>
        <w:t>and proposes a number of key actions for consideration for each of these.</w:t>
      </w:r>
    </w:p>
    <w:p w14:paraId="14A1F56D" w14:textId="77777777" w:rsidR="00C45D24" w:rsidRPr="0038045B" w:rsidRDefault="009856FA" w:rsidP="00C80F30">
      <w:pPr>
        <w:pStyle w:val="Body"/>
        <w:numPr>
          <w:ilvl w:val="0"/>
          <w:numId w:val="15"/>
        </w:numPr>
        <w:spacing w:after="200" w:line="276" w:lineRule="auto"/>
        <w:ind w:left="0" w:firstLine="0"/>
        <w:rPr>
          <w:szCs w:val="24"/>
          <w:lang w:val="en-US"/>
        </w:rPr>
      </w:pPr>
      <w:r w:rsidRPr="0038045B">
        <w:rPr>
          <w:szCs w:val="24"/>
          <w:lang w:val="en-US"/>
        </w:rPr>
        <w:t xml:space="preserve">One additional relevant aspect of the PAFI report is that </w:t>
      </w:r>
      <w:r w:rsidR="00C45D24" w:rsidRPr="0038045B">
        <w:rPr>
          <w:szCs w:val="24"/>
          <w:lang w:val="en-US"/>
        </w:rPr>
        <w:t xml:space="preserve">it </w:t>
      </w:r>
      <w:r w:rsidR="003374B4" w:rsidRPr="0038045B">
        <w:rPr>
          <w:szCs w:val="24"/>
          <w:lang w:val="en-US"/>
        </w:rPr>
        <w:t>points out</w:t>
      </w:r>
      <w:r w:rsidR="00C45D24" w:rsidRPr="0038045B">
        <w:rPr>
          <w:szCs w:val="24"/>
          <w:lang w:val="en-US"/>
        </w:rPr>
        <w:t xml:space="preserve"> that having and </w:t>
      </w:r>
      <w:r w:rsidR="00317E76" w:rsidRPr="0038045B">
        <w:rPr>
          <w:szCs w:val="24"/>
          <w:lang w:val="en-US"/>
        </w:rPr>
        <w:t>making usage of a</w:t>
      </w:r>
      <w:r w:rsidR="00C45D24" w:rsidRPr="0038045B">
        <w:rPr>
          <w:szCs w:val="24"/>
          <w:lang w:val="en-US"/>
        </w:rPr>
        <w:t>n account</w:t>
      </w:r>
      <w:r w:rsidR="00317E76" w:rsidRPr="0038045B">
        <w:rPr>
          <w:szCs w:val="24"/>
          <w:lang w:val="en-US"/>
        </w:rPr>
        <w:t>,</w:t>
      </w:r>
      <w:r w:rsidR="00C45D24" w:rsidRPr="0038045B">
        <w:rPr>
          <w:szCs w:val="24"/>
          <w:lang w:val="en-US"/>
        </w:rPr>
        <w:t xml:space="preserve"> while of utmost importance, </w:t>
      </w:r>
      <w:r w:rsidR="00C45D24" w:rsidRPr="0038045B">
        <w:rPr>
          <w:i/>
          <w:szCs w:val="24"/>
          <w:lang w:val="en-US"/>
        </w:rPr>
        <w:t>“is just an initial step in becoming fully financially included, which involves having access to the whole range of financial products and services that meet the user’s needs. For individuals, for example, credit, insurance, savings and investments are, together with transaction accounts, key elements of the overall package of financial services.”</w:t>
      </w:r>
      <w:r w:rsidR="00CC6B66" w:rsidRPr="0038045B">
        <w:rPr>
          <w:szCs w:val="24"/>
          <w:lang w:val="en-US"/>
        </w:rPr>
        <w:t xml:space="preserve"> In this regard, the PAFI </w:t>
      </w:r>
      <w:r w:rsidR="00C45D24" w:rsidRPr="0038045B">
        <w:rPr>
          <w:szCs w:val="24"/>
          <w:lang w:val="en-US"/>
        </w:rPr>
        <w:t xml:space="preserve">report also stresses the role of accounts as a gateway to other financial services. </w:t>
      </w:r>
    </w:p>
    <w:p w14:paraId="245106B4" w14:textId="77777777" w:rsidR="006E3A15" w:rsidRPr="0038045B" w:rsidRDefault="006E3A15" w:rsidP="00C80F30">
      <w:pPr>
        <w:pStyle w:val="Body"/>
        <w:numPr>
          <w:ilvl w:val="0"/>
          <w:numId w:val="15"/>
        </w:numPr>
        <w:spacing w:after="200" w:line="276" w:lineRule="auto"/>
        <w:ind w:left="0" w:firstLine="0"/>
        <w:rPr>
          <w:szCs w:val="24"/>
          <w:lang w:val="en-US"/>
        </w:rPr>
      </w:pPr>
      <w:r w:rsidRPr="0038045B">
        <w:rPr>
          <w:szCs w:val="24"/>
          <w:lang w:val="en-US"/>
        </w:rPr>
        <w:t xml:space="preserve">Notwithstanding the latter, </w:t>
      </w:r>
      <w:r w:rsidR="00C92EE5" w:rsidRPr="0038045B">
        <w:rPr>
          <w:szCs w:val="24"/>
          <w:lang w:val="en-US"/>
        </w:rPr>
        <w:t xml:space="preserve">the </w:t>
      </w:r>
      <w:r w:rsidRPr="0038045B">
        <w:rPr>
          <w:szCs w:val="24"/>
          <w:lang w:val="en-US"/>
        </w:rPr>
        <w:t xml:space="preserve">PAFI </w:t>
      </w:r>
      <w:r w:rsidR="00317E76" w:rsidRPr="0038045B">
        <w:rPr>
          <w:szCs w:val="24"/>
          <w:lang w:val="en-US"/>
        </w:rPr>
        <w:t>a</w:t>
      </w:r>
      <w:r w:rsidR="003F2166" w:rsidRPr="0038045B">
        <w:rPr>
          <w:szCs w:val="24"/>
          <w:lang w:val="en-US"/>
        </w:rPr>
        <w:t xml:space="preserve">nd other reports </w:t>
      </w:r>
      <w:r w:rsidRPr="0038045B">
        <w:rPr>
          <w:szCs w:val="24"/>
          <w:lang w:val="en-US"/>
        </w:rPr>
        <w:t>also recognize that some individuals</w:t>
      </w:r>
      <w:r w:rsidR="00317E76" w:rsidRPr="0038045B">
        <w:rPr>
          <w:szCs w:val="24"/>
          <w:lang w:val="en-US"/>
        </w:rPr>
        <w:t xml:space="preserve">/microenterprises </w:t>
      </w:r>
      <w:r w:rsidRPr="0038045B">
        <w:rPr>
          <w:szCs w:val="24"/>
          <w:lang w:val="en-US"/>
        </w:rPr>
        <w:t xml:space="preserve">will </w:t>
      </w:r>
      <w:r w:rsidRPr="0038045B">
        <w:rPr>
          <w:i/>
          <w:szCs w:val="24"/>
          <w:lang w:val="en-US"/>
        </w:rPr>
        <w:t>not want</w:t>
      </w:r>
      <w:r w:rsidRPr="0038045B">
        <w:rPr>
          <w:szCs w:val="24"/>
          <w:lang w:val="en-US"/>
        </w:rPr>
        <w:t xml:space="preserve"> to have an account</w:t>
      </w:r>
      <w:r w:rsidR="00317E76" w:rsidRPr="0038045B">
        <w:rPr>
          <w:szCs w:val="24"/>
          <w:lang w:val="en-US"/>
        </w:rPr>
        <w:t>, even if they can afford it</w:t>
      </w:r>
      <w:r w:rsidRPr="0038045B">
        <w:rPr>
          <w:szCs w:val="24"/>
          <w:lang w:val="en-US"/>
        </w:rPr>
        <w:t xml:space="preserve">. These “self-excluded” </w:t>
      </w:r>
      <w:r w:rsidR="002E4231" w:rsidRPr="0038045B">
        <w:rPr>
          <w:szCs w:val="24"/>
          <w:lang w:val="en-US"/>
        </w:rPr>
        <w:t xml:space="preserve">individuals/microenterprises </w:t>
      </w:r>
      <w:r w:rsidRPr="0038045B">
        <w:rPr>
          <w:szCs w:val="24"/>
          <w:lang w:val="en-US"/>
        </w:rPr>
        <w:t>appear to have no incentives or need to operate through accounts. In practice, many of the self-excluded operate under conditions of informality</w:t>
      </w:r>
      <w:r w:rsidR="0092279F" w:rsidRPr="0038045B">
        <w:rPr>
          <w:szCs w:val="24"/>
          <w:lang w:val="en-US"/>
        </w:rPr>
        <w:t>. Labor informality – and economic informality more broadly – not only reduces the demand for accounts but also reduces their overall attractiveness to current and potential users, while at the same time raising the relative attractiveness of cash.</w:t>
      </w:r>
      <w:r w:rsidR="0092279F" w:rsidRPr="0038045B">
        <w:rPr>
          <w:rStyle w:val="FootnoteReference"/>
          <w:szCs w:val="24"/>
          <w:lang w:val="en-US"/>
        </w:rPr>
        <w:footnoteReference w:id="24"/>
      </w:r>
      <w:r w:rsidR="003F2166" w:rsidRPr="0038045B">
        <w:rPr>
          <w:szCs w:val="24"/>
          <w:lang w:val="en-US"/>
        </w:rPr>
        <w:t xml:space="preserve"> </w:t>
      </w:r>
      <w:r w:rsidR="00317E76" w:rsidRPr="0038045B">
        <w:rPr>
          <w:szCs w:val="24"/>
          <w:lang w:val="en-US"/>
        </w:rPr>
        <w:t xml:space="preserve">A general conclusion of this discussion is therefore that individuals and microenterprises need </w:t>
      </w:r>
      <w:r w:rsidR="0084298B" w:rsidRPr="0038045B">
        <w:rPr>
          <w:szCs w:val="24"/>
          <w:lang w:val="en-US"/>
        </w:rPr>
        <w:t xml:space="preserve">also </w:t>
      </w:r>
      <w:r w:rsidR="00317E76" w:rsidRPr="0038045B">
        <w:rPr>
          <w:szCs w:val="24"/>
          <w:lang w:val="en-US"/>
        </w:rPr>
        <w:t xml:space="preserve">to have the right incentives so that they will </w:t>
      </w:r>
      <w:r w:rsidR="00317E76" w:rsidRPr="0038045B">
        <w:rPr>
          <w:i/>
          <w:szCs w:val="24"/>
          <w:lang w:val="en-US"/>
        </w:rPr>
        <w:t>want to be</w:t>
      </w:r>
      <w:r w:rsidR="00317E76" w:rsidRPr="0038045B">
        <w:rPr>
          <w:szCs w:val="24"/>
          <w:lang w:val="en-US"/>
        </w:rPr>
        <w:t xml:space="preserve"> financially included</w:t>
      </w:r>
      <w:r w:rsidR="003F2166" w:rsidRPr="0038045B">
        <w:rPr>
          <w:szCs w:val="24"/>
          <w:lang w:val="en-US"/>
        </w:rPr>
        <w:t xml:space="preserve">. </w:t>
      </w:r>
    </w:p>
    <w:p w14:paraId="537AF265" w14:textId="77777777" w:rsidR="00CC6B66" w:rsidRPr="0038045B" w:rsidRDefault="00CC6B66" w:rsidP="00CC6B66">
      <w:pPr>
        <w:pStyle w:val="Heading3"/>
        <w:spacing w:before="240" w:after="240"/>
        <w:rPr>
          <w:b w:val="0"/>
          <w:i/>
        </w:rPr>
      </w:pPr>
      <w:bookmarkStart w:id="59" w:name="_Toc476239706"/>
      <w:r w:rsidRPr="0038045B">
        <w:rPr>
          <w:b w:val="0"/>
          <w:i/>
        </w:rPr>
        <w:t xml:space="preserve">Other </w:t>
      </w:r>
      <w:r w:rsidR="000C5090" w:rsidRPr="0038045B">
        <w:rPr>
          <w:b w:val="0"/>
          <w:i/>
        </w:rPr>
        <w:t xml:space="preserve">recent </w:t>
      </w:r>
      <w:r w:rsidRPr="0038045B">
        <w:rPr>
          <w:b w:val="0"/>
          <w:i/>
        </w:rPr>
        <w:t>reports</w:t>
      </w:r>
      <w:bookmarkEnd w:id="59"/>
      <w:r w:rsidRPr="0038045B">
        <w:rPr>
          <w:b w:val="0"/>
          <w:i/>
        </w:rPr>
        <w:t xml:space="preserve"> </w:t>
      </w:r>
    </w:p>
    <w:p w14:paraId="2EB1DFB7" w14:textId="77777777" w:rsidR="000C5090" w:rsidRPr="0038045B" w:rsidRDefault="000C5090" w:rsidP="00C80F30">
      <w:pPr>
        <w:pStyle w:val="Body"/>
        <w:numPr>
          <w:ilvl w:val="0"/>
          <w:numId w:val="15"/>
        </w:numPr>
        <w:spacing w:after="200" w:line="276" w:lineRule="auto"/>
        <w:ind w:left="0" w:firstLine="0"/>
        <w:rPr>
          <w:szCs w:val="24"/>
          <w:lang w:val="en-US"/>
        </w:rPr>
      </w:pPr>
      <w:r w:rsidRPr="0038045B">
        <w:rPr>
          <w:szCs w:val="24"/>
          <w:lang w:val="en-US"/>
        </w:rPr>
        <w:t>In the summer of 2016, the G20 High Level Principles for Digital Financial Inclusion were published by the GPFI. This document recognizes the need to support innovation while managing risk and encouraging development of digital financial products and services. The principles are based on the rich experience reflected in G20 and international standard-setting bodies’ standards and guidance (e.g. the PAFI report).</w:t>
      </w:r>
      <w:r w:rsidRPr="0038045B">
        <w:rPr>
          <w:rStyle w:val="FootnoteReference"/>
          <w:szCs w:val="24"/>
          <w:lang w:val="en-US"/>
        </w:rPr>
        <w:footnoteReference w:id="25"/>
      </w:r>
      <w:r w:rsidRPr="0038045B">
        <w:rPr>
          <w:szCs w:val="24"/>
          <w:lang w:val="en-US"/>
        </w:rPr>
        <w:t xml:space="preserve"> </w:t>
      </w:r>
    </w:p>
    <w:p w14:paraId="78E02CD8" w14:textId="77777777" w:rsidR="000C5090" w:rsidRPr="0038045B" w:rsidRDefault="000C5090">
      <w:pPr>
        <w:rPr>
          <w:spacing w:val="-3"/>
          <w:szCs w:val="24"/>
        </w:rPr>
      </w:pPr>
      <w:r w:rsidRPr="0038045B">
        <w:rPr>
          <w:szCs w:val="24"/>
        </w:rPr>
        <w:br w:type="page"/>
      </w:r>
    </w:p>
    <w:p w14:paraId="4B25519B" w14:textId="77777777" w:rsidR="002C2894" w:rsidRPr="0038045B" w:rsidRDefault="002C2894" w:rsidP="00FC1F11">
      <w:pPr>
        <w:pStyle w:val="Heading1"/>
        <w:pageBreakBefore/>
        <w:spacing w:before="120" w:after="240"/>
      </w:pPr>
      <w:bookmarkStart w:id="60" w:name="_Toc476239707"/>
      <w:r w:rsidRPr="0038045B">
        <w:lastRenderedPageBreak/>
        <w:t>BASIC FOUNDATIONS FOR EFFECTIVE FINANCIAL INC</w:t>
      </w:r>
      <w:r w:rsidR="008C40F5" w:rsidRPr="0038045B">
        <w:t>L</w:t>
      </w:r>
      <w:r w:rsidRPr="0038045B">
        <w:t>USION FROM A PAYMENTS PERSPECTIVE</w:t>
      </w:r>
      <w:bookmarkEnd w:id="60"/>
    </w:p>
    <w:p w14:paraId="71B879F4" w14:textId="77777777" w:rsidR="0099251A" w:rsidRPr="0038045B" w:rsidRDefault="0099251A" w:rsidP="00FC1F11">
      <w:pPr>
        <w:pStyle w:val="Heading2"/>
        <w:spacing w:before="360" w:after="240"/>
        <w:rPr>
          <w:b/>
          <w:smallCaps/>
          <w:sz w:val="24"/>
          <w:szCs w:val="24"/>
          <w:u w:val="none"/>
        </w:rPr>
      </w:pPr>
      <w:bookmarkStart w:id="61" w:name="_Toc476239708"/>
      <w:r w:rsidRPr="0038045B">
        <w:rPr>
          <w:b/>
          <w:smallCaps/>
          <w:sz w:val="24"/>
          <w:szCs w:val="24"/>
          <w:u w:val="none"/>
        </w:rPr>
        <w:t>Commitment and coordination of stakeholders for financial inclusion</w:t>
      </w:r>
      <w:bookmarkEnd w:id="61"/>
    </w:p>
    <w:p w14:paraId="4D2B6CE4" w14:textId="77777777" w:rsidR="00976D84" w:rsidRPr="0038045B" w:rsidRDefault="00976D84" w:rsidP="00C80F30">
      <w:pPr>
        <w:pStyle w:val="Body"/>
        <w:numPr>
          <w:ilvl w:val="0"/>
          <w:numId w:val="15"/>
        </w:numPr>
        <w:spacing w:after="200" w:line="276" w:lineRule="auto"/>
        <w:ind w:left="0" w:firstLine="0"/>
        <w:rPr>
          <w:szCs w:val="24"/>
          <w:lang w:val="en-US"/>
        </w:rPr>
      </w:pPr>
      <w:r w:rsidRPr="0038045B">
        <w:rPr>
          <w:szCs w:val="24"/>
          <w:lang w:val="en-US"/>
        </w:rPr>
        <w:t xml:space="preserve">Financial inclusion requires a well-functioning retail payments ecosystem, which is characterized by a </w:t>
      </w:r>
      <w:r w:rsidR="00B00B5D" w:rsidRPr="0038045B">
        <w:rPr>
          <w:szCs w:val="24"/>
          <w:lang w:val="en-US"/>
        </w:rPr>
        <w:t>complex</w:t>
      </w:r>
      <w:r w:rsidRPr="0038045B">
        <w:rPr>
          <w:szCs w:val="24"/>
          <w:lang w:val="en-US"/>
        </w:rPr>
        <w:t xml:space="preserve"> balance between cooperation and competition, safety and efficiency issues, as well as specific regulations for innovative and inclusive payment schemes. Fostering change in such an environment requires the ability to bring together diverse interests, launch policy research and development, change laws, mobilize funding to modernize financial infrastructures, and other similar requirements. Explicit, strong and sustained commitment from public and private sector organizations to broadening financial inclusion </w:t>
      </w:r>
      <w:r w:rsidR="00420B79" w:rsidRPr="0038045B">
        <w:rPr>
          <w:szCs w:val="24"/>
          <w:lang w:val="en-US"/>
        </w:rPr>
        <w:t>is</w:t>
      </w:r>
      <w:r w:rsidRPr="0038045B">
        <w:rPr>
          <w:szCs w:val="24"/>
          <w:lang w:val="en-US"/>
        </w:rPr>
        <w:t xml:space="preserve"> indispensable if this agenda is to be effectively advanced.</w:t>
      </w:r>
    </w:p>
    <w:p w14:paraId="15FD4C5C" w14:textId="77777777" w:rsidR="00976D84" w:rsidRPr="0038045B" w:rsidRDefault="00976D84" w:rsidP="00C80F30">
      <w:pPr>
        <w:pStyle w:val="Body"/>
        <w:numPr>
          <w:ilvl w:val="0"/>
          <w:numId w:val="15"/>
        </w:numPr>
        <w:spacing w:after="200" w:line="276" w:lineRule="auto"/>
        <w:ind w:left="0" w:firstLine="0"/>
        <w:rPr>
          <w:szCs w:val="24"/>
          <w:lang w:val="en-US"/>
        </w:rPr>
      </w:pPr>
      <w:r w:rsidRPr="0038045B">
        <w:rPr>
          <w:szCs w:val="24"/>
          <w:lang w:val="en-US"/>
        </w:rPr>
        <w:t>Public sector authorities play a key role in creating an adequate enabling environment for financial inclusion in their respective jurisdictions. For example, many central banks are already working to better leverage the various roles they play in the retail payments space for this purpose.</w:t>
      </w:r>
    </w:p>
    <w:p w14:paraId="31671D9F" w14:textId="77777777" w:rsidR="00976D84" w:rsidRPr="0038045B" w:rsidRDefault="00976D84" w:rsidP="00C80F30">
      <w:pPr>
        <w:pStyle w:val="Body"/>
        <w:numPr>
          <w:ilvl w:val="0"/>
          <w:numId w:val="15"/>
        </w:numPr>
        <w:spacing w:after="200" w:line="276" w:lineRule="auto"/>
        <w:ind w:left="0" w:firstLine="0"/>
        <w:rPr>
          <w:szCs w:val="24"/>
          <w:lang w:val="en-US"/>
        </w:rPr>
      </w:pPr>
      <w:r w:rsidRPr="0038045B">
        <w:rPr>
          <w:szCs w:val="24"/>
          <w:lang w:val="en-US"/>
        </w:rPr>
        <w:t>Strong commitment from the private sector has also proved valuable in efforts to further the reach of transaction accounts that meet the needs of the unserved or underserved. In several cases the industry has led the effort to provide basic accounts in their respective jurisdictions.</w:t>
      </w:r>
    </w:p>
    <w:p w14:paraId="5BE81914" w14:textId="77777777" w:rsidR="00976D84" w:rsidRPr="0038045B" w:rsidRDefault="006005B4" w:rsidP="00976D84">
      <w:pPr>
        <w:pStyle w:val="Heading3"/>
        <w:spacing w:before="240" w:after="240"/>
        <w:rPr>
          <w:b w:val="0"/>
          <w:i/>
        </w:rPr>
      </w:pPr>
      <w:bookmarkStart w:id="62" w:name="_Toc432688758"/>
      <w:bookmarkStart w:id="63" w:name="_Toc476239709"/>
      <w:r w:rsidRPr="0038045B">
        <w:rPr>
          <w:b w:val="0"/>
          <w:i/>
        </w:rPr>
        <w:t>Financial inclusion initiatives in Albania</w:t>
      </w:r>
      <w:bookmarkEnd w:id="62"/>
      <w:bookmarkEnd w:id="63"/>
    </w:p>
    <w:p w14:paraId="7216F692" w14:textId="77777777" w:rsidR="00EF3147" w:rsidRPr="0038045B" w:rsidRDefault="00EF3147" w:rsidP="00EF3147">
      <w:pPr>
        <w:pStyle w:val="Body"/>
        <w:numPr>
          <w:ilvl w:val="0"/>
          <w:numId w:val="15"/>
        </w:numPr>
        <w:autoSpaceDE w:val="0"/>
        <w:autoSpaceDN w:val="0"/>
        <w:adjustRightInd w:val="0"/>
        <w:spacing w:after="200" w:line="276" w:lineRule="auto"/>
        <w:ind w:left="0" w:firstLine="0"/>
        <w:rPr>
          <w:szCs w:val="24"/>
          <w:lang w:val="en-US"/>
        </w:rPr>
      </w:pPr>
      <w:r w:rsidRPr="0038045B">
        <w:rPr>
          <w:lang w:val="en-US"/>
        </w:rPr>
        <w:t xml:space="preserve">Albania does not have a formal financial inclusion strategy in place, neither from public sector authorities nor from the banking industry (or the wider financial sector industry). Nevertheless, in practice several initiatives have been taken in this area, the leading organizations being </w:t>
      </w:r>
      <w:r w:rsidR="00AC2385" w:rsidRPr="0038045B">
        <w:rPr>
          <w:lang w:val="en-US"/>
        </w:rPr>
        <w:t xml:space="preserve">the </w:t>
      </w:r>
      <w:r w:rsidRPr="0038045B">
        <w:rPr>
          <w:lang w:val="en-US"/>
        </w:rPr>
        <w:t>B</w:t>
      </w:r>
      <w:r w:rsidR="0011536C" w:rsidRPr="0038045B">
        <w:rPr>
          <w:lang w:val="en-US"/>
        </w:rPr>
        <w:t>oA</w:t>
      </w:r>
      <w:r w:rsidRPr="0038045B">
        <w:rPr>
          <w:lang w:val="en-US"/>
        </w:rPr>
        <w:t xml:space="preserve">, the Albanian </w:t>
      </w:r>
      <w:r w:rsidR="006B4C29" w:rsidRPr="0038045B">
        <w:rPr>
          <w:lang w:val="en-US"/>
        </w:rPr>
        <w:t>Association of Banks</w:t>
      </w:r>
      <w:r w:rsidRPr="0038045B">
        <w:rPr>
          <w:lang w:val="en-US"/>
        </w:rPr>
        <w:t>, the Ministry for Innovation and Public Administration, and the Ministry of Education and Sport</w:t>
      </w:r>
      <w:r w:rsidR="0011536C" w:rsidRPr="0038045B">
        <w:rPr>
          <w:lang w:val="en-US"/>
        </w:rPr>
        <w:t>, among others.</w:t>
      </w:r>
    </w:p>
    <w:p w14:paraId="75FE24DD" w14:textId="77777777" w:rsidR="002A06BB" w:rsidRPr="0038045B" w:rsidRDefault="002A06BB" w:rsidP="002A06BB">
      <w:pPr>
        <w:pStyle w:val="Body"/>
        <w:numPr>
          <w:ilvl w:val="0"/>
          <w:numId w:val="15"/>
        </w:numPr>
        <w:autoSpaceDE w:val="0"/>
        <w:autoSpaceDN w:val="0"/>
        <w:adjustRightInd w:val="0"/>
        <w:spacing w:after="200" w:line="276" w:lineRule="auto"/>
        <w:ind w:left="0" w:firstLine="0"/>
        <w:rPr>
          <w:lang w:val="en-US"/>
        </w:rPr>
      </w:pPr>
      <w:r w:rsidRPr="0038045B">
        <w:rPr>
          <w:lang w:val="en-US"/>
        </w:rPr>
        <w:t>In this last regard, in 2015 the National Payment System Committee (NPSC) launched its Mid-Term Strategy for 2015-2020.</w:t>
      </w:r>
      <w:r w:rsidR="00844A23" w:rsidRPr="0038045B">
        <w:rPr>
          <w:rStyle w:val="FootnoteReference"/>
          <w:lang w:val="en-US"/>
        </w:rPr>
        <w:footnoteReference w:id="26"/>
      </w:r>
      <w:r w:rsidRPr="0038045B">
        <w:rPr>
          <w:lang w:val="en-US"/>
        </w:rPr>
        <w:t xml:space="preserve"> Objective number 7 </w:t>
      </w:r>
      <w:r w:rsidR="0011536C" w:rsidRPr="0038045B">
        <w:rPr>
          <w:lang w:val="en-US"/>
        </w:rPr>
        <w:t xml:space="preserve">of the Mid-Term Strategy </w:t>
      </w:r>
      <w:r w:rsidRPr="0038045B">
        <w:rPr>
          <w:lang w:val="en-US"/>
        </w:rPr>
        <w:t>is focused on “</w:t>
      </w:r>
      <w:r w:rsidRPr="0038045B">
        <w:rPr>
          <w:i/>
          <w:lang w:val="en-US"/>
        </w:rPr>
        <w:t>promoting the use of payment instruments and systems, and expanding financial inclusion</w:t>
      </w:r>
      <w:r w:rsidRPr="0038045B">
        <w:rPr>
          <w:lang w:val="en-US"/>
        </w:rPr>
        <w:t>”. Th</w:t>
      </w:r>
      <w:r w:rsidR="00FD00EC" w:rsidRPr="0038045B">
        <w:rPr>
          <w:lang w:val="en-US"/>
        </w:rPr>
        <w:t xml:space="preserve">e strategy also describes a number of measures for achieving these and other </w:t>
      </w:r>
      <w:r w:rsidR="0011536C" w:rsidRPr="0038045B">
        <w:rPr>
          <w:lang w:val="en-US"/>
        </w:rPr>
        <w:t>objective</w:t>
      </w:r>
      <w:r w:rsidR="00FD00EC" w:rsidRPr="0038045B">
        <w:rPr>
          <w:lang w:val="en-US"/>
        </w:rPr>
        <w:t>s. These measures include</w:t>
      </w:r>
      <w:r w:rsidRPr="0038045B">
        <w:rPr>
          <w:lang w:val="en-US"/>
        </w:rPr>
        <w:t xml:space="preserve">: </w:t>
      </w:r>
      <w:r w:rsidR="0011536C" w:rsidRPr="0038045B">
        <w:rPr>
          <w:lang w:val="en-US"/>
        </w:rPr>
        <w:t xml:space="preserve">i) </w:t>
      </w:r>
      <w:r w:rsidRPr="0038045B">
        <w:rPr>
          <w:lang w:val="en-US"/>
        </w:rPr>
        <w:t xml:space="preserve">Implementation of the European Union Directive “On payment services in the internal market”; </w:t>
      </w:r>
      <w:r w:rsidR="0011536C" w:rsidRPr="0038045B">
        <w:rPr>
          <w:lang w:val="en-US"/>
        </w:rPr>
        <w:t xml:space="preserve">ii) </w:t>
      </w:r>
      <w:r w:rsidRPr="0038045B">
        <w:rPr>
          <w:lang w:val="en-US"/>
        </w:rPr>
        <w:t>Creation of a strategy for reducing costs of payment instruments based on the B</w:t>
      </w:r>
      <w:r w:rsidR="0011536C" w:rsidRPr="0038045B">
        <w:rPr>
          <w:lang w:val="en-US"/>
        </w:rPr>
        <w:t>oA</w:t>
      </w:r>
      <w:r w:rsidRPr="0038045B">
        <w:rPr>
          <w:lang w:val="en-US"/>
        </w:rPr>
        <w:t xml:space="preserve"> </w:t>
      </w:r>
      <w:r w:rsidR="0011536C" w:rsidRPr="0038045B">
        <w:rPr>
          <w:lang w:val="en-US"/>
        </w:rPr>
        <w:t xml:space="preserve">study </w:t>
      </w:r>
      <w:r w:rsidRPr="0038045B">
        <w:rPr>
          <w:lang w:val="en-US"/>
        </w:rPr>
        <w:t xml:space="preserve">in collaboration with the World Bank “On measurements of costs of payment instruments”; </w:t>
      </w:r>
      <w:r w:rsidR="0011536C" w:rsidRPr="0038045B">
        <w:rPr>
          <w:lang w:val="en-US"/>
        </w:rPr>
        <w:t xml:space="preserve">and, iii) </w:t>
      </w:r>
      <w:r w:rsidRPr="0038045B">
        <w:rPr>
          <w:lang w:val="en-US"/>
        </w:rPr>
        <w:t xml:space="preserve">Study of needs and opportunities </w:t>
      </w:r>
      <w:r w:rsidRPr="0038045B">
        <w:rPr>
          <w:lang w:val="en-US"/>
        </w:rPr>
        <w:lastRenderedPageBreak/>
        <w:t>for</w:t>
      </w:r>
      <w:r w:rsidR="0011536C" w:rsidRPr="0038045B">
        <w:rPr>
          <w:lang w:val="en-US"/>
        </w:rPr>
        <w:t>: expanding the ATM and POS networks – including by i</w:t>
      </w:r>
      <w:r w:rsidRPr="0038045B">
        <w:rPr>
          <w:lang w:val="en-US"/>
        </w:rPr>
        <w:t xml:space="preserve">nstalling POS terminals in central and local </w:t>
      </w:r>
      <w:r w:rsidR="0011536C" w:rsidRPr="0038045B">
        <w:rPr>
          <w:lang w:val="en-US"/>
        </w:rPr>
        <w:t xml:space="preserve">government </w:t>
      </w:r>
      <w:r w:rsidRPr="0038045B">
        <w:rPr>
          <w:lang w:val="en-US"/>
        </w:rPr>
        <w:t>institutions</w:t>
      </w:r>
      <w:r w:rsidR="0011536C" w:rsidRPr="0038045B">
        <w:rPr>
          <w:lang w:val="en-US"/>
        </w:rPr>
        <w:t xml:space="preserve">; increasing the number of other financial services access points; enabling </w:t>
      </w:r>
      <w:r w:rsidRPr="0038045B">
        <w:rPr>
          <w:lang w:val="en-US"/>
        </w:rPr>
        <w:t xml:space="preserve">payments to </w:t>
      </w:r>
      <w:r w:rsidR="0011536C" w:rsidRPr="0038045B">
        <w:rPr>
          <w:lang w:val="en-US"/>
        </w:rPr>
        <w:t xml:space="preserve">government entities and for </w:t>
      </w:r>
      <w:r w:rsidRPr="0038045B">
        <w:rPr>
          <w:lang w:val="en-US"/>
        </w:rPr>
        <w:t xml:space="preserve">public services </w:t>
      </w:r>
      <w:r w:rsidR="0011536C" w:rsidRPr="0038045B">
        <w:rPr>
          <w:lang w:val="en-US"/>
        </w:rPr>
        <w:t xml:space="preserve">to be made </w:t>
      </w:r>
      <w:r w:rsidRPr="0038045B">
        <w:rPr>
          <w:lang w:val="en-US"/>
        </w:rPr>
        <w:t>through means of telecommunications</w:t>
      </w:r>
      <w:r w:rsidR="0011536C" w:rsidRPr="0038045B">
        <w:rPr>
          <w:lang w:val="en-US"/>
        </w:rPr>
        <w:t>; and</w:t>
      </w:r>
      <w:r w:rsidR="002519E9" w:rsidRPr="0038045B">
        <w:rPr>
          <w:lang w:val="en-US"/>
        </w:rPr>
        <w:t>,</w:t>
      </w:r>
      <w:r w:rsidR="0011536C" w:rsidRPr="0038045B">
        <w:rPr>
          <w:lang w:val="en-US"/>
        </w:rPr>
        <w:t xml:space="preserve"> de</w:t>
      </w:r>
      <w:r w:rsidRPr="0038045B">
        <w:rPr>
          <w:lang w:val="en-US"/>
        </w:rPr>
        <w:t xml:space="preserve">veloping e-commerce. </w:t>
      </w:r>
    </w:p>
    <w:p w14:paraId="31D92CCB" w14:textId="77777777" w:rsidR="00EF3147" w:rsidRPr="0038045B" w:rsidRDefault="00FF3FD8" w:rsidP="00EF3147">
      <w:pPr>
        <w:pStyle w:val="Body"/>
        <w:numPr>
          <w:ilvl w:val="0"/>
          <w:numId w:val="15"/>
        </w:numPr>
        <w:autoSpaceDE w:val="0"/>
        <w:autoSpaceDN w:val="0"/>
        <w:adjustRightInd w:val="0"/>
        <w:spacing w:after="200" w:line="276" w:lineRule="auto"/>
        <w:ind w:left="0" w:firstLine="0"/>
        <w:rPr>
          <w:szCs w:val="24"/>
          <w:lang w:val="en-US"/>
        </w:rPr>
      </w:pPr>
      <w:r w:rsidRPr="0038045B">
        <w:rPr>
          <w:lang w:val="en-US"/>
        </w:rPr>
        <w:t xml:space="preserve">Moreover, </w:t>
      </w:r>
      <w:r w:rsidR="00AE5109" w:rsidRPr="0038045B">
        <w:rPr>
          <w:lang w:val="en-US"/>
        </w:rPr>
        <w:t xml:space="preserve">the </w:t>
      </w:r>
      <w:r w:rsidR="00EF3147" w:rsidRPr="0038045B">
        <w:rPr>
          <w:lang w:val="en-US"/>
        </w:rPr>
        <w:t xml:space="preserve">Ministry of Innovation and Public Administration </w:t>
      </w:r>
      <w:r w:rsidR="0011536C" w:rsidRPr="0038045B">
        <w:rPr>
          <w:lang w:val="en-US"/>
        </w:rPr>
        <w:t xml:space="preserve">recently </w:t>
      </w:r>
      <w:r w:rsidR="00EF3147" w:rsidRPr="0038045B">
        <w:rPr>
          <w:lang w:val="en-US"/>
        </w:rPr>
        <w:t xml:space="preserve">launched </w:t>
      </w:r>
      <w:r w:rsidR="0011536C" w:rsidRPr="0038045B">
        <w:rPr>
          <w:lang w:val="en-US"/>
        </w:rPr>
        <w:t>a Digital</w:t>
      </w:r>
      <w:r w:rsidR="00EF3147" w:rsidRPr="0038045B">
        <w:rPr>
          <w:lang w:val="en-US"/>
        </w:rPr>
        <w:t xml:space="preserve"> Agenda Strategy 2015-2020. </w:t>
      </w:r>
      <w:r w:rsidR="0011536C" w:rsidRPr="0038045B">
        <w:rPr>
          <w:lang w:val="en-US"/>
        </w:rPr>
        <w:t>The cross-cutting s</w:t>
      </w:r>
      <w:r w:rsidR="00EF3147" w:rsidRPr="0038045B">
        <w:rPr>
          <w:lang w:val="en-US"/>
        </w:rPr>
        <w:t>trategy aims toward</w:t>
      </w:r>
      <w:r w:rsidR="0011536C" w:rsidRPr="0038045B">
        <w:rPr>
          <w:lang w:val="en-US"/>
        </w:rPr>
        <w:t>s</w:t>
      </w:r>
      <w:r w:rsidR="00EF3147" w:rsidRPr="0038045B">
        <w:rPr>
          <w:lang w:val="en-US"/>
        </w:rPr>
        <w:t xml:space="preserve"> </w:t>
      </w:r>
      <w:r w:rsidR="0011536C" w:rsidRPr="0038045B">
        <w:rPr>
          <w:lang w:val="en-US"/>
        </w:rPr>
        <w:t>a</w:t>
      </w:r>
      <w:r w:rsidR="00EF3147" w:rsidRPr="0038045B">
        <w:rPr>
          <w:lang w:val="en-US"/>
        </w:rPr>
        <w:t xml:space="preserve"> more coordinated and efficient direction of investments in the Information and Communications</w:t>
      </w:r>
      <w:r w:rsidR="00AE5109" w:rsidRPr="0038045B">
        <w:rPr>
          <w:lang w:val="en-US"/>
        </w:rPr>
        <w:t xml:space="preserve"> </w:t>
      </w:r>
      <w:r w:rsidR="001E6340" w:rsidRPr="0038045B">
        <w:rPr>
          <w:lang w:val="en-US"/>
        </w:rPr>
        <w:t xml:space="preserve">Technologies </w:t>
      </w:r>
      <w:r w:rsidR="00AE5109" w:rsidRPr="0038045B">
        <w:rPr>
          <w:lang w:val="en-US"/>
        </w:rPr>
        <w:t>(ICT)</w:t>
      </w:r>
      <w:r w:rsidR="0011536C" w:rsidRPr="0038045B">
        <w:rPr>
          <w:lang w:val="en-US"/>
        </w:rPr>
        <w:t xml:space="preserve"> sector</w:t>
      </w:r>
      <w:r w:rsidR="00EF3147" w:rsidRPr="0038045B">
        <w:rPr>
          <w:lang w:val="en-US"/>
        </w:rPr>
        <w:t>, with emphasis o</w:t>
      </w:r>
      <w:r w:rsidR="0011536C" w:rsidRPr="0038045B">
        <w:rPr>
          <w:lang w:val="en-US"/>
        </w:rPr>
        <w:t>n</w:t>
      </w:r>
      <w:r w:rsidR="00EF3147" w:rsidRPr="0038045B">
        <w:rPr>
          <w:lang w:val="en-US"/>
        </w:rPr>
        <w:t xml:space="preserve"> providing quality services for citizens and </w:t>
      </w:r>
      <w:r w:rsidR="0011536C" w:rsidRPr="0038045B">
        <w:rPr>
          <w:lang w:val="en-US"/>
        </w:rPr>
        <w:t xml:space="preserve">improving quality of life </w:t>
      </w:r>
      <w:r w:rsidR="00EF3147" w:rsidRPr="0038045B">
        <w:rPr>
          <w:lang w:val="en-US"/>
        </w:rPr>
        <w:t xml:space="preserve">through innovation. The Strategy </w:t>
      </w:r>
      <w:r w:rsidR="0011536C" w:rsidRPr="0038045B">
        <w:rPr>
          <w:lang w:val="en-US"/>
        </w:rPr>
        <w:t xml:space="preserve">supports </w:t>
      </w:r>
      <w:r w:rsidR="00EF3147" w:rsidRPr="0038045B">
        <w:rPr>
          <w:lang w:val="en-US"/>
        </w:rPr>
        <w:t>the objectives of the Government Transformation Strategy in the field of development of electronic and interactive provision of public services for citizens and businesses.</w:t>
      </w:r>
      <w:r w:rsidR="00AE5109" w:rsidRPr="0038045B">
        <w:rPr>
          <w:lang w:val="en-US"/>
        </w:rPr>
        <w:t xml:space="preserve"> While the Digital Agenda Strategy could help materialize important pre-conditions for financial inclusion in Albania (see section 3.3.3), the Strategy itself does not include any specific references to achieving broader adoption of accounts and other financial services by individuals and firms in Albania.</w:t>
      </w:r>
    </w:p>
    <w:p w14:paraId="739840FC" w14:textId="77777777" w:rsidR="00976D84" w:rsidRPr="0038045B" w:rsidRDefault="00976D84" w:rsidP="00976D84">
      <w:pPr>
        <w:keepNext/>
        <w:spacing w:before="360" w:after="200" w:line="276" w:lineRule="auto"/>
        <w:jc w:val="both"/>
        <w:rPr>
          <w:b/>
          <w:i/>
          <w:szCs w:val="24"/>
          <w:lang w:eastAsia="en-US"/>
        </w:rPr>
      </w:pPr>
      <w:r w:rsidRPr="0038045B">
        <w:rPr>
          <w:b/>
          <w:i/>
          <w:szCs w:val="24"/>
          <w:lang w:eastAsia="en-US"/>
        </w:rPr>
        <w:t>Observations and Recommendations</w:t>
      </w:r>
    </w:p>
    <w:p w14:paraId="3301EA33" w14:textId="77777777" w:rsidR="00FF3FD8" w:rsidRPr="0038045B" w:rsidRDefault="00FF3FD8" w:rsidP="00FF3FD8">
      <w:pPr>
        <w:pStyle w:val="Body"/>
        <w:numPr>
          <w:ilvl w:val="0"/>
          <w:numId w:val="15"/>
        </w:numPr>
        <w:spacing w:after="200" w:line="276" w:lineRule="auto"/>
        <w:ind w:left="0" w:firstLine="0"/>
        <w:rPr>
          <w:i/>
          <w:lang w:val="en-US"/>
        </w:rPr>
      </w:pPr>
      <w:r w:rsidRPr="0038045B">
        <w:rPr>
          <w:i/>
          <w:lang w:val="en-US"/>
        </w:rPr>
        <w:t xml:space="preserve">Other than the reference to financial inclusion in </w:t>
      </w:r>
      <w:r w:rsidR="00844A23" w:rsidRPr="0038045B">
        <w:rPr>
          <w:i/>
          <w:lang w:val="en-US"/>
        </w:rPr>
        <w:t xml:space="preserve">Objective 7 of </w:t>
      </w:r>
      <w:r w:rsidRPr="0038045B">
        <w:rPr>
          <w:i/>
          <w:lang w:val="en-US"/>
        </w:rPr>
        <w:t xml:space="preserve">the NPSC’s Mid-Term Strategy, in Albania there is no explicit commitment </w:t>
      </w:r>
      <w:r w:rsidR="00844A23" w:rsidRPr="0038045B">
        <w:rPr>
          <w:i/>
          <w:lang w:val="en-US"/>
        </w:rPr>
        <w:t xml:space="preserve">from </w:t>
      </w:r>
      <w:r w:rsidRPr="0038045B">
        <w:rPr>
          <w:i/>
          <w:lang w:val="en-US"/>
        </w:rPr>
        <w:t>public authorities and</w:t>
      </w:r>
      <w:r w:rsidR="00844A23" w:rsidRPr="0038045B">
        <w:rPr>
          <w:i/>
          <w:lang w:val="en-US"/>
        </w:rPr>
        <w:t xml:space="preserve">/or the financial services </w:t>
      </w:r>
      <w:r w:rsidRPr="0038045B">
        <w:rPr>
          <w:i/>
          <w:lang w:val="en-US"/>
        </w:rPr>
        <w:t xml:space="preserve">industry to foster or promote financial inclusion. </w:t>
      </w:r>
      <w:r w:rsidRPr="0038045B">
        <w:rPr>
          <w:i/>
          <w:szCs w:val="24"/>
          <w:lang w:val="en-US"/>
        </w:rPr>
        <w:t>At the global level, as of the end of 2014 more than 50 countries had made headline financial inclusion commitments</w:t>
      </w:r>
      <w:r w:rsidR="00844A23" w:rsidRPr="0038045B">
        <w:rPr>
          <w:i/>
          <w:szCs w:val="24"/>
          <w:lang w:val="en-US"/>
        </w:rPr>
        <w:t>, and m</w:t>
      </w:r>
      <w:r w:rsidRPr="0038045B">
        <w:rPr>
          <w:i/>
          <w:szCs w:val="24"/>
          <w:lang w:val="en-US"/>
        </w:rPr>
        <w:t xml:space="preserve">any of them are developing </w:t>
      </w:r>
      <w:r w:rsidR="00844A23" w:rsidRPr="0038045B">
        <w:rPr>
          <w:i/>
          <w:szCs w:val="24"/>
          <w:lang w:val="en-US"/>
        </w:rPr>
        <w:t xml:space="preserve">explicit strategies, often referred to as </w:t>
      </w:r>
      <w:r w:rsidRPr="0038045B">
        <w:rPr>
          <w:i/>
          <w:szCs w:val="24"/>
          <w:lang w:val="en-US"/>
        </w:rPr>
        <w:t>National Financial Inclusion Strategies (NFIS)</w:t>
      </w:r>
      <w:r w:rsidR="00844A23" w:rsidRPr="0038045B">
        <w:rPr>
          <w:i/>
          <w:szCs w:val="24"/>
          <w:lang w:val="en-US"/>
        </w:rPr>
        <w:t>,</w:t>
      </w:r>
      <w:r w:rsidRPr="0038045B">
        <w:rPr>
          <w:i/>
          <w:szCs w:val="24"/>
          <w:lang w:val="en-US"/>
        </w:rPr>
        <w:t xml:space="preserve"> to ensure that resources and actions are put in place </w:t>
      </w:r>
      <w:r w:rsidR="00844A23" w:rsidRPr="0038045B">
        <w:rPr>
          <w:i/>
          <w:szCs w:val="24"/>
          <w:lang w:val="en-US"/>
        </w:rPr>
        <w:t xml:space="preserve">in a coordinate fashion </w:t>
      </w:r>
      <w:r w:rsidRPr="0038045B">
        <w:rPr>
          <w:i/>
          <w:szCs w:val="24"/>
          <w:lang w:val="en-US"/>
        </w:rPr>
        <w:t>to achieve those commitments.</w:t>
      </w:r>
    </w:p>
    <w:p w14:paraId="6B827AAB" w14:textId="77777777" w:rsidR="00F64EFF" w:rsidRPr="0038045B" w:rsidRDefault="00F278F0" w:rsidP="00F64EFF">
      <w:pPr>
        <w:pStyle w:val="Body"/>
        <w:numPr>
          <w:ilvl w:val="0"/>
          <w:numId w:val="15"/>
        </w:numPr>
        <w:spacing w:after="200" w:line="276" w:lineRule="auto"/>
        <w:ind w:left="0" w:firstLine="0"/>
        <w:rPr>
          <w:i/>
          <w:szCs w:val="24"/>
          <w:lang w:val="en-US"/>
        </w:rPr>
      </w:pPr>
      <w:r w:rsidRPr="0038045B">
        <w:rPr>
          <w:i/>
          <w:szCs w:val="24"/>
          <w:lang w:val="en-US"/>
        </w:rPr>
        <w:t>Albania could benefit from putting in place a NFIS</w:t>
      </w:r>
      <w:r w:rsidR="00F64EFF" w:rsidRPr="0038045B">
        <w:rPr>
          <w:i/>
          <w:szCs w:val="24"/>
          <w:lang w:val="en-US"/>
        </w:rPr>
        <w:t xml:space="preserve"> that </w:t>
      </w:r>
      <w:r w:rsidRPr="0038045B">
        <w:rPr>
          <w:i/>
          <w:szCs w:val="24"/>
          <w:lang w:val="en-US"/>
        </w:rPr>
        <w:t>include</w:t>
      </w:r>
      <w:r w:rsidR="00F64EFF" w:rsidRPr="0038045B">
        <w:rPr>
          <w:i/>
          <w:szCs w:val="24"/>
          <w:lang w:val="en-US"/>
        </w:rPr>
        <w:t>s</w:t>
      </w:r>
      <w:r w:rsidRPr="0038045B">
        <w:rPr>
          <w:i/>
          <w:szCs w:val="24"/>
          <w:lang w:val="en-US"/>
        </w:rPr>
        <w:t xml:space="preserve"> </w:t>
      </w:r>
      <w:r w:rsidR="00F64EFF" w:rsidRPr="0038045B">
        <w:rPr>
          <w:i/>
          <w:szCs w:val="24"/>
          <w:lang w:val="en-US"/>
        </w:rPr>
        <w:t xml:space="preserve">explicit and </w:t>
      </w:r>
      <w:r w:rsidRPr="0038045B">
        <w:rPr>
          <w:i/>
          <w:szCs w:val="24"/>
          <w:lang w:val="en-US"/>
        </w:rPr>
        <w:t xml:space="preserve">specific goals and strategies for advancing access to and usage of the various financial services that should be broadly available to individuals and </w:t>
      </w:r>
      <w:r w:rsidR="00827AEB" w:rsidRPr="0038045B">
        <w:rPr>
          <w:i/>
          <w:szCs w:val="24"/>
          <w:lang w:val="en-US"/>
        </w:rPr>
        <w:t>businesses</w:t>
      </w:r>
      <w:r w:rsidR="00F64EFF" w:rsidRPr="0038045B">
        <w:rPr>
          <w:i/>
          <w:szCs w:val="24"/>
          <w:lang w:val="en-US"/>
        </w:rPr>
        <w:t>,</w:t>
      </w:r>
      <w:r w:rsidRPr="0038045B">
        <w:rPr>
          <w:i/>
          <w:szCs w:val="24"/>
          <w:lang w:val="en-US"/>
        </w:rPr>
        <w:t xml:space="preserve"> like </w:t>
      </w:r>
      <w:r w:rsidR="00F64EFF" w:rsidRPr="0038045B">
        <w:rPr>
          <w:i/>
          <w:szCs w:val="24"/>
          <w:lang w:val="en-US"/>
        </w:rPr>
        <w:t xml:space="preserve">bank and other </w:t>
      </w:r>
      <w:r w:rsidRPr="0038045B">
        <w:rPr>
          <w:i/>
          <w:szCs w:val="24"/>
          <w:lang w:val="en-US"/>
        </w:rPr>
        <w:t>transaction accounts, credit, savings and insurance</w:t>
      </w:r>
      <w:r w:rsidR="00F64EFF" w:rsidRPr="0038045B">
        <w:rPr>
          <w:i/>
          <w:szCs w:val="24"/>
          <w:lang w:val="en-US"/>
        </w:rPr>
        <w:t>.</w:t>
      </w:r>
      <w:r w:rsidR="00665182" w:rsidRPr="0038045B">
        <w:rPr>
          <w:i/>
          <w:szCs w:val="24"/>
          <w:lang w:val="en-US"/>
        </w:rPr>
        <w:t xml:space="preserve"> In this context, it should also be noted that strong commitment from the private sector is always crucial. Actually, in various cases the industry has led the effort to provide bank/other transaction accounts in their respective jurisdiction.</w:t>
      </w:r>
    </w:p>
    <w:p w14:paraId="07A8F1A7" w14:textId="77777777" w:rsidR="007A5FCE" w:rsidRPr="0038045B" w:rsidRDefault="008F6F8D" w:rsidP="00F64EFF">
      <w:pPr>
        <w:pStyle w:val="Body"/>
        <w:numPr>
          <w:ilvl w:val="0"/>
          <w:numId w:val="15"/>
        </w:numPr>
        <w:spacing w:after="200" w:line="276" w:lineRule="auto"/>
        <w:ind w:left="0" w:firstLine="0"/>
        <w:rPr>
          <w:i/>
          <w:szCs w:val="24"/>
          <w:lang w:val="en-US"/>
        </w:rPr>
      </w:pPr>
      <w:r w:rsidRPr="0038045B">
        <w:rPr>
          <w:i/>
          <w:szCs w:val="24"/>
          <w:lang w:val="en-US"/>
        </w:rPr>
        <w:t xml:space="preserve">NFIS rely on a </w:t>
      </w:r>
      <w:r w:rsidR="008A318B" w:rsidRPr="0038045B">
        <w:rPr>
          <w:i/>
          <w:szCs w:val="24"/>
          <w:lang w:val="en-US"/>
        </w:rPr>
        <w:t>leadership/</w:t>
      </w:r>
      <w:r w:rsidRPr="0038045B">
        <w:rPr>
          <w:i/>
          <w:szCs w:val="24"/>
          <w:lang w:val="en-US"/>
        </w:rPr>
        <w:t>coordination structure, sometimes referred to as a “</w:t>
      </w:r>
      <w:r w:rsidR="00F64EFF" w:rsidRPr="0038045B">
        <w:rPr>
          <w:i/>
          <w:szCs w:val="24"/>
          <w:lang w:val="en-US"/>
        </w:rPr>
        <w:t>F</w:t>
      </w:r>
      <w:r w:rsidRPr="0038045B">
        <w:rPr>
          <w:i/>
          <w:szCs w:val="24"/>
          <w:lang w:val="en-US"/>
        </w:rPr>
        <w:t xml:space="preserve">inancial </w:t>
      </w:r>
      <w:r w:rsidR="00F64EFF" w:rsidRPr="0038045B">
        <w:rPr>
          <w:i/>
          <w:szCs w:val="24"/>
          <w:lang w:val="en-US"/>
        </w:rPr>
        <w:t>I</w:t>
      </w:r>
      <w:r w:rsidRPr="0038045B">
        <w:rPr>
          <w:i/>
          <w:szCs w:val="24"/>
          <w:lang w:val="en-US"/>
        </w:rPr>
        <w:t xml:space="preserve">nclusion </w:t>
      </w:r>
      <w:r w:rsidR="00F64EFF" w:rsidRPr="0038045B">
        <w:rPr>
          <w:i/>
          <w:szCs w:val="24"/>
          <w:lang w:val="en-US"/>
        </w:rPr>
        <w:t>C</w:t>
      </w:r>
      <w:r w:rsidRPr="0038045B">
        <w:rPr>
          <w:i/>
          <w:szCs w:val="24"/>
          <w:lang w:val="en-US"/>
        </w:rPr>
        <w:t xml:space="preserve">ouncil” or equivalent, to </w:t>
      </w:r>
      <w:r w:rsidR="00F278F0" w:rsidRPr="0038045B">
        <w:rPr>
          <w:i/>
          <w:szCs w:val="24"/>
          <w:lang w:val="en-US"/>
        </w:rPr>
        <w:t>coordinate efforts with all relevant main stakeholders, define responsibilities among them, and state a clear planning of resources</w:t>
      </w:r>
      <w:r w:rsidRPr="0038045B">
        <w:rPr>
          <w:i/>
          <w:szCs w:val="24"/>
          <w:lang w:val="en-US"/>
        </w:rPr>
        <w:t xml:space="preserve"> (e.g. by p</w:t>
      </w:r>
      <w:r w:rsidR="00F278F0" w:rsidRPr="0038045B">
        <w:rPr>
          <w:i/>
          <w:szCs w:val="24"/>
          <w:lang w:val="en-US"/>
        </w:rPr>
        <w:t>rioritizing targets</w:t>
      </w:r>
      <w:r w:rsidRPr="0038045B">
        <w:rPr>
          <w:i/>
          <w:szCs w:val="24"/>
          <w:lang w:val="en-US"/>
        </w:rPr>
        <w:t>)</w:t>
      </w:r>
      <w:r w:rsidR="00F278F0" w:rsidRPr="0038045B">
        <w:rPr>
          <w:i/>
          <w:szCs w:val="24"/>
          <w:lang w:val="en-US"/>
        </w:rPr>
        <w:t xml:space="preserve">. </w:t>
      </w:r>
      <w:r w:rsidRPr="0038045B">
        <w:rPr>
          <w:i/>
          <w:lang w:val="en-US"/>
        </w:rPr>
        <w:t xml:space="preserve">World Bank experience in the financial inclusion field shows that the most successful </w:t>
      </w:r>
      <w:r w:rsidR="008A318B" w:rsidRPr="0038045B">
        <w:rPr>
          <w:i/>
          <w:lang w:val="en-US"/>
        </w:rPr>
        <w:t xml:space="preserve">coordination </w:t>
      </w:r>
      <w:r w:rsidRPr="0038045B">
        <w:rPr>
          <w:i/>
          <w:lang w:val="en-US"/>
        </w:rPr>
        <w:t xml:space="preserve">structures </w:t>
      </w:r>
      <w:r w:rsidR="007A5FCE" w:rsidRPr="0038045B">
        <w:rPr>
          <w:i/>
          <w:lang w:val="en-US"/>
        </w:rPr>
        <w:t xml:space="preserve">for financial inclusion </w:t>
      </w:r>
      <w:r w:rsidRPr="0038045B">
        <w:rPr>
          <w:i/>
          <w:lang w:val="en-US"/>
        </w:rPr>
        <w:t xml:space="preserve">are characterized </w:t>
      </w:r>
      <w:r w:rsidR="007A5FCE" w:rsidRPr="0038045B">
        <w:rPr>
          <w:i/>
          <w:lang w:val="en-US"/>
        </w:rPr>
        <w:t>by having:</w:t>
      </w:r>
    </w:p>
    <w:p w14:paraId="774B4D23" w14:textId="77777777" w:rsidR="007A5FCE" w:rsidRPr="0038045B" w:rsidRDefault="007A5FCE" w:rsidP="007A5FCE">
      <w:pPr>
        <w:pStyle w:val="Body"/>
        <w:numPr>
          <w:ilvl w:val="0"/>
          <w:numId w:val="24"/>
        </w:numPr>
        <w:spacing w:line="276" w:lineRule="auto"/>
        <w:ind w:left="778"/>
        <w:rPr>
          <w:i/>
          <w:szCs w:val="24"/>
          <w:lang w:val="en-US"/>
        </w:rPr>
      </w:pPr>
      <w:r w:rsidRPr="0038045B">
        <w:rPr>
          <w:i/>
          <w:szCs w:val="24"/>
          <w:lang w:val="en-US"/>
        </w:rPr>
        <w:t xml:space="preserve">A </w:t>
      </w:r>
      <w:r w:rsidR="00F278F0" w:rsidRPr="0038045B">
        <w:rPr>
          <w:i/>
          <w:szCs w:val="24"/>
          <w:lang w:val="en-US"/>
        </w:rPr>
        <w:t>clear</w:t>
      </w:r>
      <w:r w:rsidRPr="0038045B">
        <w:rPr>
          <w:i/>
          <w:szCs w:val="24"/>
          <w:lang w:val="en-US"/>
        </w:rPr>
        <w:t xml:space="preserve"> and specific </w:t>
      </w:r>
      <w:r w:rsidR="00F278F0" w:rsidRPr="0038045B">
        <w:rPr>
          <w:i/>
          <w:szCs w:val="24"/>
          <w:lang w:val="en-US"/>
        </w:rPr>
        <w:t>mandate</w:t>
      </w:r>
      <w:r w:rsidRPr="0038045B">
        <w:rPr>
          <w:i/>
          <w:szCs w:val="24"/>
          <w:lang w:val="en-US"/>
        </w:rPr>
        <w:t>,</w:t>
      </w:r>
      <w:r w:rsidR="00F278F0" w:rsidRPr="0038045B">
        <w:rPr>
          <w:i/>
          <w:szCs w:val="24"/>
          <w:lang w:val="en-US"/>
        </w:rPr>
        <w:t xml:space="preserve"> </w:t>
      </w:r>
      <w:r w:rsidRPr="0038045B">
        <w:rPr>
          <w:i/>
          <w:szCs w:val="24"/>
          <w:lang w:val="en-US"/>
        </w:rPr>
        <w:t xml:space="preserve">at the highest possible level within a country, for </w:t>
      </w:r>
      <w:r w:rsidR="008A318B" w:rsidRPr="0038045B">
        <w:rPr>
          <w:i/>
          <w:szCs w:val="24"/>
          <w:lang w:val="en-US"/>
        </w:rPr>
        <w:t xml:space="preserve">advancing </w:t>
      </w:r>
      <w:r w:rsidRPr="0038045B">
        <w:rPr>
          <w:i/>
          <w:szCs w:val="24"/>
          <w:lang w:val="en-US"/>
        </w:rPr>
        <w:t>financial inclusion</w:t>
      </w:r>
    </w:p>
    <w:p w14:paraId="1EDB1DC5" w14:textId="77777777" w:rsidR="007A5FCE" w:rsidRPr="0038045B" w:rsidRDefault="00F64EFF" w:rsidP="007A5FCE">
      <w:pPr>
        <w:pStyle w:val="Body"/>
        <w:numPr>
          <w:ilvl w:val="0"/>
          <w:numId w:val="24"/>
        </w:numPr>
        <w:spacing w:line="276" w:lineRule="auto"/>
        <w:ind w:left="778"/>
        <w:rPr>
          <w:i/>
          <w:szCs w:val="24"/>
          <w:lang w:val="en-US"/>
        </w:rPr>
      </w:pPr>
      <w:r w:rsidRPr="0038045B">
        <w:rPr>
          <w:i/>
          <w:szCs w:val="24"/>
          <w:lang w:val="en-US"/>
        </w:rPr>
        <w:t xml:space="preserve">Adequate </w:t>
      </w:r>
      <w:r w:rsidR="007A5FCE" w:rsidRPr="0038045B">
        <w:rPr>
          <w:i/>
          <w:szCs w:val="24"/>
          <w:lang w:val="en-US"/>
        </w:rPr>
        <w:t>funding and human resources, including dedicated staff</w:t>
      </w:r>
    </w:p>
    <w:p w14:paraId="5711D154" w14:textId="77777777" w:rsidR="007A5FCE" w:rsidRPr="0038045B" w:rsidRDefault="007A5FCE" w:rsidP="007A5FCE">
      <w:pPr>
        <w:pStyle w:val="Body"/>
        <w:numPr>
          <w:ilvl w:val="0"/>
          <w:numId w:val="24"/>
        </w:numPr>
        <w:spacing w:after="200" w:line="276" w:lineRule="auto"/>
        <w:ind w:left="778"/>
        <w:rPr>
          <w:i/>
          <w:szCs w:val="24"/>
          <w:lang w:val="en-US"/>
        </w:rPr>
      </w:pPr>
      <w:r w:rsidRPr="0038045B">
        <w:rPr>
          <w:i/>
          <w:szCs w:val="24"/>
          <w:lang w:val="en-US"/>
        </w:rPr>
        <w:lastRenderedPageBreak/>
        <w:t>Appropriate mechanisms for monitoring and evaluation in order to create a credible work plan and reasonable deliverables.</w:t>
      </w:r>
    </w:p>
    <w:p w14:paraId="61985749" w14:textId="77777777" w:rsidR="007A5FCE" w:rsidRPr="0038045B" w:rsidRDefault="007A5FCE" w:rsidP="00827AEB">
      <w:pPr>
        <w:pStyle w:val="Body"/>
        <w:numPr>
          <w:ilvl w:val="0"/>
          <w:numId w:val="15"/>
        </w:numPr>
        <w:spacing w:after="200" w:line="276" w:lineRule="auto"/>
        <w:ind w:left="0" w:firstLine="0"/>
        <w:rPr>
          <w:i/>
          <w:lang w:val="en-US"/>
        </w:rPr>
      </w:pPr>
      <w:r w:rsidRPr="0038045B">
        <w:rPr>
          <w:i/>
          <w:lang w:val="en-US"/>
        </w:rPr>
        <w:t xml:space="preserve">In this regard, the NPSC of Albania is an important forum to facilitate a cross-sectoral discussion on payment system issues, including the increased adoption and usage of accounts. However, it may not be well-positioned to lead </w:t>
      </w:r>
      <w:r w:rsidR="00F64EFF" w:rsidRPr="0038045B">
        <w:rPr>
          <w:i/>
          <w:lang w:val="en-US"/>
        </w:rPr>
        <w:t xml:space="preserve">broader </w:t>
      </w:r>
      <w:r w:rsidRPr="0038045B">
        <w:rPr>
          <w:i/>
          <w:lang w:val="en-US"/>
        </w:rPr>
        <w:t xml:space="preserve">financial inclusion efforts </w:t>
      </w:r>
      <w:r w:rsidR="00194157" w:rsidRPr="0038045B">
        <w:rPr>
          <w:i/>
          <w:lang w:val="en-US"/>
        </w:rPr>
        <w:t xml:space="preserve">beyond financial access </w:t>
      </w:r>
      <w:r w:rsidRPr="0038045B">
        <w:rPr>
          <w:i/>
          <w:lang w:val="en-US"/>
        </w:rPr>
        <w:t xml:space="preserve">in Albania for reasons that include: </w:t>
      </w:r>
      <w:r w:rsidR="008A318B" w:rsidRPr="0038045B">
        <w:rPr>
          <w:i/>
          <w:lang w:val="en-US"/>
        </w:rPr>
        <w:t>i) The NPSC does not have a</w:t>
      </w:r>
      <w:r w:rsidR="00194157" w:rsidRPr="0038045B">
        <w:rPr>
          <w:i/>
          <w:lang w:val="en-US"/>
        </w:rPr>
        <w:t>n</w:t>
      </w:r>
      <w:r w:rsidR="008A318B" w:rsidRPr="0038045B">
        <w:rPr>
          <w:i/>
          <w:lang w:val="en-US"/>
        </w:rPr>
        <w:t xml:space="preserve"> </w:t>
      </w:r>
      <w:r w:rsidR="00B8309C" w:rsidRPr="0038045B">
        <w:rPr>
          <w:i/>
          <w:lang w:val="en-US"/>
        </w:rPr>
        <w:t>explicit/</w:t>
      </w:r>
      <w:r w:rsidR="00477FA0" w:rsidRPr="0038045B">
        <w:rPr>
          <w:i/>
          <w:lang w:val="en-US"/>
        </w:rPr>
        <w:t>direct</w:t>
      </w:r>
      <w:r w:rsidR="008A318B" w:rsidRPr="0038045B">
        <w:rPr>
          <w:i/>
          <w:lang w:val="en-US"/>
        </w:rPr>
        <w:t xml:space="preserve"> mandate for financial inclusion, </w:t>
      </w:r>
      <w:r w:rsidR="00477FA0" w:rsidRPr="0038045B">
        <w:rPr>
          <w:i/>
          <w:lang w:val="en-US"/>
        </w:rPr>
        <w:t xml:space="preserve">which is a broader mandate than </w:t>
      </w:r>
      <w:r w:rsidR="008A318B" w:rsidRPr="0038045B">
        <w:rPr>
          <w:i/>
          <w:lang w:val="en-US"/>
        </w:rPr>
        <w:t>payment</w:t>
      </w:r>
      <w:r w:rsidR="00477FA0" w:rsidRPr="0038045B">
        <w:rPr>
          <w:i/>
          <w:lang w:val="en-US"/>
        </w:rPr>
        <w:t xml:space="preserve"> systems</w:t>
      </w:r>
      <w:r w:rsidR="008A318B" w:rsidRPr="0038045B">
        <w:rPr>
          <w:i/>
          <w:lang w:val="en-US"/>
        </w:rPr>
        <w:t xml:space="preserve">; ii) </w:t>
      </w:r>
      <w:r w:rsidRPr="0038045B">
        <w:rPr>
          <w:i/>
          <w:lang w:val="en-US"/>
        </w:rPr>
        <w:t>The NPSC does not have juristic personality, and its decisions are not binding for participating members; i</w:t>
      </w:r>
      <w:r w:rsidR="008A318B" w:rsidRPr="0038045B">
        <w:rPr>
          <w:i/>
          <w:lang w:val="en-US"/>
        </w:rPr>
        <w:t>i</w:t>
      </w:r>
      <w:r w:rsidRPr="0038045B">
        <w:rPr>
          <w:i/>
          <w:lang w:val="en-US"/>
        </w:rPr>
        <w:t>i) The NPSC lacks dedicated human and financial resources</w:t>
      </w:r>
      <w:r w:rsidR="008A318B" w:rsidRPr="0038045B">
        <w:rPr>
          <w:i/>
          <w:lang w:val="en-US"/>
        </w:rPr>
        <w:t>.</w:t>
      </w:r>
    </w:p>
    <w:p w14:paraId="2C596835" w14:textId="77777777" w:rsidR="006005B4" w:rsidRPr="0038045B" w:rsidRDefault="008A318B" w:rsidP="00827AEB">
      <w:pPr>
        <w:pStyle w:val="Body"/>
        <w:numPr>
          <w:ilvl w:val="0"/>
          <w:numId w:val="15"/>
        </w:numPr>
        <w:spacing w:after="200" w:line="276" w:lineRule="auto"/>
        <w:ind w:left="0" w:firstLine="0"/>
        <w:rPr>
          <w:i/>
          <w:lang w:val="en-US"/>
        </w:rPr>
      </w:pPr>
      <w:r w:rsidRPr="0038045B">
        <w:rPr>
          <w:i/>
          <w:lang w:val="en-US"/>
        </w:rPr>
        <w:t xml:space="preserve">Generally, the leadership/coordination structure could either be: a) a new team or unit within an existing authority (e.g. the BoA, the Ministry of Finance, etc.); or, b) a newly created structure. In either case, to ensure proper buy-in from stakeholders the coordination structure must make the case for why it is best placed to take the lead. </w:t>
      </w:r>
      <w:r w:rsidR="006005B4" w:rsidRPr="0038045B">
        <w:rPr>
          <w:i/>
          <w:lang w:val="en-US"/>
        </w:rPr>
        <w:t xml:space="preserve">A brief overview of financial inclusion coordination structures from select countries is provided in Annex </w:t>
      </w:r>
      <w:r w:rsidRPr="0038045B">
        <w:rPr>
          <w:i/>
          <w:lang w:val="en-US"/>
        </w:rPr>
        <w:t>2</w:t>
      </w:r>
      <w:r w:rsidR="006005B4" w:rsidRPr="0038045B">
        <w:rPr>
          <w:i/>
          <w:lang w:val="en-US"/>
        </w:rPr>
        <w:t>.</w:t>
      </w:r>
      <w:r w:rsidR="006005B4" w:rsidRPr="0038045B">
        <w:rPr>
          <w:i/>
          <w:vertAlign w:val="superscript"/>
          <w:lang w:val="en-US"/>
        </w:rPr>
        <w:footnoteReference w:id="27"/>
      </w:r>
    </w:p>
    <w:p w14:paraId="7CFF872D" w14:textId="77777777" w:rsidR="00A63A7D" w:rsidRPr="0038045B" w:rsidRDefault="00A63A7D" w:rsidP="00A63A7D">
      <w:pPr>
        <w:pStyle w:val="Heading2"/>
        <w:spacing w:before="360" w:after="240"/>
        <w:rPr>
          <w:b/>
          <w:sz w:val="24"/>
          <w:szCs w:val="24"/>
          <w:u w:val="none"/>
        </w:rPr>
      </w:pPr>
      <w:bookmarkStart w:id="64" w:name="_Toc441595686"/>
      <w:bookmarkStart w:id="65" w:name="_Toc476239710"/>
      <w:r w:rsidRPr="0038045B">
        <w:rPr>
          <w:b/>
          <w:sz w:val="24"/>
          <w:szCs w:val="24"/>
          <w:u w:val="none"/>
        </w:rPr>
        <w:t>Legal and Regulatory Framework</w:t>
      </w:r>
      <w:bookmarkEnd w:id="64"/>
      <w:bookmarkEnd w:id="65"/>
    </w:p>
    <w:p w14:paraId="71F1C5F3" w14:textId="77777777" w:rsidR="00E3641C" w:rsidRPr="0038045B" w:rsidRDefault="00A63A7D" w:rsidP="00C80F30">
      <w:pPr>
        <w:pStyle w:val="Body"/>
        <w:numPr>
          <w:ilvl w:val="0"/>
          <w:numId w:val="15"/>
        </w:numPr>
        <w:spacing w:after="200" w:line="276" w:lineRule="auto"/>
        <w:ind w:left="0" w:firstLine="0"/>
        <w:rPr>
          <w:szCs w:val="24"/>
          <w:lang w:val="en-US"/>
        </w:rPr>
      </w:pPr>
      <w:r w:rsidRPr="0038045B">
        <w:rPr>
          <w:szCs w:val="24"/>
          <w:lang w:val="en-US"/>
        </w:rPr>
        <w:t xml:space="preserve">As recognized in the PAFI report, the legal and regulatory framework of a country plays a critical role in creating an enabling environment for inclusive payment services. Retail payment services involve a </w:t>
      </w:r>
      <w:r w:rsidR="00A1754D" w:rsidRPr="0038045B">
        <w:rPr>
          <w:szCs w:val="24"/>
          <w:lang w:val="en-US"/>
        </w:rPr>
        <w:t xml:space="preserve">complex </w:t>
      </w:r>
      <w:r w:rsidRPr="0038045B">
        <w:rPr>
          <w:szCs w:val="24"/>
          <w:lang w:val="en-US"/>
        </w:rPr>
        <w:t xml:space="preserve">mix of infrastructures, networks and services with both public and private sector investment, and benefit from varying degrees of competition and collaboration, as well as standardization and innovation. In addition, adequate risk management, mitigation of fraud and abuse and protection of consumer interests are key supervisory and oversight considerations. </w:t>
      </w:r>
    </w:p>
    <w:p w14:paraId="6343FE2D" w14:textId="77777777" w:rsidR="00A63A7D" w:rsidRPr="0038045B" w:rsidRDefault="00A63A7D" w:rsidP="00C80F30">
      <w:pPr>
        <w:pStyle w:val="Body"/>
        <w:numPr>
          <w:ilvl w:val="0"/>
          <w:numId w:val="15"/>
        </w:numPr>
        <w:spacing w:after="200" w:line="276" w:lineRule="auto"/>
        <w:ind w:left="0" w:firstLine="0"/>
        <w:rPr>
          <w:szCs w:val="24"/>
          <w:lang w:val="en-US"/>
        </w:rPr>
      </w:pPr>
      <w:r w:rsidRPr="0038045B">
        <w:rPr>
          <w:szCs w:val="24"/>
          <w:lang w:val="en-US"/>
        </w:rPr>
        <w:t>The following five key aspects of the legal and regulatory framework are analyzed in detail as key elements for the assessment of financial inclusion: (i) regulatory neutrality and proportionality; (ii) risk management; (iii) protection of deposits and e-money customer funds; (iv) fin</w:t>
      </w:r>
      <w:bookmarkStart w:id="66" w:name="_GoBack"/>
      <w:bookmarkEnd w:id="66"/>
      <w:r w:rsidRPr="0038045B">
        <w:rPr>
          <w:szCs w:val="24"/>
          <w:lang w:val="en-US"/>
        </w:rPr>
        <w:t>ancial customer protection; and (v) financial integrity.</w:t>
      </w:r>
    </w:p>
    <w:p w14:paraId="427AEAC6" w14:textId="77777777" w:rsidR="00A63A7D" w:rsidRPr="0038045B" w:rsidRDefault="00A63A7D" w:rsidP="00D742CA">
      <w:pPr>
        <w:pStyle w:val="Heading3"/>
        <w:spacing w:before="480" w:after="240"/>
        <w:rPr>
          <w:b w:val="0"/>
          <w:i/>
        </w:rPr>
      </w:pPr>
      <w:bookmarkStart w:id="67" w:name="_Toc476239711"/>
      <w:r w:rsidRPr="0038045B">
        <w:rPr>
          <w:b w:val="0"/>
          <w:i/>
        </w:rPr>
        <w:t>Regulatory neutrality and proportionality</w:t>
      </w:r>
      <w:bookmarkEnd w:id="67"/>
      <w:r w:rsidRPr="0038045B">
        <w:rPr>
          <w:b w:val="0"/>
          <w:i/>
        </w:rPr>
        <w:t xml:space="preserve"> </w:t>
      </w:r>
    </w:p>
    <w:p w14:paraId="008D9363" w14:textId="77777777" w:rsidR="00A63A7D" w:rsidRPr="0038045B" w:rsidRDefault="00A63A7D" w:rsidP="00C80F30">
      <w:pPr>
        <w:pStyle w:val="Body"/>
        <w:numPr>
          <w:ilvl w:val="0"/>
          <w:numId w:val="15"/>
        </w:numPr>
        <w:spacing w:after="200" w:line="276" w:lineRule="auto"/>
        <w:ind w:left="0" w:firstLine="0"/>
        <w:rPr>
          <w:lang w:val="en-US"/>
        </w:rPr>
      </w:pPr>
      <w:r w:rsidRPr="0038045B">
        <w:rPr>
          <w:lang w:val="en-US"/>
        </w:rPr>
        <w:t xml:space="preserve">A key challenge for regulatory authorities is to encourage innovation without compromising the safety and soundness of the NPS. Non-bank </w:t>
      </w:r>
      <w:r w:rsidR="00DB7E8D" w:rsidRPr="0038045B">
        <w:rPr>
          <w:lang w:val="en-US"/>
        </w:rPr>
        <w:t>payment service providers (</w:t>
      </w:r>
      <w:r w:rsidR="009B09BD" w:rsidRPr="0038045B">
        <w:rPr>
          <w:lang w:val="en-US"/>
        </w:rPr>
        <w:t>PSPs</w:t>
      </w:r>
      <w:r w:rsidR="00DB7E8D" w:rsidRPr="0038045B">
        <w:rPr>
          <w:lang w:val="en-US"/>
        </w:rPr>
        <w:t>)</w:t>
      </w:r>
      <w:r w:rsidRPr="0038045B">
        <w:rPr>
          <w:lang w:val="en-US"/>
        </w:rPr>
        <w:t xml:space="preserve"> and innovative business and technological approaches have contributed to expanding access to </w:t>
      </w:r>
      <w:r w:rsidRPr="0038045B">
        <w:rPr>
          <w:szCs w:val="24"/>
          <w:lang w:val="en-US"/>
        </w:rPr>
        <w:t>payment</w:t>
      </w:r>
      <w:r w:rsidRPr="0038045B">
        <w:rPr>
          <w:lang w:val="en-US"/>
        </w:rPr>
        <w:t xml:space="preserve"> services. However, management of the risks associated with the new players, innovative approaches, and, for that matter, new customers, is challenging. Adopting </w:t>
      </w:r>
      <w:r w:rsidRPr="0038045B">
        <w:rPr>
          <w:lang w:val="en-US"/>
        </w:rPr>
        <w:lastRenderedPageBreak/>
        <w:t>a highly cautious stance toward innovative approaches tends to stifle competition and innovation. At the other extreme, a very light approach to innovation, which some refer to as the “test and learn” approach, can fail to address market failures and weaken the predictability of the overall legal and regulatory framework. The challenge is therefore to design a legal and regulatory framework that is fair and balanced for all stakeholders, and which promotes innovation. In essence, this requires that the framework be risk-based, provider- and instrument-neutral, and forward-looking. In other words, the framework must be proportional to the risks that non-bank payment service providers and new products and business models might create.</w:t>
      </w:r>
    </w:p>
    <w:p w14:paraId="525BEE31" w14:textId="77777777" w:rsidR="00D10674" w:rsidRPr="0038045B" w:rsidRDefault="00D10674" w:rsidP="00D10674">
      <w:pPr>
        <w:pStyle w:val="Body"/>
        <w:spacing w:after="200" w:line="276" w:lineRule="auto"/>
        <w:ind w:firstLine="0"/>
        <w:rPr>
          <w:u w:val="single"/>
          <w:lang w:val="en-US"/>
        </w:rPr>
      </w:pPr>
      <w:r w:rsidRPr="0038045B">
        <w:rPr>
          <w:u w:val="single"/>
          <w:lang w:val="en-US"/>
        </w:rPr>
        <w:t>Situation in Albania</w:t>
      </w:r>
    </w:p>
    <w:p w14:paraId="2BCDB49B" w14:textId="77777777" w:rsidR="00905F98" w:rsidRPr="0038045B" w:rsidRDefault="00905F98" w:rsidP="00FC2EEA">
      <w:pPr>
        <w:pStyle w:val="Body"/>
        <w:numPr>
          <w:ilvl w:val="0"/>
          <w:numId w:val="15"/>
        </w:numPr>
        <w:spacing w:after="200" w:line="276" w:lineRule="auto"/>
        <w:ind w:left="0" w:firstLine="0"/>
        <w:rPr>
          <w:lang w:val="en-US"/>
        </w:rPr>
      </w:pPr>
      <w:r w:rsidRPr="0038045B">
        <w:rPr>
          <w:lang w:val="en-US"/>
        </w:rPr>
        <w:t>In Albania, a general development that bears significant importance</w:t>
      </w:r>
      <w:r w:rsidR="00FD00EC" w:rsidRPr="0038045B">
        <w:rPr>
          <w:lang w:val="en-US"/>
        </w:rPr>
        <w:t xml:space="preserve"> to the legal and regulatory framework is the country </w:t>
      </w:r>
      <w:r w:rsidR="00CF0976" w:rsidRPr="0038045B">
        <w:rPr>
          <w:lang w:val="en-US"/>
        </w:rPr>
        <w:t xml:space="preserve">having </w:t>
      </w:r>
      <w:r w:rsidR="00FD00EC" w:rsidRPr="0038045B">
        <w:rPr>
          <w:lang w:val="en-US"/>
        </w:rPr>
        <w:t>receiv</w:t>
      </w:r>
      <w:r w:rsidR="00CF0976" w:rsidRPr="0038045B">
        <w:rPr>
          <w:lang w:val="en-US"/>
        </w:rPr>
        <w:t>ed</w:t>
      </w:r>
      <w:r w:rsidR="00FD00EC" w:rsidRPr="0038045B">
        <w:rPr>
          <w:lang w:val="en-US"/>
        </w:rPr>
        <w:t>, o</w:t>
      </w:r>
      <w:r w:rsidR="00827AEB" w:rsidRPr="0038045B">
        <w:rPr>
          <w:lang w:val="en-US"/>
        </w:rPr>
        <w:t>n 27 June 2014, “E</w:t>
      </w:r>
      <w:r w:rsidR="00DB5F33" w:rsidRPr="0038045B">
        <w:rPr>
          <w:lang w:val="en-US"/>
        </w:rPr>
        <w:t xml:space="preserve">uropean </w:t>
      </w:r>
      <w:r w:rsidR="00827AEB" w:rsidRPr="0038045B">
        <w:rPr>
          <w:lang w:val="en-US"/>
        </w:rPr>
        <w:t>U</w:t>
      </w:r>
      <w:r w:rsidR="00DB5F33" w:rsidRPr="0038045B">
        <w:rPr>
          <w:lang w:val="en-US"/>
        </w:rPr>
        <w:t>nion (EU)</w:t>
      </w:r>
      <w:r w:rsidR="00827AEB" w:rsidRPr="0038045B">
        <w:rPr>
          <w:lang w:val="en-US"/>
        </w:rPr>
        <w:t xml:space="preserve"> Candidate” status</w:t>
      </w:r>
      <w:r w:rsidR="00FD00EC" w:rsidRPr="0038045B">
        <w:rPr>
          <w:lang w:val="en-US"/>
        </w:rPr>
        <w:t>. A</w:t>
      </w:r>
      <w:r w:rsidR="00827AEB" w:rsidRPr="0038045B">
        <w:rPr>
          <w:lang w:val="en-US"/>
        </w:rPr>
        <w:t>s a result</w:t>
      </w:r>
      <w:r w:rsidR="002519E9" w:rsidRPr="0038045B">
        <w:rPr>
          <w:lang w:val="en-US"/>
        </w:rPr>
        <w:t>,</w:t>
      </w:r>
      <w:r w:rsidR="00827AEB" w:rsidRPr="0038045B">
        <w:rPr>
          <w:lang w:val="en-US"/>
        </w:rPr>
        <w:t xml:space="preserve"> the BoA and other national authorities are working intensively to bring the national legislation in line with the EU acquis in the field of payments (as well as in other </w:t>
      </w:r>
      <w:r w:rsidR="005D39A4" w:rsidRPr="0038045B">
        <w:rPr>
          <w:lang w:val="en-US"/>
        </w:rPr>
        <w:t>areas</w:t>
      </w:r>
      <w:r w:rsidR="00827AEB" w:rsidRPr="0038045B">
        <w:rPr>
          <w:lang w:val="en-US"/>
        </w:rPr>
        <w:t xml:space="preserve">). </w:t>
      </w:r>
      <w:r w:rsidRPr="0038045B">
        <w:rPr>
          <w:lang w:val="en-US"/>
        </w:rPr>
        <w:t>In particular, the BoA</w:t>
      </w:r>
      <w:r w:rsidR="00FD00EC" w:rsidRPr="0038045B">
        <w:rPr>
          <w:lang w:val="en-US"/>
        </w:rPr>
        <w:t xml:space="preserve">, with support from central banks from the EU, is </w:t>
      </w:r>
      <w:r w:rsidRPr="0038045B">
        <w:rPr>
          <w:lang w:val="en-US"/>
        </w:rPr>
        <w:t>working</w:t>
      </w:r>
      <w:r w:rsidR="008C52C4" w:rsidRPr="0038045B">
        <w:rPr>
          <w:lang w:val="en-US"/>
        </w:rPr>
        <w:t>, among others,</w:t>
      </w:r>
      <w:r w:rsidRPr="0038045B">
        <w:rPr>
          <w:lang w:val="en-US"/>
        </w:rPr>
        <w:t xml:space="preserve"> </w:t>
      </w:r>
      <w:r w:rsidR="008C52C4" w:rsidRPr="0038045B">
        <w:rPr>
          <w:lang w:val="en-US"/>
        </w:rPr>
        <w:t>i</w:t>
      </w:r>
      <w:r w:rsidRPr="0038045B">
        <w:rPr>
          <w:lang w:val="en-US"/>
        </w:rPr>
        <w:t xml:space="preserve">n </w:t>
      </w:r>
      <w:r w:rsidR="00FD00EC" w:rsidRPr="0038045B">
        <w:rPr>
          <w:lang w:val="en-US"/>
        </w:rPr>
        <w:t>the following</w:t>
      </w:r>
      <w:r w:rsidR="005D39A4" w:rsidRPr="0038045B">
        <w:rPr>
          <w:lang w:val="en-US"/>
        </w:rPr>
        <w:t xml:space="preserve"> projects</w:t>
      </w:r>
      <w:r w:rsidRPr="0038045B">
        <w:rPr>
          <w:lang w:val="en-US"/>
        </w:rPr>
        <w:t xml:space="preserve">: </w:t>
      </w:r>
      <w:r w:rsidR="005D39A4" w:rsidRPr="0038045B">
        <w:rPr>
          <w:lang w:val="en-US"/>
        </w:rPr>
        <w:t xml:space="preserve">(i) </w:t>
      </w:r>
      <w:r w:rsidRPr="0038045B">
        <w:rPr>
          <w:lang w:val="en-US"/>
        </w:rPr>
        <w:t xml:space="preserve">the transposition of the </w:t>
      </w:r>
      <w:r w:rsidR="008C52C4" w:rsidRPr="0038045B">
        <w:rPr>
          <w:lang w:val="en-US"/>
        </w:rPr>
        <w:t xml:space="preserve">EU </w:t>
      </w:r>
      <w:r w:rsidRPr="0038045B">
        <w:rPr>
          <w:lang w:val="en-US"/>
        </w:rPr>
        <w:t xml:space="preserve">Payment Services Directive 2 (PSD 2); </w:t>
      </w:r>
      <w:r w:rsidR="005D39A4" w:rsidRPr="0038045B">
        <w:rPr>
          <w:lang w:val="en-US"/>
        </w:rPr>
        <w:t xml:space="preserve">(ii) </w:t>
      </w:r>
      <w:r w:rsidRPr="0038045B">
        <w:rPr>
          <w:lang w:val="en-US"/>
        </w:rPr>
        <w:t xml:space="preserve">further alignment with Regulation ECB/214/28 (Regulation on oversight requirements for systemically important payment systems); and, </w:t>
      </w:r>
      <w:r w:rsidR="005D39A4" w:rsidRPr="0038045B">
        <w:rPr>
          <w:lang w:val="en-US"/>
        </w:rPr>
        <w:t xml:space="preserve">(iii) </w:t>
      </w:r>
      <w:r w:rsidRPr="0038045B">
        <w:rPr>
          <w:lang w:val="en-US"/>
        </w:rPr>
        <w:t xml:space="preserve">the implementation </w:t>
      </w:r>
      <w:r w:rsidR="00FD00EC" w:rsidRPr="0038045B">
        <w:rPr>
          <w:lang w:val="en-US"/>
        </w:rPr>
        <w:t xml:space="preserve">in Albania </w:t>
      </w:r>
      <w:r w:rsidRPr="0038045B">
        <w:rPr>
          <w:lang w:val="en-US"/>
        </w:rPr>
        <w:t>of “The recommendations for the security of internet payments”.</w:t>
      </w:r>
    </w:p>
    <w:p w14:paraId="0D966558" w14:textId="77777777" w:rsidR="00827AEB" w:rsidRPr="0038045B" w:rsidRDefault="00827AEB" w:rsidP="00827AEB">
      <w:pPr>
        <w:pStyle w:val="Body"/>
        <w:numPr>
          <w:ilvl w:val="0"/>
          <w:numId w:val="15"/>
        </w:numPr>
        <w:spacing w:after="200" w:line="276" w:lineRule="auto"/>
        <w:ind w:left="0" w:firstLine="0"/>
        <w:rPr>
          <w:lang w:val="en-US"/>
        </w:rPr>
      </w:pPr>
      <w:r w:rsidRPr="0038045B">
        <w:rPr>
          <w:lang w:val="en-US"/>
        </w:rPr>
        <w:t>In 20</w:t>
      </w:r>
      <w:r w:rsidR="00B94454" w:rsidRPr="0038045B">
        <w:rPr>
          <w:lang w:val="en-US"/>
        </w:rPr>
        <w:t>13</w:t>
      </w:r>
      <w:r w:rsidR="005D39A4" w:rsidRPr="0038045B">
        <w:rPr>
          <w:lang w:val="en-US"/>
        </w:rPr>
        <w:t>,</w:t>
      </w:r>
      <w:r w:rsidRPr="0038045B">
        <w:rPr>
          <w:lang w:val="en-US"/>
        </w:rPr>
        <w:t xml:space="preserve"> Albania adopted </w:t>
      </w:r>
      <w:r w:rsidR="00CF0976" w:rsidRPr="0038045B">
        <w:rPr>
          <w:lang w:val="en-US"/>
        </w:rPr>
        <w:t>the</w:t>
      </w:r>
      <w:r w:rsidRPr="0038045B">
        <w:rPr>
          <w:lang w:val="en-US"/>
        </w:rPr>
        <w:t xml:space="preserve"> </w:t>
      </w:r>
      <w:r w:rsidR="00806715" w:rsidRPr="0038045B">
        <w:rPr>
          <w:lang w:val="en-US"/>
        </w:rPr>
        <w:t>“</w:t>
      </w:r>
      <w:r w:rsidR="00B94454" w:rsidRPr="0038045B">
        <w:rPr>
          <w:lang w:val="en-US"/>
        </w:rPr>
        <w:t xml:space="preserve">Law on </w:t>
      </w:r>
      <w:r w:rsidRPr="0038045B">
        <w:rPr>
          <w:lang w:val="en-US"/>
        </w:rPr>
        <w:t>Payment System</w:t>
      </w:r>
      <w:r w:rsidR="00806715" w:rsidRPr="0038045B">
        <w:rPr>
          <w:lang w:val="en-US"/>
        </w:rPr>
        <w:t>”</w:t>
      </w:r>
      <w:r w:rsidR="00B14AB3" w:rsidRPr="0038045B">
        <w:rPr>
          <w:lang w:val="en-US"/>
        </w:rPr>
        <w:t>.</w:t>
      </w:r>
      <w:r w:rsidRPr="0038045B">
        <w:rPr>
          <w:vertAlign w:val="superscript"/>
          <w:lang w:val="en-US"/>
        </w:rPr>
        <w:footnoteReference w:id="28"/>
      </w:r>
      <w:r w:rsidRPr="0038045B">
        <w:rPr>
          <w:lang w:val="en-US"/>
        </w:rPr>
        <w:t xml:space="preserve"> Th</w:t>
      </w:r>
      <w:r w:rsidR="00B14AB3" w:rsidRPr="0038045B">
        <w:rPr>
          <w:lang w:val="en-US"/>
        </w:rPr>
        <w:t>is</w:t>
      </w:r>
      <w:r w:rsidRPr="0038045B">
        <w:rPr>
          <w:lang w:val="en-US"/>
        </w:rPr>
        <w:t xml:space="preserve"> Law establishes a sound legal basis for safe functioning of payment systems </w:t>
      </w:r>
      <w:r w:rsidR="00B14AB3" w:rsidRPr="0038045B">
        <w:rPr>
          <w:lang w:val="en-US"/>
        </w:rPr>
        <w:t xml:space="preserve">and payment instruments </w:t>
      </w:r>
      <w:r w:rsidRPr="0038045B">
        <w:rPr>
          <w:lang w:val="en-US"/>
        </w:rPr>
        <w:t xml:space="preserve">by </w:t>
      </w:r>
      <w:r w:rsidR="005D39A4" w:rsidRPr="0038045B">
        <w:rPr>
          <w:lang w:val="en-US"/>
        </w:rPr>
        <w:t>incorporating fundamental legal concepts</w:t>
      </w:r>
      <w:r w:rsidRPr="0038045B">
        <w:rPr>
          <w:lang w:val="en-US"/>
        </w:rPr>
        <w:t>, such as</w:t>
      </w:r>
      <w:r w:rsidR="008C52C4" w:rsidRPr="0038045B">
        <w:rPr>
          <w:lang w:val="en-US"/>
        </w:rPr>
        <w:t>:</w:t>
      </w:r>
      <w:r w:rsidRPr="0038045B">
        <w:rPr>
          <w:lang w:val="en-US"/>
        </w:rPr>
        <w:t xml:space="preserve"> </w:t>
      </w:r>
      <w:r w:rsidR="009F68ED" w:rsidRPr="0038045B">
        <w:rPr>
          <w:lang w:val="en-US"/>
        </w:rPr>
        <w:t xml:space="preserve">(i) </w:t>
      </w:r>
      <w:r w:rsidRPr="0038045B">
        <w:rPr>
          <w:lang w:val="en-US"/>
        </w:rPr>
        <w:t>finality and irrevocability of payments</w:t>
      </w:r>
      <w:r w:rsidR="009F68ED" w:rsidRPr="0038045B">
        <w:rPr>
          <w:lang w:val="en-US"/>
        </w:rPr>
        <w:t>;</w:t>
      </w:r>
      <w:r w:rsidRPr="0038045B">
        <w:rPr>
          <w:lang w:val="en-US"/>
        </w:rPr>
        <w:t xml:space="preserve"> </w:t>
      </w:r>
      <w:r w:rsidR="009F68ED" w:rsidRPr="0038045B">
        <w:rPr>
          <w:lang w:val="en-US"/>
        </w:rPr>
        <w:t xml:space="preserve">(ii) </w:t>
      </w:r>
      <w:r w:rsidRPr="0038045B">
        <w:rPr>
          <w:lang w:val="en-US"/>
        </w:rPr>
        <w:t>enforceability of netting schemes</w:t>
      </w:r>
      <w:r w:rsidR="009F68ED" w:rsidRPr="0038045B">
        <w:rPr>
          <w:lang w:val="en-US"/>
        </w:rPr>
        <w:t>;</w:t>
      </w:r>
      <w:r w:rsidRPr="0038045B">
        <w:rPr>
          <w:lang w:val="en-US"/>
        </w:rPr>
        <w:t xml:space="preserve"> </w:t>
      </w:r>
      <w:r w:rsidR="009F68ED" w:rsidRPr="0038045B">
        <w:rPr>
          <w:lang w:val="en-US"/>
        </w:rPr>
        <w:t xml:space="preserve">(iii) </w:t>
      </w:r>
      <w:r w:rsidRPr="0038045B">
        <w:rPr>
          <w:lang w:val="en-US"/>
        </w:rPr>
        <w:t xml:space="preserve">protection of </w:t>
      </w:r>
      <w:r w:rsidR="00C8140F" w:rsidRPr="0038045B">
        <w:rPr>
          <w:lang w:val="en-US"/>
        </w:rPr>
        <w:t xml:space="preserve">financial </w:t>
      </w:r>
      <w:r w:rsidRPr="0038045B">
        <w:rPr>
          <w:lang w:val="en-US"/>
        </w:rPr>
        <w:t xml:space="preserve">collateral </w:t>
      </w:r>
      <w:r w:rsidR="009F68ED" w:rsidRPr="0038045B">
        <w:rPr>
          <w:lang w:val="en-US"/>
        </w:rPr>
        <w:t xml:space="preserve">pledged in a payment system </w:t>
      </w:r>
      <w:r w:rsidRPr="0038045B">
        <w:rPr>
          <w:lang w:val="en-US"/>
        </w:rPr>
        <w:t>in case of insolvency</w:t>
      </w:r>
      <w:r w:rsidR="009F68ED" w:rsidRPr="0038045B">
        <w:rPr>
          <w:lang w:val="en-US"/>
        </w:rPr>
        <w:t xml:space="preserve">; (iv) </w:t>
      </w:r>
      <w:r w:rsidR="00592907" w:rsidRPr="0038045B">
        <w:rPr>
          <w:lang w:val="en-US"/>
        </w:rPr>
        <w:t>enforceability of transactions by electronic payment instruments</w:t>
      </w:r>
      <w:r w:rsidR="009F68ED" w:rsidRPr="0038045B">
        <w:rPr>
          <w:lang w:val="en-US"/>
        </w:rPr>
        <w:t>;</w:t>
      </w:r>
      <w:r w:rsidRPr="0038045B">
        <w:rPr>
          <w:lang w:val="en-US"/>
        </w:rPr>
        <w:t xml:space="preserve"> </w:t>
      </w:r>
      <w:r w:rsidR="009F68ED" w:rsidRPr="0038045B">
        <w:rPr>
          <w:lang w:val="en-US"/>
        </w:rPr>
        <w:t xml:space="preserve">(v) </w:t>
      </w:r>
      <w:r w:rsidRPr="0038045B">
        <w:rPr>
          <w:lang w:val="en-US"/>
        </w:rPr>
        <w:t>conflict of laws in case of insolvency</w:t>
      </w:r>
      <w:r w:rsidR="00613517" w:rsidRPr="0038045B">
        <w:rPr>
          <w:lang w:val="en-US"/>
        </w:rPr>
        <w:t xml:space="preserve"> </w:t>
      </w:r>
      <w:r w:rsidR="00B14AB3" w:rsidRPr="0038045B">
        <w:rPr>
          <w:lang w:val="en-US"/>
        </w:rPr>
        <w:t>etc.</w:t>
      </w:r>
      <w:r w:rsidRPr="0038045B">
        <w:rPr>
          <w:lang w:val="en-US"/>
        </w:rPr>
        <w:t xml:space="preserve"> In addition, the Law contains a provision permitting truncation of cheques and allowing the BoA to issue by-laws on the truncation procedure and on its legal consequences. </w:t>
      </w:r>
      <w:r w:rsidR="00B024DD" w:rsidRPr="0038045B">
        <w:rPr>
          <w:lang w:val="en-US"/>
        </w:rPr>
        <w:t>Although the Law on Payment Systems provides only for registration of securities by book-entry (art. 31), full dematerialization of securities is established in the Law on Securities No. 9879 of 2008,</w:t>
      </w:r>
      <w:r w:rsidR="00592907" w:rsidRPr="0038045B">
        <w:rPr>
          <w:lang w:val="en-US"/>
        </w:rPr>
        <w:t>)</w:t>
      </w:r>
      <w:r w:rsidRPr="0038045B">
        <w:rPr>
          <w:lang w:val="en-US"/>
        </w:rPr>
        <w:t xml:space="preserve">, </w:t>
      </w:r>
    </w:p>
    <w:p w14:paraId="5DBA9BF0" w14:textId="77777777" w:rsidR="00827AEB" w:rsidRPr="0038045B" w:rsidRDefault="00827AEB" w:rsidP="00657F14">
      <w:pPr>
        <w:pStyle w:val="Body"/>
        <w:numPr>
          <w:ilvl w:val="0"/>
          <w:numId w:val="15"/>
        </w:numPr>
        <w:spacing w:after="200" w:line="276" w:lineRule="auto"/>
        <w:ind w:left="0" w:firstLine="0"/>
        <w:rPr>
          <w:lang w:val="en-US"/>
        </w:rPr>
      </w:pPr>
      <w:r w:rsidRPr="0038045B">
        <w:rPr>
          <w:lang w:val="en-US"/>
        </w:rPr>
        <w:t xml:space="preserve">The Law on Payment System </w:t>
      </w:r>
      <w:r w:rsidR="00B94454" w:rsidRPr="0038045B">
        <w:rPr>
          <w:lang w:val="en-US"/>
        </w:rPr>
        <w:t>p</w:t>
      </w:r>
      <w:r w:rsidRPr="0038045B">
        <w:rPr>
          <w:lang w:val="en-US"/>
        </w:rPr>
        <w:t>rovid</w:t>
      </w:r>
      <w:r w:rsidR="00B94454" w:rsidRPr="0038045B">
        <w:rPr>
          <w:lang w:val="en-US"/>
        </w:rPr>
        <w:t>es</w:t>
      </w:r>
      <w:r w:rsidRPr="0038045B">
        <w:rPr>
          <w:lang w:val="en-US"/>
        </w:rPr>
        <w:t xml:space="preserve"> the possibility for non-bank</w:t>
      </w:r>
      <w:r w:rsidR="00C8140F" w:rsidRPr="0038045B">
        <w:rPr>
          <w:lang w:val="en-US"/>
        </w:rPr>
        <w:t xml:space="preserve"> financial institutions</w:t>
      </w:r>
      <w:r w:rsidRPr="0038045B">
        <w:rPr>
          <w:lang w:val="en-US"/>
        </w:rPr>
        <w:t xml:space="preserve"> to </w:t>
      </w:r>
      <w:r w:rsidR="009F68ED" w:rsidRPr="0038045B">
        <w:rPr>
          <w:lang w:val="en-US"/>
        </w:rPr>
        <w:t xml:space="preserve">compete </w:t>
      </w:r>
      <w:r w:rsidRPr="0038045B">
        <w:rPr>
          <w:lang w:val="en-US"/>
        </w:rPr>
        <w:t xml:space="preserve">in the </w:t>
      </w:r>
      <w:r w:rsidR="00B94454" w:rsidRPr="0038045B">
        <w:rPr>
          <w:lang w:val="en-US"/>
        </w:rPr>
        <w:t xml:space="preserve">payments </w:t>
      </w:r>
      <w:r w:rsidRPr="0038045B">
        <w:rPr>
          <w:lang w:val="en-US"/>
        </w:rPr>
        <w:t xml:space="preserve">market. </w:t>
      </w:r>
      <w:r w:rsidR="007E4409" w:rsidRPr="0038045B">
        <w:rPr>
          <w:lang w:val="en-US"/>
        </w:rPr>
        <w:t xml:space="preserve">In Albania, SCAs and other </w:t>
      </w:r>
      <w:r w:rsidRPr="0038045B">
        <w:rPr>
          <w:lang w:val="en-US"/>
        </w:rPr>
        <w:t xml:space="preserve">NBFIs are allowed to provide payment services and to operate a </w:t>
      </w:r>
      <w:r w:rsidR="009F68ED" w:rsidRPr="0038045B">
        <w:rPr>
          <w:lang w:val="en-US"/>
        </w:rPr>
        <w:t xml:space="preserve">payment </w:t>
      </w:r>
      <w:r w:rsidRPr="0038045B">
        <w:rPr>
          <w:lang w:val="en-US"/>
        </w:rPr>
        <w:t>system.</w:t>
      </w:r>
      <w:r w:rsidR="00550A2B" w:rsidRPr="0038045B">
        <w:rPr>
          <w:lang w:val="en-US"/>
        </w:rPr>
        <w:t xml:space="preserve"> </w:t>
      </w:r>
      <w:r w:rsidR="007E4409" w:rsidRPr="0038045B">
        <w:rPr>
          <w:lang w:val="en-US"/>
        </w:rPr>
        <w:t xml:space="preserve">E-money issuing is a prerogative of NBFIs that are licensed as e-money institutions, and banks. </w:t>
      </w:r>
      <w:r w:rsidR="00550A2B" w:rsidRPr="0038045B">
        <w:rPr>
          <w:lang w:val="en-US"/>
        </w:rPr>
        <w:t xml:space="preserve">Operating a payment system is also allowed </w:t>
      </w:r>
      <w:r w:rsidR="00B94454" w:rsidRPr="0038045B">
        <w:rPr>
          <w:lang w:val="en-US"/>
        </w:rPr>
        <w:t xml:space="preserve">to non-financial institutions. </w:t>
      </w:r>
      <w:r w:rsidRPr="0038045B">
        <w:rPr>
          <w:lang w:val="en-US"/>
        </w:rPr>
        <w:t>According to the definition provided</w:t>
      </w:r>
      <w:r w:rsidR="009F68ED" w:rsidRPr="0038045B">
        <w:rPr>
          <w:lang w:val="en-US"/>
        </w:rPr>
        <w:t xml:space="preserve"> in </w:t>
      </w:r>
      <w:r w:rsidR="00592907" w:rsidRPr="0038045B">
        <w:rPr>
          <w:lang w:val="en-US"/>
        </w:rPr>
        <w:t>the Law on Payment System,</w:t>
      </w:r>
      <w:r w:rsidRPr="0038045B">
        <w:rPr>
          <w:lang w:val="en-US"/>
        </w:rPr>
        <w:t xml:space="preserve"> a Clearing House </w:t>
      </w:r>
      <w:r w:rsidR="00C8140F" w:rsidRPr="0038045B">
        <w:rPr>
          <w:lang w:val="en-US"/>
        </w:rPr>
        <w:t>is</w:t>
      </w:r>
      <w:r w:rsidRPr="0038045B">
        <w:rPr>
          <w:lang w:val="en-US"/>
        </w:rPr>
        <w:t xml:space="preserve"> a “legal person”, </w:t>
      </w:r>
      <w:r w:rsidR="009F68ED" w:rsidRPr="0038045B">
        <w:rPr>
          <w:lang w:val="en-US"/>
        </w:rPr>
        <w:t>th</w:t>
      </w:r>
      <w:r w:rsidR="008C52C4" w:rsidRPr="0038045B">
        <w:rPr>
          <w:lang w:val="en-US"/>
        </w:rPr>
        <w:t>u</w:t>
      </w:r>
      <w:r w:rsidR="009F68ED" w:rsidRPr="0038045B">
        <w:rPr>
          <w:lang w:val="en-US"/>
        </w:rPr>
        <w:t xml:space="preserve">s </w:t>
      </w:r>
      <w:r w:rsidRPr="0038045B">
        <w:rPr>
          <w:lang w:val="en-US"/>
        </w:rPr>
        <w:t xml:space="preserve">entities </w:t>
      </w:r>
      <w:r w:rsidRPr="0038045B">
        <w:rPr>
          <w:lang w:val="en-US"/>
        </w:rPr>
        <w:lastRenderedPageBreak/>
        <w:t xml:space="preserve">different from the BoA or the Securities Commission </w:t>
      </w:r>
      <w:r w:rsidR="00657F14" w:rsidRPr="0038045B">
        <w:rPr>
          <w:lang w:val="en-US"/>
        </w:rPr>
        <w:t xml:space="preserve">can </w:t>
      </w:r>
      <w:r w:rsidRPr="0038045B">
        <w:rPr>
          <w:lang w:val="en-US"/>
        </w:rPr>
        <w:t>provide clearing</w:t>
      </w:r>
      <w:r w:rsidR="00B94454" w:rsidRPr="0038045B">
        <w:rPr>
          <w:lang w:val="en-US"/>
        </w:rPr>
        <w:t xml:space="preserve"> services</w:t>
      </w:r>
      <w:r w:rsidRPr="0038045B">
        <w:rPr>
          <w:lang w:val="en-US"/>
        </w:rPr>
        <w:t xml:space="preserve">. </w:t>
      </w:r>
      <w:r w:rsidR="00657F14" w:rsidRPr="0038045B">
        <w:rPr>
          <w:lang w:val="en-US"/>
        </w:rPr>
        <w:t xml:space="preserve">Similarly, a settlement agent is defined as a “legal person” </w:t>
      </w:r>
      <w:r w:rsidR="00FA1D5F" w:rsidRPr="0038045B">
        <w:rPr>
          <w:lang w:val="en-US"/>
        </w:rPr>
        <w:t>that</w:t>
      </w:r>
      <w:r w:rsidR="00657F14" w:rsidRPr="0038045B">
        <w:rPr>
          <w:lang w:val="en-US"/>
        </w:rPr>
        <w:t xml:space="preserve"> provides system participants with settlement accounts to settle the transfer orders in the system</w:t>
      </w:r>
      <w:r w:rsidR="00657F14" w:rsidRPr="0038045B">
        <w:rPr>
          <w:rStyle w:val="FootnoteReference"/>
          <w:lang w:val="en-US"/>
        </w:rPr>
        <w:footnoteReference w:id="29"/>
      </w:r>
      <w:r w:rsidR="00FA1D5F" w:rsidRPr="0038045B">
        <w:rPr>
          <w:lang w:val="en-US"/>
        </w:rPr>
        <w:t xml:space="preserve">, thus </w:t>
      </w:r>
      <w:r w:rsidRPr="0038045B">
        <w:rPr>
          <w:lang w:val="en-US"/>
        </w:rPr>
        <w:t>-</w:t>
      </w:r>
      <w:r w:rsidR="00FA1D5F" w:rsidRPr="0038045B">
        <w:rPr>
          <w:lang w:val="en-US"/>
        </w:rPr>
        <w:t>also non-</w:t>
      </w:r>
      <w:r w:rsidRPr="0038045B">
        <w:rPr>
          <w:lang w:val="en-US"/>
        </w:rPr>
        <w:t>banks can be</w:t>
      </w:r>
      <w:r w:rsidR="00B94454" w:rsidRPr="0038045B">
        <w:rPr>
          <w:lang w:val="en-US"/>
        </w:rPr>
        <w:t>come</w:t>
      </w:r>
      <w:r w:rsidRPr="0038045B">
        <w:rPr>
          <w:lang w:val="en-US"/>
        </w:rPr>
        <w:t xml:space="preserve"> settlement agents. </w:t>
      </w:r>
    </w:p>
    <w:p w14:paraId="5AFD1E27" w14:textId="77777777" w:rsidR="00827AEB" w:rsidRPr="0038045B" w:rsidRDefault="00827AEB" w:rsidP="00FA1D5F">
      <w:pPr>
        <w:pStyle w:val="Body"/>
        <w:numPr>
          <w:ilvl w:val="0"/>
          <w:numId w:val="15"/>
        </w:numPr>
        <w:spacing w:after="200" w:line="276" w:lineRule="auto"/>
        <w:ind w:left="0" w:right="90" w:firstLine="0"/>
        <w:rPr>
          <w:lang w:val="en-US"/>
        </w:rPr>
      </w:pPr>
      <w:r w:rsidRPr="0038045B">
        <w:rPr>
          <w:lang w:val="en-US"/>
        </w:rPr>
        <w:t>The Banking Law</w:t>
      </w:r>
      <w:r w:rsidR="00CF0976" w:rsidRPr="0038045B">
        <w:rPr>
          <w:vertAlign w:val="superscript"/>
          <w:lang w:val="en-US"/>
        </w:rPr>
        <w:footnoteReference w:id="30"/>
      </w:r>
      <w:r w:rsidRPr="0038045B">
        <w:rPr>
          <w:lang w:val="en-US"/>
        </w:rPr>
        <w:t xml:space="preserve"> states that the BoA’s has supervisory powers on banks and banking and financial services. The Law disciplines banks’ license to provide </w:t>
      </w:r>
      <w:r w:rsidR="00A67EB4" w:rsidRPr="0038045B">
        <w:rPr>
          <w:lang w:val="en-US"/>
        </w:rPr>
        <w:t>“</w:t>
      </w:r>
      <w:r w:rsidRPr="0038045B">
        <w:rPr>
          <w:lang w:val="en-US"/>
        </w:rPr>
        <w:t>banking and financial services</w:t>
      </w:r>
      <w:r w:rsidR="00A67EB4" w:rsidRPr="0038045B">
        <w:rPr>
          <w:lang w:val="en-US"/>
        </w:rPr>
        <w:t>”</w:t>
      </w:r>
      <w:r w:rsidRPr="0038045B">
        <w:rPr>
          <w:lang w:val="en-US"/>
        </w:rPr>
        <w:t>,</w:t>
      </w:r>
      <w:r w:rsidR="00A67EB4" w:rsidRPr="0038045B">
        <w:rPr>
          <w:vertAlign w:val="superscript"/>
          <w:lang w:val="en-US"/>
        </w:rPr>
        <w:footnoteReference w:id="31"/>
      </w:r>
      <w:r w:rsidRPr="0038045B">
        <w:rPr>
          <w:lang w:val="en-US"/>
        </w:rPr>
        <w:t xml:space="preserve"> establishing clear and specific licensing criteria. According to the Banking Law, a NBFI is a legal entity licensed by</w:t>
      </w:r>
      <w:r w:rsidR="00DB5F33" w:rsidRPr="0038045B">
        <w:rPr>
          <w:lang w:val="en-US"/>
        </w:rPr>
        <w:t xml:space="preserve"> the</w:t>
      </w:r>
      <w:r w:rsidRPr="0038045B">
        <w:rPr>
          <w:lang w:val="en-US"/>
        </w:rPr>
        <w:t xml:space="preserve"> BoA to carry out one or more of the financial activities listed in the Law (article 54(2))</w:t>
      </w:r>
      <w:r w:rsidR="00312EBF" w:rsidRPr="0038045B">
        <w:rPr>
          <w:lang w:val="en-US"/>
        </w:rPr>
        <w:t>, which include payment services</w:t>
      </w:r>
      <w:r w:rsidRPr="0038045B">
        <w:rPr>
          <w:lang w:val="en-US"/>
        </w:rPr>
        <w:t xml:space="preserve">. </w:t>
      </w:r>
      <w:r w:rsidR="00005648" w:rsidRPr="0038045B">
        <w:rPr>
          <w:lang w:val="en-US"/>
        </w:rPr>
        <w:t xml:space="preserve">In this law </w:t>
      </w:r>
      <w:r w:rsidRPr="0038045B">
        <w:rPr>
          <w:lang w:val="en-US"/>
        </w:rPr>
        <w:t xml:space="preserve">there is no </w:t>
      </w:r>
      <w:r w:rsidR="00A67EB4" w:rsidRPr="0038045B">
        <w:rPr>
          <w:lang w:val="en-US"/>
        </w:rPr>
        <w:t xml:space="preserve">specific reference </w:t>
      </w:r>
      <w:r w:rsidR="009F68ED" w:rsidRPr="0038045B">
        <w:rPr>
          <w:lang w:val="en-US"/>
        </w:rPr>
        <w:t xml:space="preserve">to </w:t>
      </w:r>
      <w:r w:rsidRPr="0038045B">
        <w:rPr>
          <w:lang w:val="en-US"/>
        </w:rPr>
        <w:t xml:space="preserve">licensing criteria for NBFIs. Instead, the Law envisages the possibility for </w:t>
      </w:r>
      <w:r w:rsidR="00DB5F33" w:rsidRPr="0038045B">
        <w:rPr>
          <w:lang w:val="en-US"/>
        </w:rPr>
        <w:t xml:space="preserve">the </w:t>
      </w:r>
      <w:r w:rsidRPr="0038045B">
        <w:rPr>
          <w:lang w:val="en-US"/>
        </w:rPr>
        <w:t xml:space="preserve">BoA to provide details on NBFIs licensing, supervision and functioning through its regulations (article 126). </w:t>
      </w:r>
      <w:r w:rsidR="00FA1D5F" w:rsidRPr="0038045B">
        <w:rPr>
          <w:lang w:val="en-US"/>
        </w:rPr>
        <w:t xml:space="preserve">SCAs are also regulated and supervised by BoA. </w:t>
      </w:r>
      <w:r w:rsidRPr="0038045B">
        <w:rPr>
          <w:lang w:val="en-US"/>
        </w:rPr>
        <w:t>SCAs can provide payment services pursuant to art</w:t>
      </w:r>
      <w:r w:rsidR="00FA1D5F" w:rsidRPr="0038045B">
        <w:rPr>
          <w:lang w:val="en-US"/>
        </w:rPr>
        <w:t>. 5</w:t>
      </w:r>
      <w:r w:rsidRPr="0038045B">
        <w:rPr>
          <w:lang w:val="en-US"/>
        </w:rPr>
        <w:t xml:space="preserve">, point </w:t>
      </w:r>
      <w:r w:rsidR="00FA1D5F" w:rsidRPr="0038045B">
        <w:rPr>
          <w:lang w:val="en-US"/>
        </w:rPr>
        <w:t>2 of Regulation No. 104 “</w:t>
      </w:r>
      <w:r w:rsidR="00FA1D5F" w:rsidRPr="0038045B">
        <w:rPr>
          <w:rFonts w:eastAsia="Arial Unicode MS"/>
          <w:lang w:val="en-GB"/>
        </w:rPr>
        <w:t>On licencing and activity of savings and loans associations and their Unions”.</w:t>
      </w:r>
      <w:r w:rsidRPr="0038045B">
        <w:rPr>
          <w:lang w:val="en-US"/>
        </w:rPr>
        <w:t xml:space="preserve"> </w:t>
      </w:r>
    </w:p>
    <w:p w14:paraId="3B7AA173" w14:textId="77777777" w:rsidR="00827AEB" w:rsidRPr="0038045B" w:rsidRDefault="00DB5F33" w:rsidP="00A45E0E">
      <w:pPr>
        <w:pStyle w:val="Body"/>
        <w:numPr>
          <w:ilvl w:val="0"/>
          <w:numId w:val="15"/>
        </w:numPr>
        <w:spacing w:after="200" w:line="276" w:lineRule="auto"/>
        <w:ind w:left="0" w:firstLine="0"/>
        <w:rPr>
          <w:lang w:val="en-US"/>
        </w:rPr>
      </w:pPr>
      <w:r w:rsidRPr="0038045B">
        <w:rPr>
          <w:lang w:val="en-US"/>
        </w:rPr>
        <w:t>Regulation No. 01 of 2013 “On licensing and activity of non-bank financial institutions”</w:t>
      </w:r>
      <w:r w:rsidRPr="0038045B">
        <w:rPr>
          <w:sz w:val="20"/>
          <w:lang w:val="en-US"/>
        </w:rPr>
        <w:t xml:space="preserve"> </w:t>
      </w:r>
      <w:r w:rsidRPr="0038045B">
        <w:rPr>
          <w:szCs w:val="24"/>
          <w:lang w:val="en-US"/>
        </w:rPr>
        <w:t>sets the criteria for l</w:t>
      </w:r>
      <w:r w:rsidRPr="0038045B">
        <w:rPr>
          <w:lang w:val="en-US"/>
        </w:rPr>
        <w:t xml:space="preserve">icensing </w:t>
      </w:r>
      <w:r w:rsidR="00827AEB" w:rsidRPr="0038045B">
        <w:rPr>
          <w:lang w:val="en-US"/>
        </w:rPr>
        <w:t>NB</w:t>
      </w:r>
      <w:r w:rsidRPr="0038045B">
        <w:rPr>
          <w:lang w:val="en-US"/>
        </w:rPr>
        <w:t>FIs to provide payment services. In implementing art. 126 of the Banking Law on “Non-bank financial subjects</w:t>
      </w:r>
      <w:r w:rsidR="00A45E0E" w:rsidRPr="0038045B">
        <w:rPr>
          <w:lang w:val="en-US"/>
        </w:rPr>
        <w:t>”</w:t>
      </w:r>
      <w:r w:rsidRPr="0038045B">
        <w:rPr>
          <w:lang w:val="en-US"/>
        </w:rPr>
        <w:t xml:space="preserve">, this regulation, </w:t>
      </w:r>
      <w:r w:rsidR="00827AEB" w:rsidRPr="0038045B">
        <w:rPr>
          <w:lang w:val="en-US"/>
        </w:rPr>
        <w:t>lays down the</w:t>
      </w:r>
      <w:r w:rsidR="00181D3C" w:rsidRPr="0038045B">
        <w:rPr>
          <w:lang w:val="en-US"/>
        </w:rPr>
        <w:t xml:space="preserve"> conditions, requirements, time</w:t>
      </w:r>
      <w:r w:rsidR="00827AEB" w:rsidRPr="0038045B">
        <w:rPr>
          <w:lang w:val="en-US"/>
        </w:rPr>
        <w:t>frame, documentation and procedures for microcredit financial institutions</w:t>
      </w:r>
      <w:r w:rsidR="00D21530" w:rsidRPr="0038045B">
        <w:rPr>
          <w:lang w:val="en-US"/>
        </w:rPr>
        <w:t xml:space="preserve"> and</w:t>
      </w:r>
      <w:r w:rsidR="00005648" w:rsidRPr="0038045B">
        <w:rPr>
          <w:lang w:val="en-US"/>
        </w:rPr>
        <w:t xml:space="preserve"> other </w:t>
      </w:r>
      <w:r w:rsidR="00827AEB" w:rsidRPr="0038045B">
        <w:rPr>
          <w:lang w:val="en-US"/>
        </w:rPr>
        <w:t>NBFIs</w:t>
      </w:r>
      <w:r w:rsidR="00D21530" w:rsidRPr="0038045B">
        <w:rPr>
          <w:lang w:val="en-US"/>
        </w:rPr>
        <w:t xml:space="preserve"> </w:t>
      </w:r>
      <w:r w:rsidR="00312EBF" w:rsidRPr="0038045B">
        <w:rPr>
          <w:lang w:val="en-US"/>
        </w:rPr>
        <w:t xml:space="preserve">in connection with their </w:t>
      </w:r>
      <w:r w:rsidR="00827AEB" w:rsidRPr="0038045B">
        <w:rPr>
          <w:lang w:val="en-US"/>
        </w:rPr>
        <w:t>licensing</w:t>
      </w:r>
      <w:r w:rsidR="006457A4" w:rsidRPr="0038045B">
        <w:rPr>
          <w:lang w:val="en-US"/>
        </w:rPr>
        <w:t xml:space="preserve"> </w:t>
      </w:r>
      <w:r w:rsidR="00A45E0E" w:rsidRPr="0038045B">
        <w:rPr>
          <w:lang w:val="en-US"/>
        </w:rPr>
        <w:t>t</w:t>
      </w:r>
      <w:r w:rsidR="00181D3C" w:rsidRPr="0038045B">
        <w:rPr>
          <w:lang w:val="en-US"/>
        </w:rPr>
        <w:t>o</w:t>
      </w:r>
      <w:r w:rsidR="00D21530" w:rsidRPr="0038045B">
        <w:rPr>
          <w:lang w:val="en-US"/>
        </w:rPr>
        <w:t xml:space="preserve"> </w:t>
      </w:r>
      <w:r w:rsidR="00A45E0E" w:rsidRPr="0038045B">
        <w:rPr>
          <w:lang w:val="en-US"/>
        </w:rPr>
        <w:t>obtain</w:t>
      </w:r>
      <w:r w:rsidR="00312EBF" w:rsidRPr="0038045B">
        <w:rPr>
          <w:lang w:val="en-US"/>
        </w:rPr>
        <w:t xml:space="preserve"> p</w:t>
      </w:r>
      <w:r w:rsidR="00827AEB" w:rsidRPr="0038045B">
        <w:rPr>
          <w:lang w:val="en-US"/>
        </w:rPr>
        <w:t xml:space="preserve">rior approval to </w:t>
      </w:r>
      <w:r w:rsidR="00312EBF" w:rsidRPr="0038045B">
        <w:rPr>
          <w:lang w:val="en-US"/>
        </w:rPr>
        <w:t xml:space="preserve">perform </w:t>
      </w:r>
      <w:r w:rsidR="00827AEB" w:rsidRPr="0038045B">
        <w:rPr>
          <w:lang w:val="en-US"/>
        </w:rPr>
        <w:t xml:space="preserve">specific activities, and </w:t>
      </w:r>
      <w:r w:rsidR="00A45E0E" w:rsidRPr="0038045B">
        <w:rPr>
          <w:lang w:val="en-US"/>
        </w:rPr>
        <w:t xml:space="preserve">establishes </w:t>
      </w:r>
      <w:r w:rsidR="006457A4" w:rsidRPr="0038045B">
        <w:rPr>
          <w:lang w:val="en-US"/>
        </w:rPr>
        <w:t xml:space="preserve">an </w:t>
      </w:r>
      <w:r w:rsidR="00827AEB" w:rsidRPr="0038045B">
        <w:rPr>
          <w:lang w:val="en-US"/>
        </w:rPr>
        <w:t xml:space="preserve">obligation to notify the BoA during the execution of </w:t>
      </w:r>
      <w:r w:rsidR="006457A4" w:rsidRPr="0038045B">
        <w:rPr>
          <w:lang w:val="en-US"/>
        </w:rPr>
        <w:t xml:space="preserve">such </w:t>
      </w:r>
      <w:r w:rsidR="00827AEB" w:rsidRPr="0038045B">
        <w:rPr>
          <w:lang w:val="en-US"/>
        </w:rPr>
        <w:t xml:space="preserve">activities in Albania. </w:t>
      </w:r>
      <w:r w:rsidR="00E82478" w:rsidRPr="0038045B">
        <w:rPr>
          <w:lang w:val="en-US"/>
        </w:rPr>
        <w:t>Th</w:t>
      </w:r>
      <w:r w:rsidR="00D21530" w:rsidRPr="0038045B">
        <w:rPr>
          <w:lang w:val="en-US"/>
        </w:rPr>
        <w:t>is</w:t>
      </w:r>
      <w:r w:rsidR="00E82478" w:rsidRPr="0038045B">
        <w:rPr>
          <w:lang w:val="en-US"/>
        </w:rPr>
        <w:t xml:space="preserve"> Regulation include e-money institutions as entities that</w:t>
      </w:r>
      <w:r w:rsidR="00FF5738" w:rsidRPr="0038045B">
        <w:rPr>
          <w:lang w:val="en-US"/>
        </w:rPr>
        <w:t>, in addition to issuing e-money,</w:t>
      </w:r>
      <w:r w:rsidR="00E82478" w:rsidRPr="0038045B">
        <w:rPr>
          <w:lang w:val="en-US"/>
        </w:rPr>
        <w:t xml:space="preserve"> are allowed to provide payment </w:t>
      </w:r>
      <w:r w:rsidR="00D21530" w:rsidRPr="0038045B">
        <w:rPr>
          <w:lang w:val="en-US"/>
        </w:rPr>
        <w:t xml:space="preserve">and money transfer </w:t>
      </w:r>
      <w:r w:rsidR="00E82478" w:rsidRPr="0038045B">
        <w:rPr>
          <w:lang w:val="en-US"/>
        </w:rPr>
        <w:t>services,</w:t>
      </w:r>
      <w:r w:rsidR="00D21530" w:rsidRPr="0038045B">
        <w:rPr>
          <w:rStyle w:val="FootnoteReference"/>
          <w:lang w:val="en-US"/>
        </w:rPr>
        <w:footnoteReference w:id="32"/>
      </w:r>
      <w:r w:rsidR="00E82478" w:rsidRPr="0038045B">
        <w:rPr>
          <w:lang w:val="en-US"/>
        </w:rPr>
        <w:t xml:space="preserve"> after being licensed by </w:t>
      </w:r>
      <w:r w:rsidRPr="0038045B">
        <w:rPr>
          <w:lang w:val="en-US"/>
        </w:rPr>
        <w:t xml:space="preserve">the </w:t>
      </w:r>
      <w:r w:rsidR="00E82478" w:rsidRPr="0038045B">
        <w:rPr>
          <w:lang w:val="en-US"/>
        </w:rPr>
        <w:t>BoA (article 5(1)(c)</w:t>
      </w:r>
      <w:r w:rsidR="00D21530" w:rsidRPr="0038045B">
        <w:rPr>
          <w:lang w:val="en-US"/>
        </w:rPr>
        <w:t>)</w:t>
      </w:r>
      <w:r w:rsidR="00E82478" w:rsidRPr="0038045B">
        <w:rPr>
          <w:lang w:val="en-US"/>
        </w:rPr>
        <w:t>.</w:t>
      </w:r>
    </w:p>
    <w:p w14:paraId="6A90861A" w14:textId="77777777" w:rsidR="00827AEB" w:rsidRPr="0038045B" w:rsidRDefault="00827AEB" w:rsidP="00827AEB">
      <w:pPr>
        <w:pStyle w:val="Body"/>
        <w:numPr>
          <w:ilvl w:val="0"/>
          <w:numId w:val="15"/>
        </w:numPr>
        <w:spacing w:after="200" w:line="276" w:lineRule="auto"/>
        <w:ind w:left="0" w:firstLine="0"/>
        <w:rPr>
          <w:lang w:val="en-US"/>
        </w:rPr>
      </w:pPr>
      <w:r w:rsidRPr="0038045B">
        <w:rPr>
          <w:lang w:val="en-US"/>
        </w:rPr>
        <w:t xml:space="preserve">One of the most recent developments </w:t>
      </w:r>
      <w:r w:rsidR="00312EBF" w:rsidRPr="0038045B">
        <w:rPr>
          <w:lang w:val="en-US"/>
        </w:rPr>
        <w:t>that f</w:t>
      </w:r>
      <w:r w:rsidR="006457A4" w:rsidRPr="0038045B">
        <w:rPr>
          <w:lang w:val="en-US"/>
        </w:rPr>
        <w:t>acilitated</w:t>
      </w:r>
      <w:r w:rsidR="00312EBF" w:rsidRPr="0038045B">
        <w:rPr>
          <w:lang w:val="en-US"/>
        </w:rPr>
        <w:t xml:space="preserve"> the increased participation of NBFIs and even non-financial institutions in the payments value chain </w:t>
      </w:r>
      <w:r w:rsidRPr="0038045B">
        <w:rPr>
          <w:lang w:val="en-US"/>
        </w:rPr>
        <w:t>was the issu</w:t>
      </w:r>
      <w:r w:rsidR="00312EBF" w:rsidRPr="0038045B">
        <w:rPr>
          <w:lang w:val="en-US"/>
        </w:rPr>
        <w:t xml:space="preserve">ance </w:t>
      </w:r>
      <w:r w:rsidRPr="0038045B">
        <w:rPr>
          <w:lang w:val="en-US"/>
        </w:rPr>
        <w:t>in 2015 of Regulation No. 82 “On the licensing, regulation and oversight of operators of paym</w:t>
      </w:r>
      <w:r w:rsidR="00A45E0E" w:rsidRPr="0038045B">
        <w:rPr>
          <w:lang w:val="en-US"/>
        </w:rPr>
        <w:t>ent systems and clearing houses”</w:t>
      </w:r>
      <w:r w:rsidRPr="0038045B">
        <w:rPr>
          <w:lang w:val="en-US"/>
        </w:rPr>
        <w:t>. This Regulation establishes detailed licensing criteria, procedures</w:t>
      </w:r>
      <w:r w:rsidR="00A45E0E" w:rsidRPr="0038045B">
        <w:rPr>
          <w:lang w:val="en-US"/>
        </w:rPr>
        <w:t>,</w:t>
      </w:r>
      <w:r w:rsidRPr="0038045B">
        <w:rPr>
          <w:lang w:val="en-US"/>
        </w:rPr>
        <w:t xml:space="preserve"> and terms for legal entities to operate a payment system or a clearing house. In </w:t>
      </w:r>
      <w:r w:rsidRPr="0038045B">
        <w:rPr>
          <w:lang w:val="en-US"/>
        </w:rPr>
        <w:lastRenderedPageBreak/>
        <w:t xml:space="preserve">particular, the Regulation establishes criteria for </w:t>
      </w:r>
      <w:r w:rsidR="00181D3C" w:rsidRPr="0038045B">
        <w:rPr>
          <w:lang w:val="en-US"/>
        </w:rPr>
        <w:t xml:space="preserve">grant or refusal, revocation, </w:t>
      </w:r>
      <w:r w:rsidRPr="0038045B">
        <w:rPr>
          <w:lang w:val="en-US"/>
        </w:rPr>
        <w:t>and suspen</w:t>
      </w:r>
      <w:r w:rsidR="00181D3C" w:rsidRPr="0038045B">
        <w:rPr>
          <w:lang w:val="en-US"/>
        </w:rPr>
        <w:t>sion</w:t>
      </w:r>
      <w:r w:rsidRPr="0038045B">
        <w:rPr>
          <w:lang w:val="en-US"/>
        </w:rPr>
        <w:t xml:space="preserve"> </w:t>
      </w:r>
      <w:r w:rsidR="00181D3C" w:rsidRPr="0038045B">
        <w:rPr>
          <w:lang w:val="en-US"/>
        </w:rPr>
        <w:t xml:space="preserve">of </w:t>
      </w:r>
      <w:r w:rsidRPr="0038045B">
        <w:rPr>
          <w:lang w:val="en-US"/>
        </w:rPr>
        <w:t xml:space="preserve">a </w:t>
      </w:r>
      <w:r w:rsidR="00441DC2" w:rsidRPr="0038045B">
        <w:rPr>
          <w:lang w:val="en-US"/>
        </w:rPr>
        <w:t xml:space="preserve">payment system/clearinghouse </w:t>
      </w:r>
      <w:r w:rsidRPr="0038045B">
        <w:rPr>
          <w:lang w:val="en-US"/>
        </w:rPr>
        <w:t>licen</w:t>
      </w:r>
      <w:r w:rsidR="00312EBF" w:rsidRPr="0038045B">
        <w:rPr>
          <w:lang w:val="en-US"/>
        </w:rPr>
        <w:t>s</w:t>
      </w:r>
      <w:r w:rsidRPr="0038045B">
        <w:rPr>
          <w:lang w:val="en-US"/>
        </w:rPr>
        <w:t>e</w:t>
      </w:r>
      <w:r w:rsidR="00312EBF" w:rsidRPr="0038045B">
        <w:rPr>
          <w:lang w:val="en-US"/>
        </w:rPr>
        <w:t>,</w:t>
      </w:r>
      <w:r w:rsidRPr="0038045B">
        <w:rPr>
          <w:lang w:val="en-US"/>
        </w:rPr>
        <w:t xml:space="preserve"> and </w:t>
      </w:r>
      <w:r w:rsidR="00312EBF" w:rsidRPr="0038045B">
        <w:rPr>
          <w:lang w:val="en-US"/>
        </w:rPr>
        <w:t xml:space="preserve">stipulates the </w:t>
      </w:r>
      <w:r w:rsidRPr="0038045B">
        <w:rPr>
          <w:lang w:val="en-US"/>
        </w:rPr>
        <w:t xml:space="preserve">oversight powers of </w:t>
      </w:r>
      <w:r w:rsidR="00A45E0E" w:rsidRPr="0038045B">
        <w:rPr>
          <w:lang w:val="en-US"/>
        </w:rPr>
        <w:t xml:space="preserve">the </w:t>
      </w:r>
      <w:r w:rsidRPr="0038045B">
        <w:rPr>
          <w:lang w:val="en-US"/>
        </w:rPr>
        <w:t xml:space="preserve">BoA. </w:t>
      </w:r>
      <w:r w:rsidR="00312EBF" w:rsidRPr="0038045B">
        <w:rPr>
          <w:lang w:val="en-US"/>
        </w:rPr>
        <w:t xml:space="preserve">This </w:t>
      </w:r>
      <w:r w:rsidRPr="0038045B">
        <w:rPr>
          <w:lang w:val="en-US"/>
        </w:rPr>
        <w:t xml:space="preserve">Regulation, </w:t>
      </w:r>
      <w:r w:rsidR="006457A4" w:rsidRPr="0038045B">
        <w:rPr>
          <w:lang w:val="en-US"/>
        </w:rPr>
        <w:t xml:space="preserve">in </w:t>
      </w:r>
      <w:r w:rsidRPr="0038045B">
        <w:rPr>
          <w:lang w:val="en-US"/>
        </w:rPr>
        <w:t xml:space="preserve">implementing the finality </w:t>
      </w:r>
      <w:r w:rsidR="00A45E0E" w:rsidRPr="0038045B">
        <w:rPr>
          <w:lang w:val="en-US"/>
        </w:rPr>
        <w:t>provision</w:t>
      </w:r>
      <w:r w:rsidR="00441DC2" w:rsidRPr="0038045B">
        <w:rPr>
          <w:lang w:val="en-US"/>
        </w:rPr>
        <w:t xml:space="preserve"> of the Law on</w:t>
      </w:r>
      <w:r w:rsidR="00A45E0E" w:rsidRPr="0038045B">
        <w:rPr>
          <w:lang w:val="en-US"/>
        </w:rPr>
        <w:t xml:space="preserve"> Payment System</w:t>
      </w:r>
      <w:r w:rsidRPr="0038045B">
        <w:rPr>
          <w:lang w:val="en-US"/>
        </w:rPr>
        <w:t xml:space="preserve">, establishes that finality has to be ensured at least </w:t>
      </w:r>
      <w:r w:rsidR="00A45E0E" w:rsidRPr="0038045B">
        <w:rPr>
          <w:lang w:val="en-US"/>
        </w:rPr>
        <w:t>by</w:t>
      </w:r>
      <w:r w:rsidR="00441DC2" w:rsidRPr="0038045B">
        <w:rPr>
          <w:lang w:val="en-US"/>
        </w:rPr>
        <w:t xml:space="preserve"> </w:t>
      </w:r>
      <w:r w:rsidRPr="0038045B">
        <w:rPr>
          <w:lang w:val="en-US"/>
        </w:rPr>
        <w:t>end of value date</w:t>
      </w:r>
      <w:r w:rsidR="006457A4" w:rsidRPr="0038045B">
        <w:rPr>
          <w:lang w:val="en-US"/>
        </w:rPr>
        <w:t>, or “whenever needed or preferable”</w:t>
      </w:r>
      <w:r w:rsidR="00BB03ED" w:rsidRPr="0038045B">
        <w:rPr>
          <w:lang w:val="en-US"/>
        </w:rPr>
        <w:t xml:space="preserve"> </w:t>
      </w:r>
      <w:r w:rsidR="006457A4" w:rsidRPr="0038045B">
        <w:rPr>
          <w:lang w:val="en-US"/>
        </w:rPr>
        <w:t xml:space="preserve">on an </w:t>
      </w:r>
      <w:r w:rsidRPr="0038045B">
        <w:rPr>
          <w:lang w:val="en-US"/>
        </w:rPr>
        <w:t xml:space="preserve">intraday or real-time </w:t>
      </w:r>
      <w:r w:rsidR="006457A4" w:rsidRPr="0038045B">
        <w:rPr>
          <w:lang w:val="en-US"/>
        </w:rPr>
        <w:t xml:space="preserve">basis. </w:t>
      </w:r>
      <w:r w:rsidRPr="0038045B">
        <w:rPr>
          <w:lang w:val="en-US"/>
        </w:rPr>
        <w:t xml:space="preserve"> </w:t>
      </w:r>
      <w:r w:rsidR="00312EBF" w:rsidRPr="0038045B">
        <w:rPr>
          <w:lang w:val="en-US"/>
        </w:rPr>
        <w:t xml:space="preserve">Regulation </w:t>
      </w:r>
      <w:r w:rsidR="00B00095" w:rsidRPr="0038045B">
        <w:rPr>
          <w:lang w:val="en-US"/>
        </w:rPr>
        <w:t xml:space="preserve">No. 82 </w:t>
      </w:r>
      <w:r w:rsidR="00312EBF" w:rsidRPr="0038045B">
        <w:rPr>
          <w:lang w:val="en-US"/>
        </w:rPr>
        <w:t xml:space="preserve">also </w:t>
      </w:r>
      <w:r w:rsidR="00B00095" w:rsidRPr="0038045B">
        <w:rPr>
          <w:lang w:val="en-US"/>
        </w:rPr>
        <w:t>states that access to these payment systems operated by private entities shall be</w:t>
      </w:r>
      <w:r w:rsidR="00312EBF" w:rsidRPr="0038045B">
        <w:rPr>
          <w:lang w:val="en-US"/>
        </w:rPr>
        <w:t xml:space="preserve"> open, fair, non-discriminatory and </w:t>
      </w:r>
      <w:r w:rsidR="00B00095" w:rsidRPr="0038045B">
        <w:rPr>
          <w:lang w:val="en-US"/>
        </w:rPr>
        <w:t>risk-based</w:t>
      </w:r>
      <w:r w:rsidR="00312EBF" w:rsidRPr="0038045B">
        <w:rPr>
          <w:lang w:val="en-US"/>
        </w:rPr>
        <w:t>.</w:t>
      </w:r>
    </w:p>
    <w:p w14:paraId="45757EAB" w14:textId="77777777" w:rsidR="00827AEB" w:rsidRPr="0038045B" w:rsidRDefault="00D0680A" w:rsidP="00827AEB">
      <w:pPr>
        <w:pStyle w:val="Body"/>
        <w:numPr>
          <w:ilvl w:val="0"/>
          <w:numId w:val="15"/>
        </w:numPr>
        <w:spacing w:after="200" w:line="276" w:lineRule="auto"/>
        <w:ind w:left="0" w:firstLine="0"/>
        <w:rPr>
          <w:lang w:val="en-US"/>
        </w:rPr>
      </w:pPr>
      <w:r w:rsidRPr="0038045B">
        <w:rPr>
          <w:lang w:val="en-US"/>
        </w:rPr>
        <w:t xml:space="preserve">Aspects related to the operation and management of </w:t>
      </w:r>
      <w:r w:rsidR="00827AEB" w:rsidRPr="0038045B">
        <w:rPr>
          <w:lang w:val="en-US"/>
        </w:rPr>
        <w:t>national card payment scheme</w:t>
      </w:r>
      <w:r w:rsidRPr="0038045B">
        <w:rPr>
          <w:lang w:val="en-US"/>
        </w:rPr>
        <w:t>s are</w:t>
      </w:r>
      <w:r w:rsidR="00827AEB" w:rsidRPr="0038045B">
        <w:rPr>
          <w:lang w:val="en-US"/>
        </w:rPr>
        <w:t xml:space="preserve"> </w:t>
      </w:r>
      <w:r w:rsidRPr="0038045B">
        <w:rPr>
          <w:lang w:val="en-US"/>
        </w:rPr>
        <w:t>addressed in</w:t>
      </w:r>
      <w:r w:rsidR="00441DC2" w:rsidRPr="0038045B">
        <w:rPr>
          <w:lang w:val="en-US"/>
        </w:rPr>
        <w:t xml:space="preserve"> </w:t>
      </w:r>
      <w:r w:rsidR="00FA1D5F" w:rsidRPr="0038045B">
        <w:rPr>
          <w:lang w:val="en-US"/>
        </w:rPr>
        <w:t xml:space="preserve">BoA </w:t>
      </w:r>
      <w:r w:rsidR="00441DC2" w:rsidRPr="0038045B">
        <w:rPr>
          <w:lang w:val="en-US"/>
        </w:rPr>
        <w:t>Regulation No. 42 of 2013 “</w:t>
      </w:r>
      <w:r w:rsidR="00827AEB" w:rsidRPr="0038045B">
        <w:rPr>
          <w:lang w:val="en-US"/>
        </w:rPr>
        <w:t>On the licensing, regulation and oversight of national</w:t>
      </w:r>
      <w:r w:rsidR="00441DC2" w:rsidRPr="0038045B">
        <w:rPr>
          <w:lang w:val="en-US"/>
        </w:rPr>
        <w:t xml:space="preserve"> card payment schemes operators”</w:t>
      </w:r>
      <w:r w:rsidR="00827AEB" w:rsidRPr="0038045B">
        <w:rPr>
          <w:lang w:val="en-US"/>
        </w:rPr>
        <w:t>. Th</w:t>
      </w:r>
      <w:r w:rsidRPr="0038045B">
        <w:rPr>
          <w:lang w:val="en-US"/>
        </w:rPr>
        <w:t xml:space="preserve">e scope of this </w:t>
      </w:r>
      <w:r w:rsidR="00827AEB" w:rsidRPr="0038045B">
        <w:rPr>
          <w:lang w:val="en-US"/>
        </w:rPr>
        <w:t xml:space="preserve">Regulation </w:t>
      </w:r>
      <w:r w:rsidRPr="0038045B">
        <w:rPr>
          <w:lang w:val="en-US"/>
        </w:rPr>
        <w:t>encompasses</w:t>
      </w:r>
      <w:r w:rsidR="00827AEB" w:rsidRPr="0038045B">
        <w:rPr>
          <w:lang w:val="en-US"/>
        </w:rPr>
        <w:t xml:space="preserve"> the licensing, supervision and oversight of national card payment schemes, including the </w:t>
      </w:r>
      <w:r w:rsidRPr="0038045B">
        <w:rPr>
          <w:lang w:val="en-US"/>
        </w:rPr>
        <w:t xml:space="preserve">card </w:t>
      </w:r>
      <w:r w:rsidR="00827AEB" w:rsidRPr="0038045B">
        <w:rPr>
          <w:lang w:val="en-US"/>
        </w:rPr>
        <w:t>issuer, a</w:t>
      </w:r>
      <w:r w:rsidR="00B00095" w:rsidRPr="0038045B">
        <w:rPr>
          <w:lang w:val="en-US"/>
        </w:rPr>
        <w:t>cquirer</w:t>
      </w:r>
      <w:r w:rsidR="00827AEB" w:rsidRPr="0038045B">
        <w:rPr>
          <w:lang w:val="en-US"/>
        </w:rPr>
        <w:t xml:space="preserve">, cardholder and the </w:t>
      </w:r>
      <w:r w:rsidR="00B00095" w:rsidRPr="0038045B">
        <w:rPr>
          <w:lang w:val="en-US"/>
        </w:rPr>
        <w:t>merchant</w:t>
      </w:r>
      <w:r w:rsidR="00827AEB" w:rsidRPr="0038045B">
        <w:rPr>
          <w:lang w:val="en-US"/>
        </w:rPr>
        <w:t xml:space="preserve"> (international card payment schemes are not subject to this Regulation).</w:t>
      </w:r>
      <w:r w:rsidR="00424955" w:rsidRPr="0038045B">
        <w:rPr>
          <w:lang w:val="en-US"/>
        </w:rPr>
        <w:t xml:space="preserve"> </w:t>
      </w:r>
    </w:p>
    <w:p w14:paraId="47893D30" w14:textId="77777777" w:rsidR="00035A67" w:rsidRPr="0038045B" w:rsidRDefault="00827AEB" w:rsidP="00035A67">
      <w:pPr>
        <w:pStyle w:val="Body"/>
        <w:numPr>
          <w:ilvl w:val="0"/>
          <w:numId w:val="15"/>
        </w:numPr>
        <w:spacing w:after="200" w:line="276" w:lineRule="auto"/>
        <w:ind w:left="0" w:firstLine="0"/>
        <w:rPr>
          <w:lang w:val="en-GB"/>
        </w:rPr>
      </w:pPr>
      <w:r w:rsidRPr="0038045B">
        <w:rPr>
          <w:lang w:val="en-US"/>
        </w:rPr>
        <w:t xml:space="preserve">The legal foundation for electronic payments has been strengthened by introducing </w:t>
      </w:r>
      <w:r w:rsidR="008268D2" w:rsidRPr="0038045B">
        <w:rPr>
          <w:lang w:val="en-US"/>
        </w:rPr>
        <w:t xml:space="preserve">other </w:t>
      </w:r>
      <w:r w:rsidRPr="0038045B">
        <w:rPr>
          <w:lang w:val="en-US"/>
        </w:rPr>
        <w:t xml:space="preserve">key statutory provisions. To remove the primary barriers to the use of electronic transactions, laws typically provide that the electronic records and electronic signatures that </w:t>
      </w:r>
      <w:r w:rsidR="00441DC2" w:rsidRPr="0038045B">
        <w:rPr>
          <w:lang w:val="en-US"/>
        </w:rPr>
        <w:t>validate a transaction</w:t>
      </w:r>
      <w:r w:rsidRPr="0038045B">
        <w:rPr>
          <w:lang w:val="en-US"/>
        </w:rPr>
        <w:t xml:space="preserve"> cannot be denied legal effectiveness solely on the ground that they are in electronic form. </w:t>
      </w:r>
      <w:r w:rsidR="00D0680A" w:rsidRPr="0038045B">
        <w:rPr>
          <w:lang w:val="en-US"/>
        </w:rPr>
        <w:t>In Albania, t</w:t>
      </w:r>
      <w:r w:rsidRPr="0038045B">
        <w:rPr>
          <w:lang w:val="en-US"/>
        </w:rPr>
        <w:t xml:space="preserve">he Banking Law (article 129) includes provisions on the recognition of electronic transfers as valid means of payments. </w:t>
      </w:r>
      <w:r w:rsidR="00424955" w:rsidRPr="0038045B">
        <w:rPr>
          <w:lang w:val="en-US"/>
        </w:rPr>
        <w:t xml:space="preserve">Then, </w:t>
      </w:r>
      <w:r w:rsidR="00441DC2" w:rsidRPr="0038045B">
        <w:rPr>
          <w:lang w:val="en-US"/>
        </w:rPr>
        <w:t>Law N</w:t>
      </w:r>
      <w:r w:rsidRPr="0038045B">
        <w:rPr>
          <w:lang w:val="en-US"/>
        </w:rPr>
        <w:t xml:space="preserve">o. 10273/2010 “On the Electronic Document”, as amended in 2015, includes provisions on the recognition of the legal status of an electronic document </w:t>
      </w:r>
      <w:r w:rsidR="008268D2" w:rsidRPr="0038045B">
        <w:rPr>
          <w:lang w:val="en-US"/>
        </w:rPr>
        <w:t xml:space="preserve">as </w:t>
      </w:r>
      <w:r w:rsidRPr="0038045B">
        <w:rPr>
          <w:lang w:val="en-US"/>
        </w:rPr>
        <w:t xml:space="preserve">equivalent to </w:t>
      </w:r>
      <w:r w:rsidR="008268D2" w:rsidRPr="0038045B">
        <w:rPr>
          <w:lang w:val="en-US"/>
        </w:rPr>
        <w:t xml:space="preserve">a </w:t>
      </w:r>
      <w:r w:rsidRPr="0038045B">
        <w:rPr>
          <w:lang w:val="en-US"/>
        </w:rPr>
        <w:t xml:space="preserve">paper </w:t>
      </w:r>
      <w:r w:rsidR="008268D2" w:rsidRPr="0038045B">
        <w:rPr>
          <w:lang w:val="en-US"/>
        </w:rPr>
        <w:t>document</w:t>
      </w:r>
      <w:r w:rsidRPr="0038045B">
        <w:rPr>
          <w:lang w:val="en-US"/>
        </w:rPr>
        <w:t>.</w:t>
      </w:r>
      <w:r w:rsidR="00424955" w:rsidRPr="0038045B">
        <w:rPr>
          <w:vertAlign w:val="superscript"/>
          <w:lang w:val="en-US"/>
        </w:rPr>
        <w:footnoteReference w:id="33"/>
      </w:r>
      <w:r w:rsidRPr="0038045B">
        <w:rPr>
          <w:lang w:val="en-US"/>
        </w:rPr>
        <w:t xml:space="preserve"> </w:t>
      </w:r>
      <w:r w:rsidR="00A864E1" w:rsidRPr="0038045B">
        <w:rPr>
          <w:lang w:val="en-US"/>
        </w:rPr>
        <w:t>Law</w:t>
      </w:r>
      <w:r w:rsidRPr="0038045B">
        <w:rPr>
          <w:lang w:val="en-US"/>
        </w:rPr>
        <w:t xml:space="preserve"> </w:t>
      </w:r>
      <w:r w:rsidR="00441DC2" w:rsidRPr="0038045B">
        <w:rPr>
          <w:lang w:val="en-US"/>
        </w:rPr>
        <w:t>N</w:t>
      </w:r>
      <w:r w:rsidR="002C6A84" w:rsidRPr="0038045B">
        <w:rPr>
          <w:lang w:val="en-US"/>
        </w:rPr>
        <w:t xml:space="preserve">o. 9880/2008 </w:t>
      </w:r>
      <w:r w:rsidRPr="0038045B">
        <w:rPr>
          <w:lang w:val="en-US"/>
        </w:rPr>
        <w:t xml:space="preserve">on </w:t>
      </w:r>
      <w:r w:rsidR="002C6A84" w:rsidRPr="0038045B">
        <w:rPr>
          <w:lang w:val="en-US"/>
        </w:rPr>
        <w:t>E</w:t>
      </w:r>
      <w:r w:rsidRPr="0038045B">
        <w:rPr>
          <w:lang w:val="en-US"/>
        </w:rPr>
        <w:t xml:space="preserve">lectronic </w:t>
      </w:r>
      <w:r w:rsidR="002C6A84" w:rsidRPr="0038045B">
        <w:rPr>
          <w:lang w:val="en-US"/>
        </w:rPr>
        <w:t>S</w:t>
      </w:r>
      <w:r w:rsidRPr="0038045B">
        <w:rPr>
          <w:lang w:val="en-US"/>
        </w:rPr>
        <w:t xml:space="preserve">ignature </w:t>
      </w:r>
      <w:r w:rsidR="00441DC2" w:rsidRPr="0038045B">
        <w:rPr>
          <w:lang w:val="en-US"/>
        </w:rPr>
        <w:t xml:space="preserve">had already </w:t>
      </w:r>
      <w:r w:rsidRPr="0038045B">
        <w:rPr>
          <w:lang w:val="en-US"/>
        </w:rPr>
        <w:t>recognize</w:t>
      </w:r>
      <w:r w:rsidR="008268D2" w:rsidRPr="0038045B">
        <w:rPr>
          <w:lang w:val="en-US"/>
        </w:rPr>
        <w:t>d</w:t>
      </w:r>
      <w:r w:rsidRPr="0038045B">
        <w:rPr>
          <w:lang w:val="en-US"/>
        </w:rPr>
        <w:t xml:space="preserve"> the </w:t>
      </w:r>
      <w:r w:rsidR="008268D2" w:rsidRPr="0038045B">
        <w:rPr>
          <w:lang w:val="en-US"/>
        </w:rPr>
        <w:t xml:space="preserve">legal status of </w:t>
      </w:r>
      <w:r w:rsidRPr="0038045B">
        <w:rPr>
          <w:lang w:val="en-US"/>
        </w:rPr>
        <w:t xml:space="preserve">electronic signature as equivalent </w:t>
      </w:r>
      <w:r w:rsidR="003D6CB1" w:rsidRPr="0038045B">
        <w:rPr>
          <w:lang w:val="en-US"/>
        </w:rPr>
        <w:t xml:space="preserve">to </w:t>
      </w:r>
      <w:r w:rsidR="00441DC2" w:rsidRPr="0038045B">
        <w:rPr>
          <w:lang w:val="en-US"/>
        </w:rPr>
        <w:t>the physical signature</w:t>
      </w:r>
      <w:r w:rsidR="00A864E1" w:rsidRPr="0038045B">
        <w:rPr>
          <w:lang w:val="en-US"/>
        </w:rPr>
        <w:t xml:space="preserve"> (article 4)</w:t>
      </w:r>
      <w:r w:rsidRPr="0038045B">
        <w:rPr>
          <w:lang w:val="en-US"/>
        </w:rPr>
        <w:t xml:space="preserve">. </w:t>
      </w:r>
      <w:r w:rsidR="00441DC2" w:rsidRPr="0038045B">
        <w:rPr>
          <w:lang w:val="en-US"/>
        </w:rPr>
        <w:t xml:space="preserve">Finally, </w:t>
      </w:r>
      <w:r w:rsidR="006F709E" w:rsidRPr="0038045B">
        <w:rPr>
          <w:lang w:val="en-US"/>
        </w:rPr>
        <w:t xml:space="preserve">“Guidelines for the use of electronic signature” </w:t>
      </w:r>
      <w:r w:rsidR="00441DC2" w:rsidRPr="0038045B">
        <w:rPr>
          <w:lang w:val="en-US"/>
        </w:rPr>
        <w:t>were</w:t>
      </w:r>
      <w:r w:rsidR="006F709E" w:rsidRPr="0038045B">
        <w:rPr>
          <w:lang w:val="en-US"/>
        </w:rPr>
        <w:t xml:space="preserve"> issued in 2011 by the National Authority for Electronic Certification, which </w:t>
      </w:r>
      <w:r w:rsidR="00B21670" w:rsidRPr="0038045B">
        <w:rPr>
          <w:lang w:val="en-US"/>
        </w:rPr>
        <w:t xml:space="preserve">is </w:t>
      </w:r>
      <w:r w:rsidR="006F709E" w:rsidRPr="0038045B">
        <w:rPr>
          <w:lang w:val="en-US"/>
        </w:rPr>
        <w:t xml:space="preserve">the institution that supervises the enforcement of the Law and its implementing regulations. </w:t>
      </w:r>
      <w:r w:rsidRPr="0038045B">
        <w:rPr>
          <w:lang w:val="en-US"/>
        </w:rPr>
        <w:t>The main legal basis for e</w:t>
      </w:r>
      <w:r w:rsidR="00441DC2" w:rsidRPr="0038045B">
        <w:rPr>
          <w:lang w:val="en-US"/>
        </w:rPr>
        <w:t xml:space="preserve">lectronic communications is </w:t>
      </w:r>
      <w:r w:rsidRPr="0038045B">
        <w:rPr>
          <w:lang w:val="en-US"/>
        </w:rPr>
        <w:t xml:space="preserve">Law </w:t>
      </w:r>
      <w:r w:rsidR="00441DC2" w:rsidRPr="0038045B">
        <w:rPr>
          <w:lang w:val="en-US"/>
        </w:rPr>
        <w:t>N</w:t>
      </w:r>
      <w:r w:rsidR="002C6A84" w:rsidRPr="0038045B">
        <w:rPr>
          <w:lang w:val="en-US"/>
        </w:rPr>
        <w:t xml:space="preserve">o. 9918/2008 </w:t>
      </w:r>
      <w:r w:rsidRPr="0038045B">
        <w:rPr>
          <w:lang w:val="en-US"/>
        </w:rPr>
        <w:t>on Electronic Communications, which establishes the regulatory authority, the Electronic and Postal Communications Authority (AKEP).</w:t>
      </w:r>
    </w:p>
    <w:p w14:paraId="76FD36D2" w14:textId="77777777" w:rsidR="00721CB6" w:rsidRPr="0038045B" w:rsidRDefault="00721CB6" w:rsidP="00721CB6">
      <w:pPr>
        <w:pStyle w:val="Body"/>
        <w:numPr>
          <w:ilvl w:val="0"/>
          <w:numId w:val="15"/>
        </w:numPr>
        <w:spacing w:after="200" w:line="276" w:lineRule="auto"/>
        <w:ind w:left="0" w:firstLine="0"/>
        <w:rPr>
          <w:lang w:val="en-US"/>
        </w:rPr>
      </w:pPr>
      <w:r w:rsidRPr="0038045B">
        <w:rPr>
          <w:lang w:val="en-US"/>
        </w:rPr>
        <w:t xml:space="preserve">Law no. 107/2015 “On Electronic Identification and Trust Services” creates the legal framework for electronic identification in Albania. Article 4 </w:t>
      </w:r>
      <w:r w:rsidR="000370A0" w:rsidRPr="0038045B">
        <w:rPr>
          <w:lang w:val="en-US"/>
        </w:rPr>
        <w:t xml:space="preserve">states </w:t>
      </w:r>
      <w:r w:rsidRPr="0038045B">
        <w:rPr>
          <w:lang w:val="en-US"/>
        </w:rPr>
        <w:t xml:space="preserve">that secure electronic identification is possible by means of an electronic identification issued by qualified service providers. Personal data created through a secure electronic ID shall be taken for granted and true and have the same legal value as the data obtained from the identification of a physical person through the official identification document. </w:t>
      </w:r>
      <w:r w:rsidR="000370A0" w:rsidRPr="0038045B">
        <w:rPr>
          <w:lang w:val="en-US"/>
        </w:rPr>
        <w:t>To</w:t>
      </w:r>
      <w:r w:rsidRPr="0038045B">
        <w:rPr>
          <w:lang w:val="en-US"/>
        </w:rPr>
        <w:t xml:space="preserve"> implement</w:t>
      </w:r>
      <w:r w:rsidR="000370A0" w:rsidRPr="0038045B">
        <w:rPr>
          <w:lang w:val="en-US"/>
        </w:rPr>
        <w:t xml:space="preserve"> </w:t>
      </w:r>
      <w:r w:rsidRPr="0038045B">
        <w:rPr>
          <w:lang w:val="en-US"/>
        </w:rPr>
        <w:t>this law</w:t>
      </w:r>
      <w:r w:rsidR="000370A0" w:rsidRPr="0038045B">
        <w:rPr>
          <w:lang w:val="en-US"/>
        </w:rPr>
        <w:t>,</w:t>
      </w:r>
      <w:r w:rsidRPr="0038045B">
        <w:rPr>
          <w:lang w:val="en-US"/>
        </w:rPr>
        <w:t xml:space="preserve"> the Council of Ministers </w:t>
      </w:r>
      <w:r w:rsidR="000370A0" w:rsidRPr="0038045B">
        <w:rPr>
          <w:lang w:val="en-US"/>
        </w:rPr>
        <w:t xml:space="preserve">issued </w:t>
      </w:r>
      <w:r w:rsidRPr="0038045B">
        <w:rPr>
          <w:lang w:val="en-US"/>
        </w:rPr>
        <w:t xml:space="preserve">Regulation </w:t>
      </w:r>
      <w:r w:rsidR="000370A0" w:rsidRPr="0038045B">
        <w:rPr>
          <w:lang w:val="en-US"/>
        </w:rPr>
        <w:t>N</w:t>
      </w:r>
      <w:r w:rsidRPr="0038045B">
        <w:rPr>
          <w:lang w:val="en-US"/>
        </w:rPr>
        <w:t>o. 69 of 2016 “On electronic identification and trust services”.</w:t>
      </w:r>
    </w:p>
    <w:p w14:paraId="6B2D1511" w14:textId="77777777" w:rsidR="00827AEB" w:rsidRPr="0038045B" w:rsidRDefault="00827AEB" w:rsidP="00806715">
      <w:pPr>
        <w:pStyle w:val="Body"/>
        <w:numPr>
          <w:ilvl w:val="0"/>
          <w:numId w:val="15"/>
        </w:numPr>
        <w:spacing w:after="200" w:line="276" w:lineRule="auto"/>
        <w:ind w:left="0" w:firstLine="0"/>
        <w:rPr>
          <w:lang w:val="en-US"/>
        </w:rPr>
      </w:pPr>
      <w:r w:rsidRPr="0038045B">
        <w:rPr>
          <w:lang w:val="en-US"/>
        </w:rPr>
        <w:lastRenderedPageBreak/>
        <w:t>Electronic payments are regulate</w:t>
      </w:r>
      <w:r w:rsidR="00D0680A" w:rsidRPr="0038045B">
        <w:rPr>
          <w:lang w:val="en-US"/>
        </w:rPr>
        <w:t>d in Regulation No. 11 of 2008 “</w:t>
      </w:r>
      <w:r w:rsidRPr="0038045B">
        <w:rPr>
          <w:lang w:val="en-US"/>
        </w:rPr>
        <w:t>On</w:t>
      </w:r>
      <w:r w:rsidR="00D0680A" w:rsidRPr="0038045B">
        <w:rPr>
          <w:lang w:val="en-US"/>
        </w:rPr>
        <w:t xml:space="preserve"> Electronic Payment Instruments”</w:t>
      </w:r>
      <w:r w:rsidR="009B09BD" w:rsidRPr="0038045B">
        <w:rPr>
          <w:lang w:val="en-US"/>
        </w:rPr>
        <w:t>, as amended</w:t>
      </w:r>
      <w:r w:rsidR="008268D2" w:rsidRPr="0038045B">
        <w:rPr>
          <w:lang w:val="en-US"/>
        </w:rPr>
        <w:t xml:space="preserve"> </w:t>
      </w:r>
      <w:r w:rsidR="002C6A84" w:rsidRPr="0038045B">
        <w:rPr>
          <w:lang w:val="en-US"/>
        </w:rPr>
        <w:t>in 2013</w:t>
      </w:r>
      <w:r w:rsidR="009B09BD" w:rsidRPr="0038045B">
        <w:rPr>
          <w:lang w:val="en-US"/>
        </w:rPr>
        <w:t>.</w:t>
      </w:r>
      <w:r w:rsidRPr="0038045B">
        <w:rPr>
          <w:lang w:val="en-US"/>
        </w:rPr>
        <w:t xml:space="preserve"> </w:t>
      </w:r>
      <w:r w:rsidR="008268D2" w:rsidRPr="0038045B">
        <w:rPr>
          <w:lang w:val="en-US"/>
        </w:rPr>
        <w:t xml:space="preserve">An </w:t>
      </w:r>
      <w:r w:rsidRPr="0038045B">
        <w:rPr>
          <w:lang w:val="en-US"/>
        </w:rPr>
        <w:t>“</w:t>
      </w:r>
      <w:r w:rsidR="008268D2" w:rsidRPr="0038045B">
        <w:rPr>
          <w:lang w:val="en-US"/>
        </w:rPr>
        <w:t>e</w:t>
      </w:r>
      <w:r w:rsidRPr="0038045B">
        <w:rPr>
          <w:lang w:val="en-US"/>
        </w:rPr>
        <w:t xml:space="preserve">lectronic payment” is defined as “the payment transaction, carried out through a card containing a magnetic strip, a </w:t>
      </w:r>
      <w:r w:rsidR="00FF5738" w:rsidRPr="0038045B">
        <w:rPr>
          <w:lang w:val="en-US"/>
        </w:rPr>
        <w:t>chip</w:t>
      </w:r>
      <w:r w:rsidRPr="0038045B">
        <w:rPr>
          <w:lang w:val="en-US"/>
        </w:rPr>
        <w:t xml:space="preserve"> or an identifying code and that is used in an electronic payments terminal, in a POS terminal, </w:t>
      </w:r>
      <w:r w:rsidR="003B0B7D" w:rsidRPr="0038045B">
        <w:rPr>
          <w:lang w:val="en-US"/>
        </w:rPr>
        <w:t>etc.</w:t>
      </w:r>
      <w:r w:rsidRPr="0038045B">
        <w:rPr>
          <w:lang w:val="en-US"/>
        </w:rPr>
        <w:t xml:space="preserve">; or via a banking application by using electronic means of communication”. </w:t>
      </w:r>
      <w:r w:rsidR="003C180E" w:rsidRPr="0038045B">
        <w:rPr>
          <w:lang w:val="en-US"/>
        </w:rPr>
        <w:t>In turn, an e</w:t>
      </w:r>
      <w:r w:rsidRPr="0038045B">
        <w:rPr>
          <w:lang w:val="en-US"/>
        </w:rPr>
        <w:t xml:space="preserve">lectronic </w:t>
      </w:r>
      <w:r w:rsidR="003C180E" w:rsidRPr="0038045B">
        <w:rPr>
          <w:lang w:val="en-US"/>
        </w:rPr>
        <w:t>p</w:t>
      </w:r>
      <w:r w:rsidRPr="0038045B">
        <w:rPr>
          <w:lang w:val="en-US"/>
        </w:rPr>
        <w:t xml:space="preserve">ayment </w:t>
      </w:r>
      <w:r w:rsidR="003C180E" w:rsidRPr="0038045B">
        <w:rPr>
          <w:lang w:val="en-US"/>
        </w:rPr>
        <w:t>ins</w:t>
      </w:r>
      <w:r w:rsidRPr="0038045B">
        <w:rPr>
          <w:lang w:val="en-US"/>
        </w:rPr>
        <w:t>trument is defined as “the instrument that enables the holder to perform electronic payments […]</w:t>
      </w:r>
      <w:r w:rsidR="003C180E" w:rsidRPr="0038045B">
        <w:rPr>
          <w:lang w:val="en-US"/>
        </w:rPr>
        <w:t>”</w:t>
      </w:r>
      <w:r w:rsidRPr="0038045B">
        <w:rPr>
          <w:lang w:val="en-US"/>
        </w:rPr>
        <w:t xml:space="preserve"> and includes “remote access payment instruments” (such as “banking cards” and “other electronic banking services”) as well as “electronic money instruments” (</w:t>
      </w:r>
      <w:r w:rsidR="003C180E" w:rsidRPr="0038045B">
        <w:rPr>
          <w:lang w:val="en-US"/>
        </w:rPr>
        <w:t>see below</w:t>
      </w:r>
      <w:r w:rsidRPr="0038045B">
        <w:rPr>
          <w:lang w:val="en-US"/>
        </w:rPr>
        <w:t xml:space="preserve">). </w:t>
      </w:r>
    </w:p>
    <w:p w14:paraId="3B8E13E7" w14:textId="77777777" w:rsidR="00827AEB" w:rsidRPr="0038045B" w:rsidRDefault="003C180E" w:rsidP="00827AEB">
      <w:pPr>
        <w:pStyle w:val="Body"/>
        <w:numPr>
          <w:ilvl w:val="0"/>
          <w:numId w:val="15"/>
        </w:numPr>
        <w:spacing w:after="200" w:line="276" w:lineRule="auto"/>
        <w:ind w:left="0" w:firstLine="0"/>
        <w:rPr>
          <w:lang w:val="en-US"/>
        </w:rPr>
      </w:pPr>
      <w:r w:rsidRPr="0038045B">
        <w:rPr>
          <w:lang w:val="en-US"/>
        </w:rPr>
        <w:t>In Albania, e-</w:t>
      </w:r>
      <w:r w:rsidR="00827AEB" w:rsidRPr="0038045B">
        <w:rPr>
          <w:lang w:val="en-US"/>
        </w:rPr>
        <w:t>money</w:t>
      </w:r>
      <w:r w:rsidRPr="0038045B">
        <w:rPr>
          <w:lang w:val="en-US"/>
        </w:rPr>
        <w:t xml:space="preserve"> can be</w:t>
      </w:r>
      <w:r w:rsidR="00827AEB" w:rsidRPr="0038045B">
        <w:rPr>
          <w:lang w:val="en-US"/>
        </w:rPr>
        <w:t xml:space="preserve"> issued by banks and, </w:t>
      </w:r>
      <w:r w:rsidRPr="0038045B">
        <w:rPr>
          <w:lang w:val="en-US"/>
        </w:rPr>
        <w:t xml:space="preserve">following the </w:t>
      </w:r>
      <w:r w:rsidR="00827AEB" w:rsidRPr="0038045B">
        <w:rPr>
          <w:lang w:val="en-US"/>
        </w:rPr>
        <w:t xml:space="preserve">amendments to the Banking Law in 2011, </w:t>
      </w:r>
      <w:r w:rsidRPr="0038045B">
        <w:rPr>
          <w:lang w:val="en-US"/>
        </w:rPr>
        <w:t xml:space="preserve">also </w:t>
      </w:r>
      <w:r w:rsidR="00827AEB" w:rsidRPr="0038045B">
        <w:rPr>
          <w:lang w:val="en-US"/>
        </w:rPr>
        <w:t xml:space="preserve">by NBFIs. </w:t>
      </w:r>
      <w:r w:rsidRPr="0038045B">
        <w:rPr>
          <w:lang w:val="en-US"/>
        </w:rPr>
        <w:t xml:space="preserve">In this regard, </w:t>
      </w:r>
      <w:r w:rsidR="00827AEB" w:rsidRPr="0038045B">
        <w:rPr>
          <w:lang w:val="en-US"/>
        </w:rPr>
        <w:t>e-money issuing is no</w:t>
      </w:r>
      <w:r w:rsidRPr="0038045B">
        <w:rPr>
          <w:lang w:val="en-US"/>
        </w:rPr>
        <w:t xml:space="preserve"> longer </w:t>
      </w:r>
      <w:r w:rsidR="00827AEB" w:rsidRPr="0038045B">
        <w:rPr>
          <w:lang w:val="en-US"/>
        </w:rPr>
        <w:t>considered a type of banking activity</w:t>
      </w:r>
      <w:r w:rsidRPr="0038045B">
        <w:rPr>
          <w:lang w:val="en-US"/>
        </w:rPr>
        <w:t xml:space="preserve"> (i.e. </w:t>
      </w:r>
      <w:r w:rsidR="00827AEB" w:rsidRPr="0038045B">
        <w:rPr>
          <w:lang w:val="en-US"/>
        </w:rPr>
        <w:t>reserved to banks</w:t>
      </w:r>
      <w:r w:rsidRPr="0038045B">
        <w:rPr>
          <w:lang w:val="en-US"/>
        </w:rPr>
        <w:t xml:space="preserve">), but rather </w:t>
      </w:r>
      <w:r w:rsidR="00827AEB" w:rsidRPr="0038045B">
        <w:rPr>
          <w:lang w:val="en-US"/>
        </w:rPr>
        <w:t xml:space="preserve">a financial activity, as </w:t>
      </w:r>
      <w:r w:rsidR="00DA3339" w:rsidRPr="0038045B">
        <w:rPr>
          <w:lang w:val="en-US"/>
        </w:rPr>
        <w:t xml:space="preserve">are </w:t>
      </w:r>
      <w:r w:rsidRPr="0038045B">
        <w:rPr>
          <w:lang w:val="en-US"/>
        </w:rPr>
        <w:t>“</w:t>
      </w:r>
      <w:r w:rsidR="00827AEB" w:rsidRPr="0038045B">
        <w:rPr>
          <w:lang w:val="en-US"/>
        </w:rPr>
        <w:t>other payment services</w:t>
      </w:r>
      <w:r w:rsidRPr="0038045B">
        <w:rPr>
          <w:lang w:val="en-US"/>
        </w:rPr>
        <w:t>”</w:t>
      </w:r>
      <w:r w:rsidR="00827AEB" w:rsidRPr="0038045B">
        <w:rPr>
          <w:lang w:val="en-US"/>
        </w:rPr>
        <w:t xml:space="preserve">. </w:t>
      </w:r>
      <w:r w:rsidRPr="0038045B">
        <w:rPr>
          <w:lang w:val="en-US"/>
        </w:rPr>
        <w:t xml:space="preserve">The amended Banking Law explicitly excludes e-money from the concept of deposit. </w:t>
      </w:r>
      <w:r w:rsidR="00827AEB" w:rsidRPr="0038045B">
        <w:rPr>
          <w:lang w:val="en-US"/>
        </w:rPr>
        <w:t>Regulation No. 11</w:t>
      </w:r>
      <w:r w:rsidRPr="0038045B">
        <w:rPr>
          <w:lang w:val="en-US"/>
        </w:rPr>
        <w:t xml:space="preserve"> of 2008</w:t>
      </w:r>
      <w:r w:rsidR="00D0680A" w:rsidRPr="0038045B">
        <w:rPr>
          <w:lang w:val="en-US"/>
        </w:rPr>
        <w:t xml:space="preserve"> on </w:t>
      </w:r>
      <w:r w:rsidR="00B21670" w:rsidRPr="0038045B">
        <w:rPr>
          <w:lang w:val="en-US"/>
        </w:rPr>
        <w:t>E</w:t>
      </w:r>
      <w:r w:rsidR="00D0680A" w:rsidRPr="0038045B">
        <w:rPr>
          <w:lang w:val="en-US"/>
        </w:rPr>
        <w:t xml:space="preserve">lectronic </w:t>
      </w:r>
      <w:r w:rsidR="00B21670" w:rsidRPr="0038045B">
        <w:rPr>
          <w:lang w:val="en-US"/>
        </w:rPr>
        <w:t>P</w:t>
      </w:r>
      <w:r w:rsidR="00D0680A" w:rsidRPr="0038045B">
        <w:rPr>
          <w:lang w:val="en-US"/>
        </w:rPr>
        <w:t xml:space="preserve">ayment </w:t>
      </w:r>
      <w:r w:rsidR="00B21670" w:rsidRPr="0038045B">
        <w:rPr>
          <w:lang w:val="en-US"/>
        </w:rPr>
        <w:t>I</w:t>
      </w:r>
      <w:r w:rsidR="00D0680A" w:rsidRPr="0038045B">
        <w:rPr>
          <w:lang w:val="en-US"/>
        </w:rPr>
        <w:t>nstruments</w:t>
      </w:r>
      <w:r w:rsidR="00827AEB" w:rsidRPr="0038045B">
        <w:rPr>
          <w:lang w:val="en-US"/>
        </w:rPr>
        <w:t xml:space="preserve"> </w:t>
      </w:r>
      <w:r w:rsidR="00DA3339" w:rsidRPr="0038045B">
        <w:rPr>
          <w:lang w:val="en-US"/>
        </w:rPr>
        <w:t xml:space="preserve">as amended </w:t>
      </w:r>
      <w:r w:rsidR="002C6A84" w:rsidRPr="0038045B">
        <w:rPr>
          <w:lang w:val="en-US"/>
        </w:rPr>
        <w:t>in 2013</w:t>
      </w:r>
      <w:r w:rsidR="00DA3339" w:rsidRPr="0038045B">
        <w:rPr>
          <w:lang w:val="en-US"/>
        </w:rPr>
        <w:t xml:space="preserve"> </w:t>
      </w:r>
      <w:r w:rsidR="002B7862" w:rsidRPr="0038045B">
        <w:rPr>
          <w:lang w:val="en-US"/>
        </w:rPr>
        <w:t xml:space="preserve">now </w:t>
      </w:r>
      <w:r w:rsidR="00827AEB" w:rsidRPr="0038045B">
        <w:rPr>
          <w:lang w:val="en-US"/>
        </w:rPr>
        <w:t>applies explicitly to e-money institutions (art</w:t>
      </w:r>
      <w:r w:rsidR="00247837" w:rsidRPr="0038045B">
        <w:rPr>
          <w:lang w:val="en-US"/>
        </w:rPr>
        <w:t>.</w:t>
      </w:r>
      <w:r w:rsidR="00827AEB" w:rsidRPr="0038045B">
        <w:rPr>
          <w:lang w:val="en-US"/>
        </w:rPr>
        <w:t xml:space="preserve"> 3)</w:t>
      </w:r>
      <w:r w:rsidRPr="0038045B">
        <w:rPr>
          <w:lang w:val="en-US"/>
        </w:rPr>
        <w:t xml:space="preserve">, </w:t>
      </w:r>
      <w:r w:rsidR="002B7862" w:rsidRPr="0038045B">
        <w:rPr>
          <w:lang w:val="en-US"/>
        </w:rPr>
        <w:t>and</w:t>
      </w:r>
      <w:r w:rsidRPr="0038045B">
        <w:rPr>
          <w:lang w:val="en-US"/>
        </w:rPr>
        <w:t xml:space="preserve"> c</w:t>
      </w:r>
      <w:r w:rsidR="00827AEB" w:rsidRPr="0038045B">
        <w:rPr>
          <w:lang w:val="en-US"/>
        </w:rPr>
        <w:t xml:space="preserve">hapter 4 is dedicated to e-money instruments. </w:t>
      </w:r>
    </w:p>
    <w:p w14:paraId="549E5FF4" w14:textId="77777777" w:rsidR="00827AEB" w:rsidRPr="0038045B" w:rsidRDefault="00827AEB" w:rsidP="00FA1D5F">
      <w:pPr>
        <w:pStyle w:val="Body"/>
        <w:numPr>
          <w:ilvl w:val="0"/>
          <w:numId w:val="15"/>
        </w:numPr>
        <w:spacing w:after="200" w:line="276" w:lineRule="auto"/>
        <w:ind w:left="0" w:firstLine="0"/>
        <w:rPr>
          <w:lang w:val="en-US"/>
        </w:rPr>
      </w:pPr>
      <w:r w:rsidRPr="0038045B">
        <w:rPr>
          <w:lang w:val="en-US"/>
        </w:rPr>
        <w:t xml:space="preserve">Regulation </w:t>
      </w:r>
      <w:r w:rsidR="003C180E" w:rsidRPr="0038045B">
        <w:rPr>
          <w:lang w:val="en-US"/>
        </w:rPr>
        <w:t xml:space="preserve">No. 70 of 2009 </w:t>
      </w:r>
      <w:r w:rsidRPr="0038045B">
        <w:rPr>
          <w:lang w:val="en-US"/>
        </w:rPr>
        <w:t>“On</w:t>
      </w:r>
      <w:r w:rsidR="00112C4B" w:rsidRPr="0038045B">
        <w:rPr>
          <w:lang w:val="en-US"/>
        </w:rPr>
        <w:t xml:space="preserve"> Foreign Exchange Transactions”</w:t>
      </w:r>
      <w:r w:rsidRPr="0038045B">
        <w:rPr>
          <w:lang w:val="en-US"/>
        </w:rPr>
        <w:t xml:space="preserve"> provides for unrestricted </w:t>
      </w:r>
      <w:r w:rsidR="00DA3339" w:rsidRPr="0038045B">
        <w:rPr>
          <w:lang w:val="en-US"/>
        </w:rPr>
        <w:t xml:space="preserve">(inbound and outbound) </w:t>
      </w:r>
      <w:r w:rsidRPr="0038045B">
        <w:rPr>
          <w:lang w:val="en-US"/>
        </w:rPr>
        <w:t xml:space="preserve">current transfers and abolishes the previous prerogatives of </w:t>
      </w:r>
      <w:r w:rsidR="00DA3339" w:rsidRPr="0038045B">
        <w:rPr>
          <w:lang w:val="en-US"/>
        </w:rPr>
        <w:t xml:space="preserve">the </w:t>
      </w:r>
      <w:r w:rsidRPr="0038045B">
        <w:rPr>
          <w:lang w:val="en-US"/>
        </w:rPr>
        <w:t xml:space="preserve">BoA on the control of capital outflows. </w:t>
      </w:r>
      <w:r w:rsidR="003C180E" w:rsidRPr="0038045B">
        <w:rPr>
          <w:lang w:val="en-US"/>
        </w:rPr>
        <w:t xml:space="preserve">This </w:t>
      </w:r>
      <w:r w:rsidRPr="0038045B">
        <w:rPr>
          <w:lang w:val="en-US"/>
        </w:rPr>
        <w:t>Regulation sets out the rules to carry out “foreign exchange transactions”, which include</w:t>
      </w:r>
      <w:r w:rsidR="00DA3339" w:rsidRPr="0038045B">
        <w:rPr>
          <w:lang w:val="en-US"/>
        </w:rPr>
        <w:t>:</w:t>
      </w:r>
      <w:r w:rsidRPr="0038045B">
        <w:rPr>
          <w:lang w:val="en-US"/>
        </w:rPr>
        <w:t xml:space="preserve"> a) transactions between residents and no</w:t>
      </w:r>
      <w:r w:rsidR="002B7862" w:rsidRPr="0038045B">
        <w:rPr>
          <w:lang w:val="en-US"/>
        </w:rPr>
        <w:t>n-residents in foreign currency;</w:t>
      </w:r>
      <w:r w:rsidRPr="0038045B">
        <w:rPr>
          <w:lang w:val="en-US"/>
        </w:rPr>
        <w:t xml:space="preserve"> and</w:t>
      </w:r>
      <w:r w:rsidR="002B7862" w:rsidRPr="0038045B">
        <w:rPr>
          <w:lang w:val="en-US"/>
        </w:rPr>
        <w:t>,</w:t>
      </w:r>
      <w:r w:rsidRPr="0038045B">
        <w:rPr>
          <w:lang w:val="en-US"/>
        </w:rPr>
        <w:t xml:space="preserve"> b) unilateral transfers of assets from and into Albania. </w:t>
      </w:r>
      <w:r w:rsidR="002B7862" w:rsidRPr="0038045B">
        <w:rPr>
          <w:lang w:val="en-US"/>
        </w:rPr>
        <w:t>T</w:t>
      </w:r>
      <w:r w:rsidRPr="0038045B">
        <w:rPr>
          <w:lang w:val="en-US"/>
        </w:rPr>
        <w:t>ransactions recorded in capital and curre</w:t>
      </w:r>
      <w:r w:rsidR="002B7862" w:rsidRPr="0038045B">
        <w:rPr>
          <w:lang w:val="en-US"/>
        </w:rPr>
        <w:t>nt account, from and to Albania, represent foreign exchange transactions</w:t>
      </w:r>
      <w:r w:rsidR="003C180E" w:rsidRPr="0038045B">
        <w:rPr>
          <w:lang w:val="en-US"/>
        </w:rPr>
        <w:t>.</w:t>
      </w:r>
      <w:r w:rsidRPr="0038045B">
        <w:rPr>
          <w:vertAlign w:val="superscript"/>
          <w:lang w:val="en-US"/>
        </w:rPr>
        <w:footnoteReference w:id="34"/>
      </w:r>
      <w:r w:rsidRPr="0038045B">
        <w:rPr>
          <w:lang w:val="en-US"/>
        </w:rPr>
        <w:t xml:space="preserve"> Remittances </w:t>
      </w:r>
      <w:r w:rsidR="00DA3339" w:rsidRPr="0038045B">
        <w:rPr>
          <w:lang w:val="en-US"/>
        </w:rPr>
        <w:t xml:space="preserve">– like other payment services - </w:t>
      </w:r>
      <w:r w:rsidRPr="0038045B">
        <w:rPr>
          <w:lang w:val="en-US"/>
        </w:rPr>
        <w:t xml:space="preserve">can be provided by entities licensed by </w:t>
      </w:r>
      <w:r w:rsidR="002B7862" w:rsidRPr="0038045B">
        <w:rPr>
          <w:lang w:val="en-US"/>
        </w:rPr>
        <w:t xml:space="preserve">the </w:t>
      </w:r>
      <w:r w:rsidRPr="0038045B">
        <w:rPr>
          <w:lang w:val="en-US"/>
        </w:rPr>
        <w:t xml:space="preserve">BoA </w:t>
      </w:r>
      <w:r w:rsidR="00905F98" w:rsidRPr="0038045B">
        <w:rPr>
          <w:lang w:val="en-US"/>
        </w:rPr>
        <w:t xml:space="preserve">as </w:t>
      </w:r>
      <w:r w:rsidRPr="0038045B">
        <w:rPr>
          <w:lang w:val="en-US"/>
        </w:rPr>
        <w:t xml:space="preserve">banks </w:t>
      </w:r>
      <w:r w:rsidR="00905F98" w:rsidRPr="0038045B">
        <w:rPr>
          <w:lang w:val="en-US"/>
        </w:rPr>
        <w:t xml:space="preserve">or as </w:t>
      </w:r>
      <w:r w:rsidRPr="0038045B">
        <w:rPr>
          <w:lang w:val="en-US"/>
        </w:rPr>
        <w:t xml:space="preserve">NBFIs. </w:t>
      </w:r>
    </w:p>
    <w:p w14:paraId="5AD40814" w14:textId="77777777" w:rsidR="00827AEB" w:rsidRPr="0038045B" w:rsidRDefault="00827AEB" w:rsidP="003D164E">
      <w:pPr>
        <w:pStyle w:val="Body"/>
        <w:numPr>
          <w:ilvl w:val="0"/>
          <w:numId w:val="15"/>
        </w:numPr>
        <w:spacing w:after="200" w:line="276" w:lineRule="auto"/>
        <w:ind w:left="0" w:firstLine="0"/>
        <w:rPr>
          <w:lang w:val="en-US"/>
        </w:rPr>
      </w:pPr>
      <w:r w:rsidRPr="0038045B">
        <w:rPr>
          <w:lang w:val="en-US"/>
        </w:rPr>
        <w:t>A comprehensive regulatory framework for agents and sub-agents</w:t>
      </w:r>
      <w:r w:rsidR="00C45AEF" w:rsidRPr="0038045B">
        <w:rPr>
          <w:lang w:val="en-US"/>
        </w:rPr>
        <w:t xml:space="preserve"> </w:t>
      </w:r>
      <w:r w:rsidR="00CF0976" w:rsidRPr="0038045B">
        <w:rPr>
          <w:lang w:val="en-US"/>
        </w:rPr>
        <w:t>has not been d</w:t>
      </w:r>
      <w:r w:rsidRPr="0038045B">
        <w:rPr>
          <w:lang w:val="en-US"/>
        </w:rPr>
        <w:t xml:space="preserve">eveloped in Albania. </w:t>
      </w:r>
      <w:r w:rsidR="00027B06" w:rsidRPr="0038045B">
        <w:rPr>
          <w:lang w:val="en-US"/>
        </w:rPr>
        <w:t xml:space="preserve">There are no provisions for the use of agents by banks. However, </w:t>
      </w:r>
      <w:r w:rsidRPr="0038045B">
        <w:rPr>
          <w:lang w:val="en-US"/>
        </w:rPr>
        <w:t>agents</w:t>
      </w:r>
      <w:r w:rsidR="00027B06" w:rsidRPr="0038045B">
        <w:rPr>
          <w:lang w:val="en-US"/>
        </w:rPr>
        <w:t xml:space="preserve"> that carry out activities on behalf of NBFIs providing payment services</w:t>
      </w:r>
      <w:r w:rsidRPr="0038045B">
        <w:rPr>
          <w:lang w:val="en-US"/>
        </w:rPr>
        <w:t xml:space="preserve"> are regulated </w:t>
      </w:r>
      <w:r w:rsidR="00027B06" w:rsidRPr="0038045B">
        <w:rPr>
          <w:lang w:val="en-US"/>
        </w:rPr>
        <w:t>by Regulation No. 1 of 2013</w:t>
      </w:r>
      <w:r w:rsidRPr="0038045B">
        <w:rPr>
          <w:lang w:val="en-US"/>
        </w:rPr>
        <w:t xml:space="preserve">. According to the definition of “agent”, as amended in 2016, agents can be now either a natural or a legal person. To strengthen the role and responsibility of the NBFIs acting as principal, the 2016 amendments </w:t>
      </w:r>
      <w:r w:rsidR="002B7862" w:rsidRPr="0038045B">
        <w:rPr>
          <w:lang w:val="en-US"/>
        </w:rPr>
        <w:t>assign</w:t>
      </w:r>
      <w:r w:rsidR="00C45AEF" w:rsidRPr="0038045B">
        <w:rPr>
          <w:lang w:val="en-US"/>
        </w:rPr>
        <w:t xml:space="preserve"> </w:t>
      </w:r>
      <w:r w:rsidRPr="0038045B">
        <w:rPr>
          <w:lang w:val="en-US"/>
        </w:rPr>
        <w:t xml:space="preserve">the principal responsibility for the selection and identification of agents (art. 5(6)), repealing </w:t>
      </w:r>
      <w:r w:rsidR="00027B06" w:rsidRPr="0038045B">
        <w:rPr>
          <w:lang w:val="en-US"/>
        </w:rPr>
        <w:t xml:space="preserve">previous </w:t>
      </w:r>
      <w:r w:rsidRPr="0038045B">
        <w:rPr>
          <w:lang w:val="en-US"/>
        </w:rPr>
        <w:t>provisions on BoA’s approval of selected agents (chapter 3). The Regulation does not establish specific requi</w:t>
      </w:r>
      <w:r w:rsidR="002B7862" w:rsidRPr="0038045B">
        <w:rPr>
          <w:lang w:val="en-US"/>
        </w:rPr>
        <w:t>rements for agents, but obliges</w:t>
      </w:r>
      <w:r w:rsidRPr="0038045B">
        <w:rPr>
          <w:lang w:val="en-US"/>
        </w:rPr>
        <w:t xml:space="preserve"> the principal to </w:t>
      </w:r>
      <w:r w:rsidR="002B7862" w:rsidRPr="0038045B">
        <w:rPr>
          <w:lang w:val="en-US"/>
        </w:rPr>
        <w:t xml:space="preserve">collect and </w:t>
      </w:r>
      <w:r w:rsidRPr="0038045B">
        <w:rPr>
          <w:lang w:val="en-US"/>
        </w:rPr>
        <w:t xml:space="preserve">provide identification, address and criminal records to </w:t>
      </w:r>
      <w:r w:rsidR="001047C7" w:rsidRPr="0038045B">
        <w:rPr>
          <w:lang w:val="en-US"/>
        </w:rPr>
        <w:t xml:space="preserve">the </w:t>
      </w:r>
      <w:r w:rsidRPr="0038045B">
        <w:rPr>
          <w:lang w:val="en-US"/>
        </w:rPr>
        <w:t>BoA (art. 5(6)).</w:t>
      </w:r>
      <w:r w:rsidR="00B14AB3" w:rsidRPr="0038045B">
        <w:rPr>
          <w:lang w:val="en-US"/>
        </w:rPr>
        <w:t xml:space="preserve"> </w:t>
      </w:r>
      <w:r w:rsidRPr="0038045B">
        <w:rPr>
          <w:lang w:val="en-US"/>
        </w:rPr>
        <w:t xml:space="preserve">Exclusivity agreements for the use of agents are not explicitly banned. </w:t>
      </w:r>
      <w:r w:rsidR="00247837" w:rsidRPr="0038045B">
        <w:rPr>
          <w:lang w:val="en-US"/>
        </w:rPr>
        <w:t xml:space="preserve">The Regulation provides that for the purposes of carrying out activities </w:t>
      </w:r>
      <w:r w:rsidR="00247837" w:rsidRPr="0038045B">
        <w:rPr>
          <w:lang w:val="en-US"/>
        </w:rPr>
        <w:lastRenderedPageBreak/>
        <w:t xml:space="preserve">through agents, NBFIs should have </w:t>
      </w:r>
      <w:r w:rsidR="003D164E" w:rsidRPr="0038045B">
        <w:rPr>
          <w:lang w:val="en-US"/>
        </w:rPr>
        <w:t xml:space="preserve">the necessary </w:t>
      </w:r>
      <w:r w:rsidR="00247837" w:rsidRPr="0038045B">
        <w:rPr>
          <w:szCs w:val="24"/>
          <w:lang w:val="en-US"/>
        </w:rPr>
        <w:t xml:space="preserve">by-laws on </w:t>
      </w:r>
      <w:r w:rsidR="00247837" w:rsidRPr="0038045B">
        <w:rPr>
          <w:lang w:val="en-US"/>
        </w:rPr>
        <w:t>internal audit, including effective procedures to be used</w:t>
      </w:r>
      <w:r w:rsidR="003D164E" w:rsidRPr="0038045B">
        <w:rPr>
          <w:lang w:val="en-US"/>
        </w:rPr>
        <w:t xml:space="preserve"> by </w:t>
      </w:r>
      <w:r w:rsidR="00247837" w:rsidRPr="0038045B">
        <w:rPr>
          <w:lang w:val="en-US"/>
        </w:rPr>
        <w:t>agents</w:t>
      </w:r>
      <w:r w:rsidR="003D164E" w:rsidRPr="0038045B">
        <w:rPr>
          <w:lang w:val="en-US"/>
        </w:rPr>
        <w:t xml:space="preserve"> that ensure the fulfillment of</w:t>
      </w:r>
      <w:r w:rsidR="00247837" w:rsidRPr="0038045B">
        <w:rPr>
          <w:lang w:val="en-US"/>
        </w:rPr>
        <w:t xml:space="preserve"> the legal and regulatory requirements on the prevention of money laundering and terrorism financing</w:t>
      </w:r>
      <w:r w:rsidR="003D164E" w:rsidRPr="0038045B">
        <w:rPr>
          <w:lang w:val="en-US"/>
        </w:rPr>
        <w:t>.</w:t>
      </w:r>
    </w:p>
    <w:p w14:paraId="1346CB73" w14:textId="77777777" w:rsidR="00A63A7D" w:rsidRPr="0038045B" w:rsidRDefault="00A63A7D" w:rsidP="00C71246">
      <w:pPr>
        <w:autoSpaceDE w:val="0"/>
        <w:autoSpaceDN w:val="0"/>
        <w:adjustRightInd w:val="0"/>
        <w:spacing w:before="360" w:after="120" w:line="276" w:lineRule="auto"/>
        <w:jc w:val="both"/>
        <w:rPr>
          <w:b/>
          <w:i/>
          <w:color w:val="000000"/>
        </w:rPr>
      </w:pPr>
      <w:r w:rsidRPr="0038045B">
        <w:rPr>
          <w:b/>
          <w:i/>
          <w:color w:val="000000"/>
        </w:rPr>
        <w:t>Observations and recommendations</w:t>
      </w:r>
    </w:p>
    <w:p w14:paraId="1DF7A8A3" w14:textId="77777777" w:rsidR="00B14AB3" w:rsidRPr="0038045B" w:rsidRDefault="003007E0" w:rsidP="00804C64">
      <w:pPr>
        <w:pStyle w:val="Body"/>
        <w:numPr>
          <w:ilvl w:val="0"/>
          <w:numId w:val="15"/>
        </w:numPr>
        <w:tabs>
          <w:tab w:val="left" w:pos="270"/>
        </w:tabs>
        <w:spacing w:after="200" w:line="276" w:lineRule="auto"/>
        <w:ind w:left="0" w:firstLine="0"/>
        <w:rPr>
          <w:i/>
          <w:color w:val="000000"/>
          <w:lang w:val="en-US"/>
        </w:rPr>
      </w:pPr>
      <w:r w:rsidRPr="0038045B">
        <w:rPr>
          <w:i/>
          <w:color w:val="000000"/>
          <w:lang w:val="en-US"/>
        </w:rPr>
        <w:t xml:space="preserve">A functional rather institutional approach </w:t>
      </w:r>
      <w:r w:rsidR="002B7862" w:rsidRPr="0038045B">
        <w:rPr>
          <w:i/>
          <w:color w:val="000000"/>
          <w:lang w:val="en-US"/>
        </w:rPr>
        <w:t xml:space="preserve">to payments regulation </w:t>
      </w:r>
      <w:r w:rsidRPr="0038045B">
        <w:rPr>
          <w:i/>
          <w:color w:val="000000"/>
          <w:lang w:val="en-US"/>
        </w:rPr>
        <w:t xml:space="preserve">should be adopted, and requirements </w:t>
      </w:r>
      <w:r w:rsidR="002B7862" w:rsidRPr="0038045B">
        <w:rPr>
          <w:i/>
          <w:color w:val="000000"/>
          <w:lang w:val="en-US"/>
        </w:rPr>
        <w:t>should</w:t>
      </w:r>
      <w:r w:rsidRPr="0038045B">
        <w:rPr>
          <w:i/>
          <w:color w:val="000000"/>
          <w:lang w:val="en-US"/>
        </w:rPr>
        <w:t xml:space="preserve"> be </w:t>
      </w:r>
      <w:r w:rsidR="002B7862" w:rsidRPr="0038045B">
        <w:rPr>
          <w:i/>
          <w:color w:val="000000"/>
          <w:lang w:val="en-US"/>
        </w:rPr>
        <w:t>set</w:t>
      </w:r>
      <w:r w:rsidRPr="0038045B">
        <w:rPr>
          <w:i/>
          <w:color w:val="000000"/>
          <w:lang w:val="en-US"/>
        </w:rPr>
        <w:t xml:space="preserve"> consistently across types of </w:t>
      </w:r>
      <w:r w:rsidR="00DB7E8D" w:rsidRPr="0038045B">
        <w:rPr>
          <w:i/>
          <w:color w:val="000000"/>
          <w:lang w:val="en-US"/>
        </w:rPr>
        <w:t>payment service providers</w:t>
      </w:r>
      <w:r w:rsidRPr="0038045B">
        <w:rPr>
          <w:i/>
          <w:color w:val="000000"/>
          <w:lang w:val="en-US"/>
        </w:rPr>
        <w:t xml:space="preserve">. </w:t>
      </w:r>
      <w:r w:rsidR="00A63A7D" w:rsidRPr="0038045B">
        <w:rPr>
          <w:i/>
          <w:color w:val="000000"/>
          <w:lang w:val="en-US"/>
        </w:rPr>
        <w:t xml:space="preserve">The </w:t>
      </w:r>
      <w:r w:rsidR="00B14AB3" w:rsidRPr="0038045B">
        <w:rPr>
          <w:i/>
          <w:color w:val="000000"/>
          <w:lang w:val="en-US"/>
        </w:rPr>
        <w:t>adoption of the Payment System Law of 2013 has significantly strengthen</w:t>
      </w:r>
      <w:r w:rsidR="003C3577" w:rsidRPr="0038045B">
        <w:rPr>
          <w:i/>
          <w:color w:val="000000"/>
          <w:lang w:val="en-US"/>
        </w:rPr>
        <w:t>ed</w:t>
      </w:r>
      <w:r w:rsidR="00B14AB3" w:rsidRPr="0038045B">
        <w:rPr>
          <w:i/>
          <w:color w:val="000000"/>
          <w:lang w:val="en-US"/>
        </w:rPr>
        <w:t xml:space="preserve"> the legal and regulatory framework that governs the Albanian national payments system, including</w:t>
      </w:r>
      <w:r w:rsidR="00ED3D10" w:rsidRPr="0038045B">
        <w:rPr>
          <w:i/>
          <w:color w:val="000000"/>
          <w:lang w:val="en-US"/>
        </w:rPr>
        <w:t xml:space="preserve"> payment instruments. A</w:t>
      </w:r>
      <w:r w:rsidR="00B14AB3" w:rsidRPr="0038045B">
        <w:rPr>
          <w:i/>
          <w:color w:val="000000"/>
          <w:lang w:val="en-US"/>
        </w:rPr>
        <w:t xml:space="preserve"> legal framework that promotes innovation and competition in the market place is developing.</w:t>
      </w:r>
      <w:r w:rsidR="00804C64" w:rsidRPr="0038045B">
        <w:rPr>
          <w:i/>
          <w:color w:val="000000"/>
          <w:lang w:val="en-US"/>
        </w:rPr>
        <w:t xml:space="preserve"> </w:t>
      </w:r>
      <w:r w:rsidR="00104B2A" w:rsidRPr="0038045B">
        <w:rPr>
          <w:i/>
          <w:color w:val="000000"/>
          <w:lang w:val="en-US"/>
        </w:rPr>
        <w:t>NBFI regulations were</w:t>
      </w:r>
      <w:r w:rsidR="00804C64" w:rsidRPr="0038045B">
        <w:rPr>
          <w:i/>
          <w:color w:val="000000"/>
          <w:lang w:val="en-US"/>
        </w:rPr>
        <w:t xml:space="preserve"> amended to accommodate </w:t>
      </w:r>
      <w:r w:rsidR="00A24EF3" w:rsidRPr="0038045B">
        <w:rPr>
          <w:i/>
          <w:color w:val="000000"/>
          <w:lang w:val="en-US"/>
        </w:rPr>
        <w:t>new technologies an</w:t>
      </w:r>
      <w:r w:rsidR="00104B2A" w:rsidRPr="0038045B">
        <w:rPr>
          <w:i/>
          <w:color w:val="000000"/>
          <w:lang w:val="en-US"/>
        </w:rPr>
        <w:t xml:space="preserve">d business models, and were already availed by e-money institutions. Yet, </w:t>
      </w:r>
      <w:r w:rsidR="0033662C" w:rsidRPr="0038045B">
        <w:rPr>
          <w:i/>
          <w:color w:val="000000"/>
          <w:lang w:val="en-US"/>
        </w:rPr>
        <w:t xml:space="preserve">payment services </w:t>
      </w:r>
      <w:r w:rsidR="00795985" w:rsidRPr="0038045B">
        <w:rPr>
          <w:i/>
          <w:color w:val="000000"/>
          <w:lang w:val="en-GB"/>
        </w:rPr>
        <w:t xml:space="preserve">remain the </w:t>
      </w:r>
      <w:r w:rsidR="00D72CB4" w:rsidRPr="0038045B">
        <w:rPr>
          <w:i/>
          <w:color w:val="000000"/>
          <w:lang w:val="en-GB"/>
        </w:rPr>
        <w:t>prer</w:t>
      </w:r>
      <w:r w:rsidR="003F7B6C" w:rsidRPr="0038045B">
        <w:rPr>
          <w:i/>
          <w:color w:val="000000"/>
          <w:lang w:val="en-GB"/>
        </w:rPr>
        <w:t>ogative of banks and NBFIs</w:t>
      </w:r>
      <w:r w:rsidR="00FD4027" w:rsidRPr="0038045B">
        <w:rPr>
          <w:i/>
          <w:color w:val="000000"/>
          <w:lang w:val="en-GB"/>
        </w:rPr>
        <w:t>, i.e.</w:t>
      </w:r>
      <w:r w:rsidR="0033662C" w:rsidRPr="0038045B">
        <w:rPr>
          <w:i/>
          <w:color w:val="000000"/>
          <w:lang w:val="en-GB"/>
        </w:rPr>
        <w:t>,</w:t>
      </w:r>
      <w:r w:rsidR="00C627EF" w:rsidRPr="0038045B">
        <w:rPr>
          <w:i/>
          <w:color w:val="000000"/>
          <w:lang w:val="en-GB"/>
        </w:rPr>
        <w:t xml:space="preserve"> </w:t>
      </w:r>
      <w:r w:rsidR="00FD4027" w:rsidRPr="0038045B">
        <w:rPr>
          <w:i/>
          <w:color w:val="000000"/>
          <w:lang w:val="en-GB"/>
        </w:rPr>
        <w:t>non-financial institutions wanting to provide payment services and e-money</w:t>
      </w:r>
      <w:r w:rsidR="00C627EF" w:rsidRPr="0038045B">
        <w:rPr>
          <w:i/>
          <w:color w:val="000000"/>
          <w:lang w:val="en-GB"/>
        </w:rPr>
        <w:t xml:space="preserve"> apply for a license un</w:t>
      </w:r>
      <w:r w:rsidR="00FD4027" w:rsidRPr="0038045B">
        <w:rPr>
          <w:i/>
          <w:color w:val="000000"/>
          <w:lang w:val="en-GB"/>
        </w:rPr>
        <w:t>der NBFIs licensing regulations</w:t>
      </w:r>
      <w:r w:rsidR="003F7B6C" w:rsidRPr="0038045B">
        <w:rPr>
          <w:i/>
          <w:color w:val="000000"/>
          <w:lang w:val="en-GB"/>
        </w:rPr>
        <w:t xml:space="preserve">. </w:t>
      </w:r>
      <w:r w:rsidR="00795985" w:rsidRPr="0038045B">
        <w:rPr>
          <w:i/>
          <w:color w:val="000000"/>
          <w:lang w:val="en-US"/>
        </w:rPr>
        <w:t>In this regard</w:t>
      </w:r>
      <w:r w:rsidR="009E2984" w:rsidRPr="0038045B">
        <w:rPr>
          <w:i/>
          <w:color w:val="000000"/>
          <w:lang w:val="en-US"/>
        </w:rPr>
        <w:t>, the transposition of PSD</w:t>
      </w:r>
      <w:r w:rsidR="002B7862" w:rsidRPr="0038045B">
        <w:rPr>
          <w:i/>
          <w:color w:val="000000"/>
          <w:lang w:val="en-US"/>
        </w:rPr>
        <w:t xml:space="preserve"> </w:t>
      </w:r>
      <w:r w:rsidR="009E2984" w:rsidRPr="0038045B">
        <w:rPr>
          <w:i/>
          <w:color w:val="000000"/>
          <w:lang w:val="en-US"/>
        </w:rPr>
        <w:t xml:space="preserve">2 will contribute to ensure </w:t>
      </w:r>
      <w:r w:rsidR="00804C64" w:rsidRPr="0038045B">
        <w:rPr>
          <w:i/>
          <w:color w:val="000000"/>
          <w:lang w:val="en-US"/>
        </w:rPr>
        <w:t xml:space="preserve">a more consistent </w:t>
      </w:r>
      <w:r w:rsidR="009E2984" w:rsidRPr="0038045B">
        <w:rPr>
          <w:i/>
          <w:color w:val="000000"/>
          <w:lang w:val="en-US"/>
        </w:rPr>
        <w:t>outcome</w:t>
      </w:r>
      <w:r w:rsidR="00FD4027" w:rsidRPr="0038045B">
        <w:rPr>
          <w:i/>
          <w:color w:val="000000"/>
          <w:lang w:val="en-US"/>
        </w:rPr>
        <w:t xml:space="preserve"> in terms of licensing of non-financial institutions, thus further facilitating market entrance. </w:t>
      </w:r>
    </w:p>
    <w:p w14:paraId="410D2EFC" w14:textId="77777777" w:rsidR="00305D0A" w:rsidRPr="0038045B" w:rsidRDefault="002B7862" w:rsidP="00EC21A0">
      <w:pPr>
        <w:pStyle w:val="Body"/>
        <w:numPr>
          <w:ilvl w:val="0"/>
          <w:numId w:val="15"/>
        </w:numPr>
        <w:tabs>
          <w:tab w:val="left" w:pos="270"/>
        </w:tabs>
        <w:spacing w:after="120" w:line="276" w:lineRule="auto"/>
        <w:ind w:left="0" w:firstLine="0"/>
        <w:rPr>
          <w:i/>
          <w:color w:val="000000"/>
          <w:lang w:val="en-US"/>
        </w:rPr>
      </w:pPr>
      <w:r w:rsidRPr="0038045B">
        <w:rPr>
          <w:i/>
          <w:color w:val="000000"/>
          <w:lang w:val="en-US"/>
        </w:rPr>
        <w:t>The u</w:t>
      </w:r>
      <w:r w:rsidR="00B14AB3" w:rsidRPr="0038045B">
        <w:rPr>
          <w:i/>
          <w:color w:val="000000"/>
          <w:lang w:val="en-US"/>
        </w:rPr>
        <w:t xml:space="preserve">se of third parties </w:t>
      </w:r>
      <w:r w:rsidR="00305D0A" w:rsidRPr="0038045B">
        <w:rPr>
          <w:i/>
          <w:color w:val="000000"/>
          <w:lang w:val="en-US"/>
        </w:rPr>
        <w:t xml:space="preserve">as agents and sub-agents </w:t>
      </w:r>
      <w:r w:rsidR="00B14AB3" w:rsidRPr="0038045B">
        <w:rPr>
          <w:i/>
          <w:color w:val="000000"/>
          <w:lang w:val="en-US"/>
        </w:rPr>
        <w:t xml:space="preserve">should be regulated comprehensively. </w:t>
      </w:r>
      <w:r w:rsidR="00305D0A" w:rsidRPr="0038045B">
        <w:rPr>
          <w:i/>
          <w:color w:val="000000"/>
          <w:lang w:val="en-US"/>
        </w:rPr>
        <w:t xml:space="preserve">In particular, </w:t>
      </w:r>
      <w:r w:rsidRPr="0038045B">
        <w:rPr>
          <w:i/>
          <w:color w:val="000000"/>
          <w:lang w:val="en-US"/>
        </w:rPr>
        <w:t xml:space="preserve">the </w:t>
      </w:r>
      <w:r w:rsidR="00305D0A" w:rsidRPr="0038045B">
        <w:rPr>
          <w:i/>
          <w:color w:val="000000"/>
          <w:lang w:val="en-US"/>
        </w:rPr>
        <w:t xml:space="preserve">use of agents </w:t>
      </w:r>
      <w:r w:rsidR="00743A83" w:rsidRPr="0038045B">
        <w:rPr>
          <w:i/>
          <w:color w:val="000000"/>
          <w:lang w:val="en-US"/>
        </w:rPr>
        <w:t xml:space="preserve">for the provision of payment and payment-related services </w:t>
      </w:r>
      <w:r w:rsidR="00305D0A" w:rsidRPr="0038045B">
        <w:rPr>
          <w:i/>
          <w:color w:val="000000"/>
          <w:lang w:val="en-US"/>
        </w:rPr>
        <w:t>should not be l</w:t>
      </w:r>
      <w:r w:rsidR="00E20090" w:rsidRPr="0038045B">
        <w:rPr>
          <w:i/>
          <w:color w:val="000000"/>
          <w:lang w:val="en-US"/>
        </w:rPr>
        <w:t>imited to NBFIs</w:t>
      </w:r>
      <w:r w:rsidR="00305D0A" w:rsidRPr="0038045B">
        <w:rPr>
          <w:i/>
          <w:color w:val="000000"/>
          <w:lang w:val="en-US"/>
        </w:rPr>
        <w:t xml:space="preserve">. </w:t>
      </w:r>
      <w:r w:rsidR="00743A83" w:rsidRPr="0038045B">
        <w:rPr>
          <w:i/>
          <w:color w:val="000000"/>
          <w:lang w:val="en-US"/>
        </w:rPr>
        <w:t xml:space="preserve">Among others, the following aspects should be considered: </w:t>
      </w:r>
    </w:p>
    <w:p w14:paraId="31D0551C" w14:textId="77777777" w:rsidR="00743A83" w:rsidRPr="0038045B" w:rsidRDefault="003D164E" w:rsidP="00743A83">
      <w:pPr>
        <w:pStyle w:val="Body"/>
        <w:numPr>
          <w:ilvl w:val="0"/>
          <w:numId w:val="25"/>
        </w:numPr>
        <w:tabs>
          <w:tab w:val="left" w:pos="270"/>
        </w:tabs>
        <w:spacing w:line="276" w:lineRule="auto"/>
        <w:rPr>
          <w:i/>
          <w:color w:val="000000"/>
          <w:lang w:val="en-US"/>
        </w:rPr>
      </w:pPr>
      <w:r w:rsidRPr="0038045B">
        <w:rPr>
          <w:i/>
          <w:color w:val="000000"/>
          <w:lang w:val="en-US"/>
        </w:rPr>
        <w:t>While a</w:t>
      </w:r>
      <w:r w:rsidR="002B7862" w:rsidRPr="0038045B">
        <w:rPr>
          <w:i/>
          <w:color w:val="000000"/>
          <w:lang w:val="en-US"/>
        </w:rPr>
        <w:t xml:space="preserve"> certain flexibility should be </w:t>
      </w:r>
      <w:r w:rsidRPr="0038045B">
        <w:rPr>
          <w:i/>
          <w:color w:val="000000"/>
          <w:lang w:val="en-US"/>
        </w:rPr>
        <w:t xml:space="preserve">maintained </w:t>
      </w:r>
      <w:r w:rsidR="00305D0A" w:rsidRPr="0038045B">
        <w:rPr>
          <w:i/>
          <w:color w:val="000000"/>
          <w:lang w:val="en-US"/>
        </w:rPr>
        <w:t xml:space="preserve">to licensed institutions to decide for themselves which </w:t>
      </w:r>
      <w:r w:rsidR="002B7862" w:rsidRPr="0038045B">
        <w:rPr>
          <w:i/>
          <w:color w:val="000000"/>
          <w:lang w:val="en-US"/>
        </w:rPr>
        <w:t>types</w:t>
      </w:r>
      <w:r w:rsidR="00305D0A" w:rsidRPr="0038045B">
        <w:rPr>
          <w:i/>
          <w:color w:val="000000"/>
          <w:lang w:val="en-US"/>
        </w:rPr>
        <w:t xml:space="preserve"> of agents will create the best synergies with their business</w:t>
      </w:r>
      <w:r w:rsidRPr="0038045B">
        <w:rPr>
          <w:i/>
          <w:color w:val="000000"/>
          <w:lang w:val="en-US"/>
        </w:rPr>
        <w:t>,</w:t>
      </w:r>
      <w:r w:rsidR="0059386D" w:rsidRPr="0038045B">
        <w:rPr>
          <w:i/>
          <w:color w:val="000000"/>
          <w:lang w:val="en-US"/>
        </w:rPr>
        <w:t xml:space="preserve"> </w:t>
      </w:r>
      <w:r w:rsidR="00305D0A" w:rsidRPr="0038045B">
        <w:rPr>
          <w:i/>
          <w:color w:val="000000"/>
          <w:lang w:val="en-US"/>
        </w:rPr>
        <w:t xml:space="preserve">clarity should be provided </w:t>
      </w:r>
      <w:r w:rsidR="00743A83" w:rsidRPr="0038045B">
        <w:rPr>
          <w:i/>
          <w:color w:val="000000"/>
          <w:lang w:val="en-US"/>
        </w:rPr>
        <w:t xml:space="preserve">by the BoA </w:t>
      </w:r>
      <w:r w:rsidR="00305D0A" w:rsidRPr="0038045B">
        <w:rPr>
          <w:i/>
          <w:color w:val="000000"/>
          <w:lang w:val="en-US"/>
        </w:rPr>
        <w:t>on the minimum requi</w:t>
      </w:r>
      <w:r w:rsidR="00743A83" w:rsidRPr="0038045B">
        <w:rPr>
          <w:i/>
          <w:color w:val="000000"/>
          <w:lang w:val="en-US"/>
        </w:rPr>
        <w:t xml:space="preserve">rements that agents should meet, and </w:t>
      </w:r>
      <w:r w:rsidR="003A3F46" w:rsidRPr="0038045B">
        <w:rPr>
          <w:i/>
          <w:color w:val="000000"/>
          <w:lang w:val="en-US"/>
        </w:rPr>
        <w:t xml:space="preserve">it should be clearly stated that </w:t>
      </w:r>
      <w:r w:rsidR="00DB7E8D" w:rsidRPr="0038045B">
        <w:rPr>
          <w:i/>
          <w:color w:val="000000"/>
          <w:lang w:val="en-US"/>
        </w:rPr>
        <w:t xml:space="preserve">principals </w:t>
      </w:r>
      <w:r w:rsidR="00743A83" w:rsidRPr="0038045B">
        <w:rPr>
          <w:i/>
          <w:color w:val="000000"/>
          <w:lang w:val="en-US"/>
        </w:rPr>
        <w:t xml:space="preserve">remain fully liable for any act of their agents. </w:t>
      </w:r>
    </w:p>
    <w:p w14:paraId="205DEBAA" w14:textId="77777777" w:rsidR="00305D0A" w:rsidRPr="0038045B" w:rsidRDefault="00305D0A" w:rsidP="00743A83">
      <w:pPr>
        <w:pStyle w:val="Body"/>
        <w:numPr>
          <w:ilvl w:val="0"/>
          <w:numId w:val="25"/>
        </w:numPr>
        <w:tabs>
          <w:tab w:val="left" w:pos="270"/>
        </w:tabs>
        <w:spacing w:line="276" w:lineRule="auto"/>
        <w:rPr>
          <w:i/>
          <w:color w:val="000000"/>
          <w:lang w:val="en-US"/>
        </w:rPr>
      </w:pPr>
      <w:r w:rsidRPr="0038045B">
        <w:rPr>
          <w:i/>
          <w:color w:val="000000"/>
          <w:lang w:val="en-US"/>
        </w:rPr>
        <w:t xml:space="preserve">It is recommended that BoA </w:t>
      </w:r>
      <w:r w:rsidR="00743A83" w:rsidRPr="0038045B">
        <w:rPr>
          <w:i/>
          <w:color w:val="000000"/>
          <w:lang w:val="en-US"/>
        </w:rPr>
        <w:t>be</w:t>
      </w:r>
      <w:r w:rsidRPr="0038045B">
        <w:rPr>
          <w:i/>
          <w:color w:val="000000"/>
          <w:lang w:val="en-US"/>
        </w:rPr>
        <w:t xml:space="preserve"> mandated by a </w:t>
      </w:r>
      <w:r w:rsidR="003A3F46" w:rsidRPr="0038045B">
        <w:rPr>
          <w:i/>
          <w:color w:val="000000"/>
          <w:lang w:val="en-US"/>
        </w:rPr>
        <w:t xml:space="preserve">regulatory </w:t>
      </w:r>
      <w:r w:rsidRPr="0038045B">
        <w:rPr>
          <w:i/>
          <w:color w:val="000000"/>
          <w:lang w:val="en-US"/>
        </w:rPr>
        <w:t>provision to maintain a register of selected agents and</w:t>
      </w:r>
      <w:r w:rsidR="00E0748A" w:rsidRPr="0038045B">
        <w:rPr>
          <w:i/>
          <w:color w:val="000000"/>
          <w:lang w:val="en-US"/>
        </w:rPr>
        <w:t xml:space="preserve"> to make the</w:t>
      </w:r>
      <w:r w:rsidRPr="0038045B">
        <w:rPr>
          <w:i/>
          <w:color w:val="000000"/>
          <w:lang w:val="en-US"/>
        </w:rPr>
        <w:t xml:space="preserve"> register </w:t>
      </w:r>
      <w:r w:rsidR="00743A83" w:rsidRPr="0038045B">
        <w:rPr>
          <w:i/>
          <w:color w:val="000000"/>
          <w:lang w:val="en-US"/>
        </w:rPr>
        <w:t xml:space="preserve">publicly </w:t>
      </w:r>
      <w:r w:rsidRPr="0038045B">
        <w:rPr>
          <w:i/>
          <w:color w:val="000000"/>
          <w:lang w:val="en-US"/>
        </w:rPr>
        <w:t>available</w:t>
      </w:r>
      <w:r w:rsidR="00E0748A" w:rsidRPr="0038045B">
        <w:rPr>
          <w:i/>
          <w:color w:val="000000"/>
          <w:lang w:val="en-US"/>
        </w:rPr>
        <w:t xml:space="preserve"> to consumers</w:t>
      </w:r>
      <w:r w:rsidRPr="0038045B">
        <w:rPr>
          <w:i/>
          <w:color w:val="000000"/>
          <w:lang w:val="en-US"/>
        </w:rPr>
        <w:t xml:space="preserve">. </w:t>
      </w:r>
    </w:p>
    <w:p w14:paraId="4E26A017" w14:textId="77777777" w:rsidR="00305D0A" w:rsidRPr="0038045B" w:rsidRDefault="00305D0A" w:rsidP="00284415">
      <w:pPr>
        <w:pStyle w:val="Body"/>
        <w:numPr>
          <w:ilvl w:val="0"/>
          <w:numId w:val="25"/>
        </w:numPr>
        <w:tabs>
          <w:tab w:val="left" w:pos="270"/>
        </w:tabs>
        <w:spacing w:after="240" w:line="276" w:lineRule="auto"/>
        <w:rPr>
          <w:i/>
          <w:color w:val="000000"/>
          <w:lang w:val="en-US"/>
        </w:rPr>
      </w:pPr>
      <w:r w:rsidRPr="0038045B">
        <w:rPr>
          <w:i/>
          <w:color w:val="000000"/>
          <w:lang w:val="en-US"/>
        </w:rPr>
        <w:t xml:space="preserve">Exclusivity agreements for the use of agents </w:t>
      </w:r>
      <w:r w:rsidR="00743A83" w:rsidRPr="0038045B">
        <w:rPr>
          <w:i/>
          <w:color w:val="000000"/>
          <w:lang w:val="en-US"/>
        </w:rPr>
        <w:t xml:space="preserve">should be </w:t>
      </w:r>
      <w:r w:rsidRPr="0038045B">
        <w:rPr>
          <w:i/>
          <w:color w:val="000000"/>
          <w:lang w:val="en-US"/>
        </w:rPr>
        <w:t xml:space="preserve">explicitly banned. The difficulty with exclusivity agreements is that such provisions may enable </w:t>
      </w:r>
      <w:r w:rsidR="00E0748A" w:rsidRPr="0038045B">
        <w:rPr>
          <w:i/>
          <w:color w:val="000000"/>
          <w:lang w:val="en-US"/>
        </w:rPr>
        <w:t xml:space="preserve">certain </w:t>
      </w:r>
      <w:r w:rsidR="00DB7E8D" w:rsidRPr="0038045B">
        <w:rPr>
          <w:i/>
          <w:color w:val="000000"/>
          <w:lang w:val="en-US"/>
        </w:rPr>
        <w:t xml:space="preserve">payment service providers </w:t>
      </w:r>
      <w:r w:rsidRPr="0038045B">
        <w:rPr>
          <w:i/>
          <w:color w:val="000000"/>
          <w:lang w:val="en-US"/>
        </w:rPr>
        <w:t xml:space="preserve">to establish a monopoly position in communities where the supply of potential agents is limited. The </w:t>
      </w:r>
      <w:r w:rsidR="00743A83" w:rsidRPr="0038045B">
        <w:rPr>
          <w:i/>
          <w:color w:val="000000"/>
          <w:lang w:val="en-US"/>
        </w:rPr>
        <w:t xml:space="preserve">problem </w:t>
      </w:r>
      <w:r w:rsidRPr="0038045B">
        <w:rPr>
          <w:i/>
          <w:color w:val="000000"/>
          <w:lang w:val="en-US"/>
        </w:rPr>
        <w:t>is exacerbated if the exclusivity condition is applied to agents with large networks (e</w:t>
      </w:r>
      <w:r w:rsidR="00743A83" w:rsidRPr="0038045B">
        <w:rPr>
          <w:i/>
          <w:color w:val="000000"/>
          <w:lang w:val="en-US"/>
        </w:rPr>
        <w:t>.</w:t>
      </w:r>
      <w:r w:rsidRPr="0038045B">
        <w:rPr>
          <w:i/>
          <w:color w:val="000000"/>
          <w:lang w:val="en-US"/>
        </w:rPr>
        <w:t>g</w:t>
      </w:r>
      <w:r w:rsidR="00743A83" w:rsidRPr="0038045B">
        <w:rPr>
          <w:i/>
          <w:color w:val="000000"/>
          <w:lang w:val="en-US"/>
        </w:rPr>
        <w:t>.</w:t>
      </w:r>
      <w:r w:rsidRPr="0038045B">
        <w:rPr>
          <w:i/>
          <w:color w:val="000000"/>
          <w:lang w:val="en-US"/>
        </w:rPr>
        <w:t xml:space="preserve"> </w:t>
      </w:r>
      <w:r w:rsidR="00743A83" w:rsidRPr="0038045B">
        <w:rPr>
          <w:i/>
          <w:color w:val="000000"/>
          <w:lang w:val="en-US"/>
        </w:rPr>
        <w:t xml:space="preserve">the </w:t>
      </w:r>
      <w:r w:rsidRPr="0038045B">
        <w:rPr>
          <w:i/>
          <w:color w:val="000000"/>
          <w:lang w:val="en-US"/>
        </w:rPr>
        <w:t>post office, telecoms firms or major retail chains).</w:t>
      </w:r>
    </w:p>
    <w:p w14:paraId="3AD86933" w14:textId="77777777" w:rsidR="008575CF" w:rsidRPr="0038045B" w:rsidRDefault="008575CF" w:rsidP="008575CF">
      <w:pPr>
        <w:pStyle w:val="Body"/>
        <w:numPr>
          <w:ilvl w:val="0"/>
          <w:numId w:val="15"/>
        </w:numPr>
        <w:tabs>
          <w:tab w:val="left" w:pos="270"/>
        </w:tabs>
        <w:spacing w:after="120" w:line="276" w:lineRule="auto"/>
        <w:ind w:left="0" w:firstLine="0"/>
        <w:rPr>
          <w:i/>
          <w:color w:val="000000"/>
          <w:lang w:val="en-US"/>
        </w:rPr>
      </w:pPr>
      <w:r w:rsidRPr="0038045B">
        <w:rPr>
          <w:i/>
          <w:color w:val="000000"/>
          <w:lang w:val="en-US"/>
        </w:rPr>
        <w:t xml:space="preserve">While the Law on Electronic Document provides now clarity on the use of the e-document as evidence, issues might arise under the Code of Civil Procedure of 1996, amended in 2013. In fact, articles </w:t>
      </w:r>
      <w:r w:rsidR="003A3F46" w:rsidRPr="0038045B">
        <w:rPr>
          <w:i/>
          <w:color w:val="000000"/>
          <w:lang w:val="en-US"/>
        </w:rPr>
        <w:t xml:space="preserve">278 </w:t>
      </w:r>
      <w:r w:rsidRPr="0038045B">
        <w:rPr>
          <w:i/>
          <w:color w:val="000000"/>
          <w:lang w:val="en-US"/>
        </w:rPr>
        <w:t xml:space="preserve">and </w:t>
      </w:r>
      <w:r w:rsidR="003A3F46" w:rsidRPr="0038045B">
        <w:rPr>
          <w:i/>
          <w:color w:val="000000"/>
          <w:lang w:val="en-US"/>
        </w:rPr>
        <w:t xml:space="preserve">279 </w:t>
      </w:r>
      <w:r w:rsidRPr="0038045B">
        <w:rPr>
          <w:i/>
          <w:color w:val="000000"/>
          <w:lang w:val="en-US"/>
        </w:rPr>
        <w:t>make unclear whether e-documents can be treated as proofs before the courts. Trust on e-evidence in court could be enhanced through the new e-</w:t>
      </w:r>
      <w:r w:rsidRPr="0038045B">
        <w:rPr>
          <w:i/>
          <w:color w:val="000000"/>
          <w:lang w:val="en-US"/>
        </w:rPr>
        <w:lastRenderedPageBreak/>
        <w:t>documents law.</w:t>
      </w:r>
    </w:p>
    <w:p w14:paraId="1B489103" w14:textId="77777777" w:rsidR="00A63A7D" w:rsidRPr="0038045B" w:rsidRDefault="00082A4A" w:rsidP="00D742CA">
      <w:pPr>
        <w:pStyle w:val="Heading3"/>
        <w:spacing w:before="480" w:after="240"/>
        <w:rPr>
          <w:b w:val="0"/>
          <w:i/>
        </w:rPr>
      </w:pPr>
      <w:bookmarkStart w:id="68" w:name="_Toc476239712"/>
      <w:r w:rsidRPr="0038045B">
        <w:rPr>
          <w:b w:val="0"/>
          <w:i/>
        </w:rPr>
        <w:t>Risk management</w:t>
      </w:r>
      <w:bookmarkEnd w:id="68"/>
    </w:p>
    <w:p w14:paraId="49EFDE81" w14:textId="77777777" w:rsidR="00A63A7D" w:rsidRPr="0038045B" w:rsidRDefault="00A63A7D" w:rsidP="00C80F30">
      <w:pPr>
        <w:pStyle w:val="Body"/>
        <w:numPr>
          <w:ilvl w:val="0"/>
          <w:numId w:val="15"/>
        </w:numPr>
        <w:spacing w:after="200" w:line="276" w:lineRule="auto"/>
        <w:ind w:left="0" w:firstLine="0"/>
        <w:rPr>
          <w:b/>
          <w:color w:val="000000"/>
          <w:lang w:val="en-US"/>
        </w:rPr>
      </w:pPr>
      <w:r w:rsidRPr="0038045B">
        <w:rPr>
          <w:lang w:val="en-US"/>
        </w:rPr>
        <w:t>Transaction accounts and retail payment services, more generally, are subject to a variety of risks, including, for example, operational, liquidity, reputational, business and fraud. Innovation may introduce new dimensions to these risks and new challenges in terms of detecting, managing and mitigating them. A failure to address/manage risks effectively could result in a loss of confidence in electronic payments, and thus slow or reverse their adoption, which would directly impact the achievement of financial inclusion goals. Regulators need to address these challenges by requiring payment service providers and payment system operators to develop and implement a risk management framework that is adequate for their role in the industry. Once again, the challenge resides in right-sizing the regulatory requirements for this framework.</w:t>
      </w:r>
    </w:p>
    <w:p w14:paraId="1237E078" w14:textId="77777777" w:rsidR="00D10674" w:rsidRPr="0038045B" w:rsidRDefault="00D10674" w:rsidP="00D10674">
      <w:pPr>
        <w:pStyle w:val="Body"/>
        <w:spacing w:after="200" w:line="276" w:lineRule="auto"/>
        <w:ind w:firstLine="0"/>
        <w:rPr>
          <w:u w:val="single"/>
          <w:lang w:val="en-US"/>
        </w:rPr>
      </w:pPr>
      <w:r w:rsidRPr="0038045B">
        <w:rPr>
          <w:u w:val="single"/>
          <w:lang w:val="en-US"/>
        </w:rPr>
        <w:t>Situation in Albania</w:t>
      </w:r>
    </w:p>
    <w:p w14:paraId="04AB1AC3" w14:textId="77777777" w:rsidR="00082A4A" w:rsidRPr="0038045B" w:rsidRDefault="00284415" w:rsidP="00082A4A">
      <w:pPr>
        <w:pStyle w:val="Body"/>
        <w:numPr>
          <w:ilvl w:val="0"/>
          <w:numId w:val="15"/>
        </w:numPr>
        <w:spacing w:after="200" w:line="276" w:lineRule="auto"/>
        <w:ind w:left="0" w:firstLine="0"/>
        <w:rPr>
          <w:lang w:val="en-US"/>
        </w:rPr>
      </w:pPr>
      <w:r w:rsidRPr="0038045B">
        <w:rPr>
          <w:color w:val="000000"/>
          <w:lang w:val="en-US"/>
        </w:rPr>
        <w:t xml:space="preserve">The legal and regulatory framework provides the BoA with regulatory and oversight powers to manage and control risk in payment systems and in the payments market. </w:t>
      </w:r>
      <w:r w:rsidR="00082A4A" w:rsidRPr="0038045B">
        <w:rPr>
          <w:lang w:val="en-US"/>
        </w:rPr>
        <w:t>The BoA has clear responsibility for the regulation and oversight of payment systems, including the issuance and use of payment instruments as laid out in the Law of the Bank of Albania,</w:t>
      </w:r>
      <w:r w:rsidR="00082A4A" w:rsidRPr="0038045B">
        <w:rPr>
          <w:vertAlign w:val="superscript"/>
          <w:lang w:val="en-US"/>
        </w:rPr>
        <w:footnoteReference w:id="35"/>
      </w:r>
      <w:r w:rsidR="00082A4A" w:rsidRPr="0038045B">
        <w:rPr>
          <w:lang w:val="en-US"/>
        </w:rPr>
        <w:t xml:space="preserve"> in the Banking Law and in the Law on Payment System. </w:t>
      </w:r>
    </w:p>
    <w:p w14:paraId="332E630A" w14:textId="77777777" w:rsidR="00B867DF" w:rsidRPr="0038045B" w:rsidRDefault="00B867DF" w:rsidP="00B867DF">
      <w:pPr>
        <w:pStyle w:val="Body"/>
        <w:numPr>
          <w:ilvl w:val="0"/>
          <w:numId w:val="15"/>
        </w:numPr>
        <w:spacing w:after="200" w:line="276" w:lineRule="auto"/>
        <w:ind w:left="0" w:firstLine="0"/>
        <w:rPr>
          <w:color w:val="000000"/>
          <w:lang w:val="en-US"/>
        </w:rPr>
      </w:pPr>
      <w:r w:rsidRPr="0038045B">
        <w:rPr>
          <w:color w:val="000000"/>
          <w:lang w:val="en-US"/>
        </w:rPr>
        <w:t>Regulation No.</w:t>
      </w:r>
      <w:r w:rsidR="00441DC2" w:rsidRPr="0038045B">
        <w:rPr>
          <w:color w:val="000000"/>
          <w:lang w:val="en-US"/>
        </w:rPr>
        <w:t xml:space="preserve"> 2 of 2013 “</w:t>
      </w:r>
      <w:r w:rsidRPr="0038045B">
        <w:rPr>
          <w:color w:val="000000"/>
          <w:lang w:val="en-US"/>
        </w:rPr>
        <w:t xml:space="preserve">On risk management in the activity of </w:t>
      </w:r>
      <w:r w:rsidR="00441DC2" w:rsidRPr="0038045B">
        <w:rPr>
          <w:color w:val="000000"/>
          <w:lang w:val="en-US"/>
        </w:rPr>
        <w:t>non-bank financial institutions”</w:t>
      </w:r>
      <w:r w:rsidRPr="0038045B">
        <w:rPr>
          <w:color w:val="000000"/>
          <w:lang w:val="en-US"/>
        </w:rPr>
        <w:t xml:space="preserve"> sets out the rules for the management of risk</w:t>
      </w:r>
      <w:r w:rsidR="00441DC2" w:rsidRPr="0038045B">
        <w:rPr>
          <w:color w:val="000000"/>
          <w:lang w:val="en-US"/>
        </w:rPr>
        <w:t>s</w:t>
      </w:r>
      <w:r w:rsidRPr="0038045B">
        <w:rPr>
          <w:color w:val="000000"/>
          <w:lang w:val="en-US"/>
        </w:rPr>
        <w:t xml:space="preserve"> in</w:t>
      </w:r>
      <w:r w:rsidR="005E3B88" w:rsidRPr="0038045B">
        <w:rPr>
          <w:color w:val="000000"/>
          <w:lang w:val="en-US"/>
        </w:rPr>
        <w:t>curred in</w:t>
      </w:r>
      <w:r w:rsidRPr="0038045B">
        <w:rPr>
          <w:color w:val="000000"/>
          <w:lang w:val="en-US"/>
        </w:rPr>
        <w:t xml:space="preserve"> </w:t>
      </w:r>
      <w:r w:rsidR="00E0748A" w:rsidRPr="0038045B">
        <w:rPr>
          <w:color w:val="000000"/>
          <w:lang w:val="en-US"/>
        </w:rPr>
        <w:t>NBFI activities,</w:t>
      </w:r>
      <w:r w:rsidR="005E3B88" w:rsidRPr="0038045B">
        <w:rPr>
          <w:color w:val="000000"/>
          <w:lang w:val="en-US"/>
        </w:rPr>
        <w:t xml:space="preserve"> i.e.</w:t>
      </w:r>
      <w:r w:rsidR="00A96166" w:rsidRPr="0038045B">
        <w:rPr>
          <w:color w:val="000000"/>
          <w:lang w:val="en-US"/>
        </w:rPr>
        <w:t xml:space="preserve"> </w:t>
      </w:r>
      <w:r w:rsidR="005E3B88" w:rsidRPr="0038045B">
        <w:rPr>
          <w:color w:val="000000"/>
          <w:lang w:val="en-US"/>
        </w:rPr>
        <w:t>i</w:t>
      </w:r>
      <w:r w:rsidRPr="0038045B">
        <w:rPr>
          <w:color w:val="000000"/>
          <w:lang w:val="en-US"/>
        </w:rPr>
        <w:t>t applies to NBFIs</w:t>
      </w:r>
      <w:r w:rsidR="00A96166" w:rsidRPr="0038045B">
        <w:rPr>
          <w:color w:val="000000"/>
          <w:lang w:val="en-US"/>
        </w:rPr>
        <w:t>, e-money institutions,</w:t>
      </w:r>
      <w:r w:rsidRPr="0038045B">
        <w:rPr>
          <w:color w:val="000000"/>
          <w:lang w:val="en-US"/>
        </w:rPr>
        <w:t xml:space="preserve"> and micro-credit financial institutions</w:t>
      </w:r>
      <w:r w:rsidR="00284415" w:rsidRPr="0038045B">
        <w:rPr>
          <w:color w:val="000000"/>
          <w:lang w:val="en-US"/>
        </w:rPr>
        <w:t xml:space="preserve"> that have </w:t>
      </w:r>
      <w:r w:rsidRPr="0038045B">
        <w:rPr>
          <w:color w:val="000000"/>
          <w:lang w:val="en-US"/>
        </w:rPr>
        <w:t>be</w:t>
      </w:r>
      <w:r w:rsidR="00284415" w:rsidRPr="0038045B">
        <w:rPr>
          <w:color w:val="000000"/>
          <w:lang w:val="en-US"/>
        </w:rPr>
        <w:t xml:space="preserve">en </w:t>
      </w:r>
      <w:r w:rsidRPr="0038045B">
        <w:rPr>
          <w:color w:val="000000"/>
          <w:lang w:val="en-US"/>
        </w:rPr>
        <w:t xml:space="preserve">granted a license to carry out financial activity. The Regulation adopts a risk-based approach, establishing that the institutions shall have in place a risk management system which is in line with the nature, volume and complexity of their activity. </w:t>
      </w:r>
      <w:r w:rsidR="000370A0" w:rsidRPr="0038045B">
        <w:rPr>
          <w:color w:val="000000"/>
          <w:lang w:val="en-US"/>
        </w:rPr>
        <w:t>A</w:t>
      </w:r>
      <w:r w:rsidRPr="0038045B">
        <w:rPr>
          <w:color w:val="000000"/>
          <w:lang w:val="en-US"/>
        </w:rPr>
        <w:t xml:space="preserve"> risk management system includes the set of policies, procedures, rules and structures of the institution for risk management. General BoA supervisory measures are established, including the obligation of NBFIs to prepare financial statements (which shall be audited by a statutory auditor) and submit them to BoA. Chapter VI is dedicated to risk-management in e-money institutions, which includes provisions on capital adequacy, protection of customer funds</w:t>
      </w:r>
      <w:r w:rsidR="00E0748A" w:rsidRPr="0038045B">
        <w:rPr>
          <w:color w:val="000000"/>
          <w:lang w:val="en-US"/>
        </w:rPr>
        <w:t>,</w:t>
      </w:r>
      <w:r w:rsidRPr="0038045B">
        <w:rPr>
          <w:color w:val="000000"/>
          <w:lang w:val="en-US"/>
        </w:rPr>
        <w:t xml:space="preserve"> and liquidity risks. </w:t>
      </w:r>
    </w:p>
    <w:p w14:paraId="159A32F4" w14:textId="77777777" w:rsidR="00284415" w:rsidRPr="0038045B" w:rsidRDefault="00284415" w:rsidP="00284415">
      <w:pPr>
        <w:pStyle w:val="Body"/>
        <w:numPr>
          <w:ilvl w:val="0"/>
          <w:numId w:val="15"/>
        </w:numPr>
        <w:spacing w:after="200" w:line="276" w:lineRule="auto"/>
        <w:ind w:left="0" w:firstLine="0"/>
        <w:rPr>
          <w:lang w:val="en-US"/>
        </w:rPr>
      </w:pPr>
      <w:r w:rsidRPr="0038045B">
        <w:rPr>
          <w:lang w:val="en-US"/>
        </w:rPr>
        <w:lastRenderedPageBreak/>
        <w:t xml:space="preserve">For national card schemes, Regulation </w:t>
      </w:r>
      <w:r w:rsidR="00E0748A" w:rsidRPr="0038045B">
        <w:rPr>
          <w:lang w:val="en-US"/>
        </w:rPr>
        <w:t xml:space="preserve">No. 42 of </w:t>
      </w:r>
      <w:r w:rsidRPr="0038045B">
        <w:rPr>
          <w:lang w:val="en-US"/>
        </w:rPr>
        <w:t>2013 sets out the principles that shall regulate the scheme</w:t>
      </w:r>
      <w:r w:rsidR="00E0748A" w:rsidRPr="0038045B">
        <w:rPr>
          <w:lang w:val="en-US"/>
        </w:rPr>
        <w:t>’s</w:t>
      </w:r>
      <w:r w:rsidRPr="0038045B">
        <w:rPr>
          <w:lang w:val="en-US"/>
        </w:rPr>
        <w:t xml:space="preserve"> activity, such as security, operational effectiveness and business continuity</w:t>
      </w:r>
      <w:r w:rsidR="000E2586" w:rsidRPr="0038045B">
        <w:rPr>
          <w:lang w:val="en-US"/>
        </w:rPr>
        <w:t>, as well as</w:t>
      </w:r>
      <w:r w:rsidRPr="0038045B">
        <w:rPr>
          <w:lang w:val="en-US"/>
        </w:rPr>
        <w:t xml:space="preserve"> transparency on rules and procedures (including access procedures and management procedures).</w:t>
      </w:r>
    </w:p>
    <w:p w14:paraId="57A17695" w14:textId="77777777" w:rsidR="00284415" w:rsidRPr="0038045B" w:rsidRDefault="00284415" w:rsidP="003F5111">
      <w:pPr>
        <w:pStyle w:val="Body"/>
        <w:numPr>
          <w:ilvl w:val="0"/>
          <w:numId w:val="15"/>
        </w:numPr>
        <w:spacing w:after="200" w:line="276" w:lineRule="auto"/>
        <w:ind w:left="0" w:firstLine="0"/>
        <w:rPr>
          <w:lang w:val="en-US"/>
        </w:rPr>
      </w:pPr>
      <w:r w:rsidRPr="0038045B">
        <w:rPr>
          <w:lang w:val="en-US"/>
        </w:rPr>
        <w:t xml:space="preserve">There is no </w:t>
      </w:r>
      <w:r w:rsidR="00E0748A" w:rsidRPr="0038045B">
        <w:rPr>
          <w:lang w:val="en-US"/>
        </w:rPr>
        <w:t xml:space="preserve">coherent </w:t>
      </w:r>
      <w:r w:rsidRPr="0038045B">
        <w:rPr>
          <w:lang w:val="en-US"/>
        </w:rPr>
        <w:t xml:space="preserve">regulation on outsourcing. </w:t>
      </w:r>
      <w:r w:rsidR="003A3F46" w:rsidRPr="0038045B">
        <w:rPr>
          <w:lang w:val="en-US"/>
        </w:rPr>
        <w:t xml:space="preserve">As it concerns providers of payment services, there is only a provision according to which </w:t>
      </w:r>
      <w:r w:rsidRPr="0038045B">
        <w:rPr>
          <w:lang w:val="en-US"/>
        </w:rPr>
        <w:t xml:space="preserve">NBFIs </w:t>
      </w:r>
      <w:r w:rsidR="003F5111" w:rsidRPr="0038045B">
        <w:rPr>
          <w:lang w:val="en-US"/>
        </w:rPr>
        <w:t>may not enter into an agreement with third parties (outsourcing) to transfer the internal audit function and/or exercise financial activities stipulated in Regulation No. 1 of 2013 (article</w:t>
      </w:r>
      <w:r w:rsidRPr="0038045B">
        <w:rPr>
          <w:lang w:val="en-US"/>
        </w:rPr>
        <w:t xml:space="preserve"> 5(3)). </w:t>
      </w:r>
      <w:r w:rsidR="003C4CBF" w:rsidRPr="0038045B">
        <w:rPr>
          <w:lang w:val="en-US"/>
        </w:rPr>
        <w:t>With regard to payment system operators, o</w:t>
      </w:r>
      <w:r w:rsidRPr="0038045B">
        <w:rPr>
          <w:lang w:val="en-US"/>
        </w:rPr>
        <w:t xml:space="preserve">utsourcing is addressed </w:t>
      </w:r>
      <w:r w:rsidR="003C4CBF" w:rsidRPr="0038045B">
        <w:rPr>
          <w:lang w:val="en-US"/>
        </w:rPr>
        <w:t xml:space="preserve">although limited to </w:t>
      </w:r>
      <w:r w:rsidRPr="0038045B">
        <w:rPr>
          <w:lang w:val="en-US"/>
        </w:rPr>
        <w:t xml:space="preserve">payment cards scheme operators. In </w:t>
      </w:r>
      <w:r w:rsidR="003C4CBF" w:rsidRPr="0038045B">
        <w:rPr>
          <w:lang w:val="en-US"/>
        </w:rPr>
        <w:t>this</w:t>
      </w:r>
      <w:r w:rsidRPr="0038045B">
        <w:rPr>
          <w:lang w:val="en-US"/>
        </w:rPr>
        <w:t xml:space="preserve"> case, outsourcing to third parties of the specific activities listed </w:t>
      </w:r>
      <w:r w:rsidR="007D6496" w:rsidRPr="0038045B">
        <w:rPr>
          <w:lang w:val="en-US"/>
        </w:rPr>
        <w:t xml:space="preserve">in the regulation </w:t>
      </w:r>
      <w:r w:rsidRPr="0038045B">
        <w:rPr>
          <w:lang w:val="en-US"/>
        </w:rPr>
        <w:t>is permitted once the risks of outsourcing have been properly addressed in the contract</w:t>
      </w:r>
      <w:r w:rsidR="00E0748A" w:rsidRPr="0038045B">
        <w:rPr>
          <w:lang w:val="en-US"/>
        </w:rPr>
        <w:t>s</w:t>
      </w:r>
      <w:r w:rsidRPr="0038045B">
        <w:rPr>
          <w:lang w:val="en-US"/>
        </w:rPr>
        <w:t xml:space="preserve">, which shall also provide for </w:t>
      </w:r>
      <w:r w:rsidR="007D6496" w:rsidRPr="0038045B">
        <w:rPr>
          <w:lang w:val="en-US"/>
        </w:rPr>
        <w:t xml:space="preserve">the </w:t>
      </w:r>
      <w:r w:rsidRPr="0038045B">
        <w:rPr>
          <w:lang w:val="en-US"/>
        </w:rPr>
        <w:t>operator</w:t>
      </w:r>
      <w:r w:rsidR="007D6496" w:rsidRPr="0038045B">
        <w:rPr>
          <w:lang w:val="en-US"/>
        </w:rPr>
        <w:t>’s</w:t>
      </w:r>
      <w:r w:rsidRPr="0038045B">
        <w:rPr>
          <w:lang w:val="en-US"/>
        </w:rPr>
        <w:t xml:space="preserve"> responsibility </w:t>
      </w:r>
      <w:r w:rsidR="00B57127" w:rsidRPr="0038045B">
        <w:rPr>
          <w:lang w:val="en-US"/>
        </w:rPr>
        <w:t xml:space="preserve">for </w:t>
      </w:r>
      <w:r w:rsidRPr="0038045B">
        <w:rPr>
          <w:lang w:val="en-US"/>
        </w:rPr>
        <w:t xml:space="preserve">the </w:t>
      </w:r>
      <w:r w:rsidR="00B57127" w:rsidRPr="0038045B">
        <w:rPr>
          <w:lang w:val="en-US"/>
        </w:rPr>
        <w:t>activities outsourced</w:t>
      </w:r>
      <w:r w:rsidRPr="0038045B">
        <w:rPr>
          <w:lang w:val="en-US"/>
        </w:rPr>
        <w:t xml:space="preserve">. </w:t>
      </w:r>
    </w:p>
    <w:p w14:paraId="684F17F4" w14:textId="77777777" w:rsidR="00B867DF" w:rsidRPr="0038045B" w:rsidRDefault="00B867DF" w:rsidP="00B867DF">
      <w:pPr>
        <w:pStyle w:val="Body"/>
        <w:numPr>
          <w:ilvl w:val="0"/>
          <w:numId w:val="15"/>
        </w:numPr>
        <w:spacing w:after="200" w:line="276" w:lineRule="auto"/>
        <w:ind w:left="0" w:firstLine="0"/>
        <w:rPr>
          <w:color w:val="000000"/>
          <w:lang w:val="en-US"/>
        </w:rPr>
      </w:pPr>
      <w:r w:rsidRPr="0038045B">
        <w:rPr>
          <w:color w:val="000000"/>
          <w:lang w:val="en-US"/>
        </w:rPr>
        <w:t xml:space="preserve">Risks in cross-border payments are addressed in the Regulation </w:t>
      </w:r>
      <w:r w:rsidR="007C1BFB" w:rsidRPr="0038045B">
        <w:rPr>
          <w:color w:val="000000"/>
          <w:lang w:val="en-US"/>
        </w:rPr>
        <w:t>N</w:t>
      </w:r>
      <w:r w:rsidR="00E0748A" w:rsidRPr="0038045B">
        <w:rPr>
          <w:color w:val="000000"/>
          <w:lang w:val="en-US"/>
        </w:rPr>
        <w:t xml:space="preserve">o. 70 of </w:t>
      </w:r>
      <w:r w:rsidR="001B26F6" w:rsidRPr="0038045B">
        <w:rPr>
          <w:color w:val="000000"/>
          <w:lang w:val="en-US"/>
        </w:rPr>
        <w:t xml:space="preserve">2009 </w:t>
      </w:r>
      <w:r w:rsidRPr="0038045B">
        <w:rPr>
          <w:color w:val="000000"/>
          <w:lang w:val="en-US"/>
        </w:rPr>
        <w:t xml:space="preserve">“On Foreign Exchange </w:t>
      </w:r>
      <w:r w:rsidR="007D6496" w:rsidRPr="0038045B">
        <w:rPr>
          <w:color w:val="000000"/>
          <w:lang w:val="en-US"/>
        </w:rPr>
        <w:t>T</w:t>
      </w:r>
      <w:r w:rsidRPr="0038045B">
        <w:rPr>
          <w:color w:val="000000"/>
          <w:lang w:val="en-US"/>
        </w:rPr>
        <w:t>r</w:t>
      </w:r>
      <w:r w:rsidR="00E0748A" w:rsidRPr="0038045B">
        <w:rPr>
          <w:color w:val="000000"/>
          <w:lang w:val="en-US"/>
        </w:rPr>
        <w:t>ansactions”</w:t>
      </w:r>
      <w:r w:rsidR="003C4CBF" w:rsidRPr="0038045B">
        <w:rPr>
          <w:color w:val="000000"/>
          <w:lang w:val="en-US"/>
        </w:rPr>
        <w:t>, as amended</w:t>
      </w:r>
      <w:r w:rsidR="00E0748A" w:rsidRPr="0038045B">
        <w:rPr>
          <w:color w:val="000000"/>
          <w:lang w:val="en-US"/>
        </w:rPr>
        <w:t>. According to this R</w:t>
      </w:r>
      <w:r w:rsidRPr="0038045B">
        <w:rPr>
          <w:color w:val="000000"/>
          <w:lang w:val="en-US"/>
        </w:rPr>
        <w:t xml:space="preserve">egulation, </w:t>
      </w:r>
      <w:r w:rsidR="000E2586" w:rsidRPr="0038045B">
        <w:rPr>
          <w:color w:val="000000"/>
          <w:lang w:val="en-US"/>
        </w:rPr>
        <w:t xml:space="preserve">the </w:t>
      </w:r>
      <w:r w:rsidRPr="0038045B">
        <w:rPr>
          <w:color w:val="000000"/>
          <w:lang w:val="en-US"/>
        </w:rPr>
        <w:t xml:space="preserve">BoA may refuse a </w:t>
      </w:r>
      <w:r w:rsidR="00DB7E8D" w:rsidRPr="0038045B">
        <w:rPr>
          <w:color w:val="000000"/>
          <w:lang w:val="en-US"/>
        </w:rPr>
        <w:t xml:space="preserve">provider of payment services </w:t>
      </w:r>
      <w:r w:rsidR="00E0748A" w:rsidRPr="0038045B">
        <w:rPr>
          <w:color w:val="000000"/>
          <w:lang w:val="en-US"/>
        </w:rPr>
        <w:t>the</w:t>
      </w:r>
      <w:r w:rsidR="001B26F6" w:rsidRPr="0038045B">
        <w:rPr>
          <w:color w:val="000000"/>
          <w:lang w:val="en-US"/>
        </w:rPr>
        <w:t xml:space="preserve"> </w:t>
      </w:r>
      <w:r w:rsidR="007D6496" w:rsidRPr="0038045B">
        <w:rPr>
          <w:color w:val="000000"/>
          <w:lang w:val="en-US"/>
        </w:rPr>
        <w:t>authorization</w:t>
      </w:r>
      <w:r w:rsidRPr="0038045B">
        <w:rPr>
          <w:color w:val="000000"/>
          <w:lang w:val="en-US"/>
        </w:rPr>
        <w:t xml:space="preserve"> to provide cross-border banking and/or financial services abroad</w:t>
      </w:r>
      <w:r w:rsidR="007C1BFB" w:rsidRPr="0038045B">
        <w:rPr>
          <w:color w:val="000000"/>
          <w:lang w:val="en-US"/>
        </w:rPr>
        <w:t xml:space="preserve"> –</w:t>
      </w:r>
      <w:r w:rsidR="001B26F6" w:rsidRPr="0038045B">
        <w:rPr>
          <w:color w:val="000000"/>
          <w:lang w:val="en-US"/>
        </w:rPr>
        <w:t xml:space="preserve"> </w:t>
      </w:r>
      <w:r w:rsidR="007C1BFB" w:rsidRPr="0038045B">
        <w:rPr>
          <w:color w:val="000000"/>
          <w:lang w:val="en-US"/>
        </w:rPr>
        <w:t xml:space="preserve">including </w:t>
      </w:r>
      <w:r w:rsidR="001B26F6" w:rsidRPr="0038045B">
        <w:rPr>
          <w:color w:val="000000"/>
          <w:lang w:val="en-US"/>
        </w:rPr>
        <w:t>remittances</w:t>
      </w:r>
      <w:r w:rsidR="007C1BFB" w:rsidRPr="0038045B">
        <w:rPr>
          <w:color w:val="000000"/>
          <w:lang w:val="en-US"/>
        </w:rPr>
        <w:t xml:space="preserve"> -</w:t>
      </w:r>
      <w:r w:rsidRPr="0038045B">
        <w:rPr>
          <w:color w:val="000000"/>
          <w:lang w:val="en-US"/>
        </w:rPr>
        <w:t xml:space="preserve"> if it is deemed that adequate systems </w:t>
      </w:r>
      <w:r w:rsidR="000E2586" w:rsidRPr="0038045B">
        <w:rPr>
          <w:color w:val="000000"/>
          <w:lang w:val="en-US"/>
        </w:rPr>
        <w:t xml:space="preserve">have </w:t>
      </w:r>
      <w:r w:rsidRPr="0038045B">
        <w:rPr>
          <w:color w:val="000000"/>
          <w:lang w:val="en-US"/>
        </w:rPr>
        <w:t xml:space="preserve">not </w:t>
      </w:r>
      <w:r w:rsidR="000E2586" w:rsidRPr="0038045B">
        <w:rPr>
          <w:color w:val="000000"/>
          <w:lang w:val="en-US"/>
        </w:rPr>
        <w:t xml:space="preserve">been </w:t>
      </w:r>
      <w:r w:rsidRPr="0038045B">
        <w:rPr>
          <w:color w:val="000000"/>
          <w:lang w:val="en-US"/>
        </w:rPr>
        <w:t>established for the continuing management of risk arising from these services.</w:t>
      </w:r>
    </w:p>
    <w:p w14:paraId="3D56E613" w14:textId="77777777" w:rsidR="00B867DF" w:rsidRPr="0038045B" w:rsidRDefault="00B867DF" w:rsidP="00B867DF">
      <w:pPr>
        <w:pStyle w:val="Body"/>
        <w:numPr>
          <w:ilvl w:val="0"/>
          <w:numId w:val="15"/>
        </w:numPr>
        <w:spacing w:after="200" w:line="276" w:lineRule="auto"/>
        <w:ind w:left="0" w:firstLine="0"/>
        <w:rPr>
          <w:color w:val="000000"/>
          <w:lang w:val="en-US"/>
        </w:rPr>
      </w:pPr>
      <w:r w:rsidRPr="0038045B">
        <w:rPr>
          <w:color w:val="000000"/>
          <w:lang w:val="en-US"/>
        </w:rPr>
        <w:t xml:space="preserve">A comprehensive legal and regulatory framework for </w:t>
      </w:r>
      <w:r w:rsidR="00F8167D" w:rsidRPr="0038045B">
        <w:rPr>
          <w:color w:val="000000"/>
          <w:lang w:val="en-US"/>
        </w:rPr>
        <w:t>anti-money laundering (</w:t>
      </w:r>
      <w:r w:rsidRPr="0038045B">
        <w:rPr>
          <w:color w:val="000000"/>
          <w:lang w:val="en-US"/>
        </w:rPr>
        <w:t>AML</w:t>
      </w:r>
      <w:r w:rsidR="00F8167D" w:rsidRPr="0038045B">
        <w:rPr>
          <w:color w:val="000000"/>
          <w:lang w:val="en-US"/>
        </w:rPr>
        <w:t xml:space="preserve">) </w:t>
      </w:r>
      <w:r w:rsidRPr="0038045B">
        <w:rPr>
          <w:color w:val="000000"/>
          <w:lang w:val="en-US"/>
        </w:rPr>
        <w:t>/</w:t>
      </w:r>
      <w:r w:rsidR="00F8167D" w:rsidRPr="0038045B">
        <w:rPr>
          <w:color w:val="000000"/>
          <w:lang w:val="en-US"/>
        </w:rPr>
        <w:t xml:space="preserve"> control the financial of terrorism (</w:t>
      </w:r>
      <w:r w:rsidRPr="0038045B">
        <w:rPr>
          <w:color w:val="000000"/>
          <w:lang w:val="en-US"/>
        </w:rPr>
        <w:t>CTF</w:t>
      </w:r>
      <w:r w:rsidR="00F8167D" w:rsidRPr="0038045B">
        <w:rPr>
          <w:color w:val="000000"/>
          <w:lang w:val="en-US"/>
        </w:rPr>
        <w:t>I</w:t>
      </w:r>
      <w:r w:rsidRPr="0038045B">
        <w:rPr>
          <w:color w:val="000000"/>
          <w:lang w:val="en-US"/>
        </w:rPr>
        <w:t xml:space="preserve"> risk management measures has been recently introduced</w:t>
      </w:r>
      <w:r w:rsidR="00284415" w:rsidRPr="0038045B">
        <w:rPr>
          <w:color w:val="000000"/>
          <w:lang w:val="en-US"/>
        </w:rPr>
        <w:t>.</w:t>
      </w:r>
      <w:r w:rsidRPr="0038045B">
        <w:rPr>
          <w:color w:val="000000"/>
          <w:lang w:val="en-US"/>
        </w:rPr>
        <w:t xml:space="preserve"> According to </w:t>
      </w:r>
      <w:r w:rsidR="00D9165A" w:rsidRPr="0038045B">
        <w:rPr>
          <w:color w:val="000000"/>
          <w:lang w:val="en-US"/>
        </w:rPr>
        <w:t xml:space="preserve">BoA’s </w:t>
      </w:r>
      <w:r w:rsidRPr="0038045B">
        <w:rPr>
          <w:color w:val="000000"/>
          <w:lang w:val="en-US"/>
        </w:rPr>
        <w:t xml:space="preserve">Regulation No. 44 of 2009, reporting subjects shall have in place policies, guidelines or internal procedures on the acceptance, identification, recording, monitoring, risk management and reporting of customers' transactions, in compliance with the </w:t>
      </w:r>
      <w:r w:rsidR="00D9165A" w:rsidRPr="0038045B">
        <w:rPr>
          <w:color w:val="000000"/>
          <w:lang w:val="en-US"/>
        </w:rPr>
        <w:t>L</w:t>
      </w:r>
      <w:r w:rsidRPr="0038045B">
        <w:rPr>
          <w:color w:val="000000"/>
          <w:lang w:val="en-US"/>
        </w:rPr>
        <w:t>aw</w:t>
      </w:r>
      <w:r w:rsidR="00284415" w:rsidRPr="0038045B">
        <w:rPr>
          <w:color w:val="000000"/>
          <w:lang w:val="en-US"/>
        </w:rPr>
        <w:t xml:space="preserve"> (see </w:t>
      </w:r>
      <w:r w:rsidR="004B1919" w:rsidRPr="0038045B">
        <w:rPr>
          <w:color w:val="000000"/>
          <w:lang w:val="en-US"/>
        </w:rPr>
        <w:t xml:space="preserve">also </w:t>
      </w:r>
      <w:r w:rsidR="00284415" w:rsidRPr="0038045B">
        <w:rPr>
          <w:color w:val="000000"/>
          <w:lang w:val="en-US"/>
        </w:rPr>
        <w:t>sub-section 3.</w:t>
      </w:r>
      <w:r w:rsidR="004B1919" w:rsidRPr="0038045B">
        <w:rPr>
          <w:color w:val="000000"/>
          <w:lang w:val="en-US"/>
        </w:rPr>
        <w:t>2</w:t>
      </w:r>
      <w:r w:rsidR="00284415" w:rsidRPr="0038045B">
        <w:rPr>
          <w:color w:val="000000"/>
          <w:lang w:val="en-US"/>
        </w:rPr>
        <w:t>.5 of this report).</w:t>
      </w:r>
    </w:p>
    <w:p w14:paraId="49C53919" w14:textId="77777777" w:rsidR="00A63A7D" w:rsidRPr="0038045B" w:rsidRDefault="00A63A7D" w:rsidP="00C71246">
      <w:pPr>
        <w:autoSpaceDE w:val="0"/>
        <w:autoSpaceDN w:val="0"/>
        <w:adjustRightInd w:val="0"/>
        <w:spacing w:before="360" w:after="120" w:line="276" w:lineRule="auto"/>
        <w:jc w:val="both"/>
        <w:rPr>
          <w:b/>
          <w:i/>
          <w:color w:val="000000"/>
        </w:rPr>
      </w:pPr>
      <w:r w:rsidRPr="0038045B">
        <w:rPr>
          <w:b/>
          <w:i/>
          <w:color w:val="000000"/>
        </w:rPr>
        <w:t>Observations and recommendations</w:t>
      </w:r>
    </w:p>
    <w:p w14:paraId="2E2C57E3" w14:textId="77777777" w:rsidR="00CC505E" w:rsidRPr="0038045B" w:rsidRDefault="00082A4A" w:rsidP="00CC505E">
      <w:pPr>
        <w:pStyle w:val="Body"/>
        <w:numPr>
          <w:ilvl w:val="0"/>
          <w:numId w:val="15"/>
        </w:numPr>
        <w:tabs>
          <w:tab w:val="left" w:pos="270"/>
        </w:tabs>
        <w:spacing w:after="200" w:line="276" w:lineRule="auto"/>
        <w:ind w:left="0" w:firstLine="0"/>
        <w:rPr>
          <w:i/>
          <w:color w:val="000000"/>
          <w:lang w:val="en-US"/>
        </w:rPr>
      </w:pPr>
      <w:r w:rsidRPr="0038045B">
        <w:rPr>
          <w:i/>
          <w:color w:val="000000"/>
          <w:lang w:val="en-US"/>
        </w:rPr>
        <w:t xml:space="preserve">A robust framework has been established to foster sound risk management practices in the payments industry in Albania, including through the </w:t>
      </w:r>
      <w:r w:rsidR="00CC505E" w:rsidRPr="0038045B">
        <w:rPr>
          <w:i/>
          <w:color w:val="000000"/>
          <w:lang w:val="en-US"/>
        </w:rPr>
        <w:t>regulation and the supervision/</w:t>
      </w:r>
      <w:r w:rsidRPr="0038045B">
        <w:rPr>
          <w:i/>
          <w:color w:val="000000"/>
          <w:lang w:val="en-US"/>
        </w:rPr>
        <w:t xml:space="preserve">oversight of </w:t>
      </w:r>
      <w:r w:rsidR="00DB7E8D" w:rsidRPr="0038045B">
        <w:rPr>
          <w:i/>
          <w:color w:val="000000"/>
          <w:lang w:val="en-US"/>
        </w:rPr>
        <w:t xml:space="preserve">providers of payment services </w:t>
      </w:r>
      <w:r w:rsidRPr="0038045B">
        <w:rPr>
          <w:i/>
          <w:color w:val="000000"/>
          <w:lang w:val="en-US"/>
        </w:rPr>
        <w:t xml:space="preserve">and </w:t>
      </w:r>
      <w:r w:rsidR="00DB7E8D" w:rsidRPr="0038045B">
        <w:rPr>
          <w:i/>
          <w:color w:val="000000"/>
          <w:lang w:val="en-US"/>
        </w:rPr>
        <w:t xml:space="preserve">operators of payment systems </w:t>
      </w:r>
      <w:r w:rsidR="007C1BFB" w:rsidRPr="0038045B">
        <w:rPr>
          <w:i/>
          <w:color w:val="000000"/>
          <w:lang w:val="en-US"/>
        </w:rPr>
        <w:t>(</w:t>
      </w:r>
      <w:r w:rsidR="00BC3114" w:rsidRPr="0038045B">
        <w:rPr>
          <w:i/>
          <w:color w:val="000000"/>
          <w:lang w:val="en-US"/>
        </w:rPr>
        <w:t>including the operators of clearing houses</w:t>
      </w:r>
      <w:r w:rsidR="007C1BFB" w:rsidRPr="0038045B">
        <w:rPr>
          <w:i/>
          <w:color w:val="000000"/>
          <w:lang w:val="en-US"/>
        </w:rPr>
        <w:t>)</w:t>
      </w:r>
      <w:r w:rsidRPr="0038045B">
        <w:rPr>
          <w:i/>
          <w:color w:val="000000"/>
          <w:lang w:val="en-US"/>
        </w:rPr>
        <w:t xml:space="preserve"> by </w:t>
      </w:r>
      <w:r w:rsidR="00CC505E" w:rsidRPr="0038045B">
        <w:rPr>
          <w:i/>
          <w:color w:val="000000"/>
          <w:lang w:val="en-US"/>
        </w:rPr>
        <w:t xml:space="preserve">the </w:t>
      </w:r>
      <w:r w:rsidRPr="0038045B">
        <w:rPr>
          <w:i/>
          <w:color w:val="000000"/>
          <w:lang w:val="en-US"/>
        </w:rPr>
        <w:t>BoA</w:t>
      </w:r>
      <w:r w:rsidR="002772D6" w:rsidRPr="0038045B">
        <w:rPr>
          <w:i/>
          <w:color w:val="000000"/>
          <w:lang w:val="en-US"/>
        </w:rPr>
        <w:t xml:space="preserve">. </w:t>
      </w:r>
      <w:r w:rsidR="00CC505E" w:rsidRPr="0038045B">
        <w:rPr>
          <w:i/>
          <w:color w:val="000000"/>
          <w:lang w:val="en-US"/>
        </w:rPr>
        <w:t xml:space="preserve">In parallel with </w:t>
      </w:r>
      <w:r w:rsidR="007D6496" w:rsidRPr="0038045B">
        <w:rPr>
          <w:i/>
          <w:color w:val="000000"/>
          <w:lang w:val="en-US"/>
        </w:rPr>
        <w:t>allowing</w:t>
      </w:r>
      <w:r w:rsidR="00CC505E" w:rsidRPr="0038045B">
        <w:rPr>
          <w:i/>
          <w:color w:val="000000"/>
          <w:lang w:val="en-US"/>
        </w:rPr>
        <w:t xml:space="preserve"> </w:t>
      </w:r>
      <w:r w:rsidR="00550A2B" w:rsidRPr="0038045B">
        <w:rPr>
          <w:i/>
          <w:color w:val="000000"/>
          <w:lang w:val="en-US"/>
        </w:rPr>
        <w:t>NBFIs</w:t>
      </w:r>
      <w:r w:rsidR="007D6496" w:rsidRPr="0038045B">
        <w:rPr>
          <w:i/>
          <w:color w:val="000000"/>
          <w:lang w:val="en-US"/>
        </w:rPr>
        <w:t xml:space="preserve"> to provide payment services, the legal framework sets out the</w:t>
      </w:r>
      <w:r w:rsidR="00CC505E" w:rsidRPr="0038045B">
        <w:rPr>
          <w:i/>
          <w:color w:val="000000"/>
          <w:lang w:val="en-US"/>
        </w:rPr>
        <w:t xml:space="preserve"> risk management provisions </w:t>
      </w:r>
      <w:r w:rsidR="00550A2B" w:rsidRPr="0038045B">
        <w:rPr>
          <w:i/>
          <w:color w:val="000000"/>
          <w:lang w:val="en-US"/>
        </w:rPr>
        <w:t xml:space="preserve">that are applicable to them </w:t>
      </w:r>
      <w:r w:rsidR="001C5461" w:rsidRPr="0038045B">
        <w:rPr>
          <w:i/>
          <w:color w:val="000000"/>
          <w:lang w:val="en-US"/>
        </w:rPr>
        <w:t>(e.g. Regulation 2 of 2013)</w:t>
      </w:r>
      <w:r w:rsidR="00CC505E" w:rsidRPr="0038045B">
        <w:rPr>
          <w:i/>
          <w:color w:val="000000"/>
          <w:lang w:val="en-US"/>
        </w:rPr>
        <w:t>.</w:t>
      </w:r>
    </w:p>
    <w:p w14:paraId="76347734" w14:textId="77777777" w:rsidR="00082A4A" w:rsidRPr="0038045B" w:rsidRDefault="00082A4A" w:rsidP="003975F7">
      <w:pPr>
        <w:pStyle w:val="Body"/>
        <w:numPr>
          <w:ilvl w:val="0"/>
          <w:numId w:val="15"/>
        </w:numPr>
        <w:tabs>
          <w:tab w:val="left" w:pos="270"/>
        </w:tabs>
        <w:spacing w:after="200" w:line="276" w:lineRule="auto"/>
        <w:ind w:left="0" w:firstLine="0"/>
        <w:rPr>
          <w:i/>
          <w:color w:val="000000"/>
          <w:lang w:val="en-US"/>
        </w:rPr>
      </w:pPr>
      <w:r w:rsidRPr="0038045B">
        <w:rPr>
          <w:i/>
          <w:color w:val="000000"/>
          <w:lang w:val="en-US"/>
        </w:rPr>
        <w:t>Current</w:t>
      </w:r>
      <w:r w:rsidR="009E2984" w:rsidRPr="0038045B">
        <w:rPr>
          <w:i/>
          <w:color w:val="000000"/>
          <w:lang w:val="en-US"/>
        </w:rPr>
        <w:t xml:space="preserve"> regulatory </w:t>
      </w:r>
      <w:r w:rsidR="00B57127" w:rsidRPr="0038045B">
        <w:rPr>
          <w:i/>
          <w:color w:val="000000"/>
          <w:lang w:val="en-US"/>
        </w:rPr>
        <w:t>and</w:t>
      </w:r>
      <w:r w:rsidRPr="0038045B">
        <w:rPr>
          <w:i/>
          <w:color w:val="000000"/>
          <w:lang w:val="en-US"/>
        </w:rPr>
        <w:t xml:space="preserve"> oversight powers of BoA are </w:t>
      </w:r>
      <w:r w:rsidR="00CC505E" w:rsidRPr="0038045B">
        <w:rPr>
          <w:i/>
          <w:color w:val="000000"/>
          <w:lang w:val="en-US"/>
        </w:rPr>
        <w:t xml:space="preserve">properly </w:t>
      </w:r>
      <w:r w:rsidRPr="0038045B">
        <w:rPr>
          <w:i/>
          <w:color w:val="000000"/>
          <w:lang w:val="en-US"/>
        </w:rPr>
        <w:t>articulated</w:t>
      </w:r>
      <w:r w:rsidR="00CC505E" w:rsidRPr="0038045B">
        <w:rPr>
          <w:i/>
          <w:color w:val="000000"/>
          <w:lang w:val="en-US"/>
        </w:rPr>
        <w:t xml:space="preserve"> for the most part</w:t>
      </w:r>
      <w:r w:rsidRPr="0038045B">
        <w:rPr>
          <w:i/>
          <w:color w:val="000000"/>
          <w:lang w:val="en-US"/>
        </w:rPr>
        <w:t>. However, while the BoA has clear responsibility for the regulation and oversight of payment systems and payment instruments</w:t>
      </w:r>
      <w:r w:rsidR="00CC505E" w:rsidRPr="0038045B">
        <w:rPr>
          <w:i/>
          <w:color w:val="000000"/>
          <w:lang w:val="en-US"/>
        </w:rPr>
        <w:t xml:space="preserve"> (e.g. article 15 of the Law on Payment System)</w:t>
      </w:r>
      <w:r w:rsidRPr="0038045B">
        <w:rPr>
          <w:i/>
          <w:color w:val="000000"/>
          <w:lang w:val="en-US"/>
        </w:rPr>
        <w:t xml:space="preserve">, </w:t>
      </w:r>
      <w:r w:rsidR="00CC505E" w:rsidRPr="0038045B">
        <w:rPr>
          <w:i/>
          <w:color w:val="000000"/>
          <w:lang w:val="en-US"/>
        </w:rPr>
        <w:t>there is no explicit mention of such powers when it comes to</w:t>
      </w:r>
      <w:r w:rsidR="00E84ADE" w:rsidRPr="0038045B">
        <w:rPr>
          <w:i/>
          <w:color w:val="000000"/>
          <w:lang w:val="en-US"/>
        </w:rPr>
        <w:t xml:space="preserve"> the provision of</w:t>
      </w:r>
      <w:r w:rsidR="00CC505E" w:rsidRPr="0038045B">
        <w:rPr>
          <w:i/>
          <w:color w:val="000000"/>
          <w:lang w:val="en-US"/>
        </w:rPr>
        <w:t xml:space="preserve"> payment services in general</w:t>
      </w:r>
      <w:r w:rsidR="009E2984" w:rsidRPr="0038045B">
        <w:rPr>
          <w:i/>
          <w:color w:val="000000"/>
          <w:lang w:val="en-US"/>
        </w:rPr>
        <w:t>.</w:t>
      </w:r>
      <w:r w:rsidR="003975F7" w:rsidRPr="0038045B">
        <w:rPr>
          <w:i/>
          <w:color w:val="000000"/>
          <w:lang w:val="en-US"/>
        </w:rPr>
        <w:t xml:space="preserve"> Moreover, the definition of payment system</w:t>
      </w:r>
      <w:r w:rsidR="009E2984" w:rsidRPr="0038045B">
        <w:rPr>
          <w:i/>
          <w:color w:val="000000"/>
          <w:lang w:val="en-US"/>
        </w:rPr>
        <w:t xml:space="preserve"> </w:t>
      </w:r>
      <w:r w:rsidR="003975F7" w:rsidRPr="0038045B">
        <w:rPr>
          <w:i/>
          <w:color w:val="000000"/>
          <w:lang w:val="en-US"/>
        </w:rPr>
        <w:t xml:space="preserve">of the Law is quite limited and does not encompass of the elements that comprise the “national payments system: intended as “the </w:t>
      </w:r>
      <w:r w:rsidR="003975F7" w:rsidRPr="0038045B">
        <w:rPr>
          <w:i/>
          <w:color w:val="000000"/>
          <w:lang w:val="en-US"/>
        </w:rPr>
        <w:lastRenderedPageBreak/>
        <w:t xml:space="preserve">whole of the services that are associated with the sending, receiving and processing of orders of payment or transfers of money in domestic or foreign currencies, issuance and management of Payment Instruments, Payment, Clearing and Settlement Systems, including those processing securities, arrangements and procedures associated to those Systems and Services, and Payment Service Providers, including System Operators, Participants, and any third party acting on behalf of them, either as an agent or by way of outsourcing agreements”. </w:t>
      </w:r>
      <w:r w:rsidR="009E2984" w:rsidRPr="0038045B">
        <w:rPr>
          <w:i/>
          <w:color w:val="000000"/>
          <w:lang w:val="en-US"/>
        </w:rPr>
        <w:t>It is recommended that the legal foundations of BoA oversight</w:t>
      </w:r>
      <w:r w:rsidR="00EB50ED" w:rsidRPr="0038045B">
        <w:rPr>
          <w:i/>
          <w:color w:val="000000"/>
          <w:lang w:val="en-US"/>
        </w:rPr>
        <w:t xml:space="preserve"> </w:t>
      </w:r>
      <w:r w:rsidR="009E2984" w:rsidRPr="0038045B">
        <w:rPr>
          <w:i/>
          <w:color w:val="000000"/>
          <w:lang w:val="en-US"/>
        </w:rPr>
        <w:t xml:space="preserve">powers </w:t>
      </w:r>
      <w:r w:rsidR="00EB50ED" w:rsidRPr="0038045B">
        <w:rPr>
          <w:i/>
          <w:color w:val="000000"/>
          <w:lang w:val="en-US"/>
        </w:rPr>
        <w:t xml:space="preserve">(i.e., at the statutory level) </w:t>
      </w:r>
      <w:r w:rsidR="009E2984" w:rsidRPr="0038045B">
        <w:rPr>
          <w:i/>
          <w:color w:val="000000"/>
          <w:lang w:val="en-US"/>
        </w:rPr>
        <w:t>be reviewed and clarified with the aim to cover explicitly payment services.</w:t>
      </w:r>
    </w:p>
    <w:p w14:paraId="55CDFAA1" w14:textId="77777777" w:rsidR="00082A4A" w:rsidRPr="0038045B" w:rsidRDefault="00CC505E" w:rsidP="00082A4A">
      <w:pPr>
        <w:pStyle w:val="Body"/>
        <w:numPr>
          <w:ilvl w:val="0"/>
          <w:numId w:val="15"/>
        </w:numPr>
        <w:tabs>
          <w:tab w:val="left" w:pos="270"/>
        </w:tabs>
        <w:spacing w:after="200" w:line="276" w:lineRule="auto"/>
        <w:ind w:left="0" w:firstLine="0"/>
        <w:rPr>
          <w:i/>
          <w:color w:val="000000"/>
          <w:lang w:val="en-US"/>
        </w:rPr>
      </w:pPr>
      <w:r w:rsidRPr="0038045B">
        <w:rPr>
          <w:i/>
          <w:color w:val="000000"/>
          <w:lang w:val="en-US"/>
        </w:rPr>
        <w:t>A</w:t>
      </w:r>
      <w:r w:rsidR="002772D6" w:rsidRPr="0038045B">
        <w:rPr>
          <w:i/>
          <w:color w:val="000000"/>
          <w:lang w:val="en-US"/>
        </w:rPr>
        <w:t>s mentioned in section 3.2.1, there is a</w:t>
      </w:r>
      <w:r w:rsidR="00082A4A" w:rsidRPr="0038045B">
        <w:rPr>
          <w:i/>
          <w:color w:val="000000"/>
          <w:lang w:val="en-US"/>
        </w:rPr>
        <w:t xml:space="preserve"> legal </w:t>
      </w:r>
      <w:r w:rsidR="00B57127" w:rsidRPr="0038045B">
        <w:rPr>
          <w:i/>
          <w:color w:val="000000"/>
          <w:lang w:val="en-US"/>
        </w:rPr>
        <w:t xml:space="preserve">and regulatory </w:t>
      </w:r>
      <w:r w:rsidR="00082A4A" w:rsidRPr="0038045B">
        <w:rPr>
          <w:i/>
          <w:color w:val="000000"/>
          <w:lang w:val="en-US"/>
        </w:rPr>
        <w:t xml:space="preserve">vacuum </w:t>
      </w:r>
      <w:r w:rsidR="00550A2B" w:rsidRPr="0038045B">
        <w:rPr>
          <w:i/>
          <w:color w:val="000000"/>
          <w:lang w:val="en-US"/>
        </w:rPr>
        <w:t xml:space="preserve">with regard to </w:t>
      </w:r>
      <w:r w:rsidR="00082A4A" w:rsidRPr="0038045B">
        <w:rPr>
          <w:i/>
          <w:color w:val="000000"/>
          <w:lang w:val="en-US"/>
        </w:rPr>
        <w:t>the use of agents</w:t>
      </w:r>
      <w:r w:rsidR="002772D6" w:rsidRPr="0038045B">
        <w:rPr>
          <w:i/>
          <w:color w:val="000000"/>
          <w:lang w:val="en-US"/>
        </w:rPr>
        <w:t xml:space="preserve">. A similar case exists </w:t>
      </w:r>
      <w:r w:rsidR="00550A2B" w:rsidRPr="0038045B">
        <w:rPr>
          <w:i/>
          <w:color w:val="000000"/>
          <w:lang w:val="en-US"/>
        </w:rPr>
        <w:t>for</w:t>
      </w:r>
      <w:r w:rsidR="002772D6" w:rsidRPr="0038045B">
        <w:rPr>
          <w:i/>
          <w:color w:val="000000"/>
          <w:lang w:val="en-US"/>
        </w:rPr>
        <w:t xml:space="preserve"> outsourcing other functions/activities to third parties</w:t>
      </w:r>
      <w:r w:rsidR="00082A4A" w:rsidRPr="0038045B">
        <w:rPr>
          <w:i/>
          <w:color w:val="000000"/>
          <w:lang w:val="en-US"/>
        </w:rPr>
        <w:t xml:space="preserve">. </w:t>
      </w:r>
      <w:r w:rsidR="001A0EFE" w:rsidRPr="0038045B">
        <w:rPr>
          <w:i/>
          <w:color w:val="000000"/>
          <w:lang w:val="en-US"/>
        </w:rPr>
        <w:t>In this regard, t</w:t>
      </w:r>
      <w:r w:rsidR="00082A4A" w:rsidRPr="0038045B">
        <w:rPr>
          <w:i/>
          <w:color w:val="000000"/>
          <w:lang w:val="en-US"/>
        </w:rPr>
        <w:t xml:space="preserve">he legal </w:t>
      </w:r>
      <w:r w:rsidR="001A0EFE" w:rsidRPr="0038045B">
        <w:rPr>
          <w:i/>
          <w:color w:val="000000"/>
          <w:lang w:val="en-US"/>
        </w:rPr>
        <w:t xml:space="preserve">and regulatory </w:t>
      </w:r>
      <w:r w:rsidR="00082A4A" w:rsidRPr="0038045B">
        <w:rPr>
          <w:i/>
          <w:color w:val="000000"/>
          <w:lang w:val="en-US"/>
        </w:rPr>
        <w:t xml:space="preserve">framework should discipline and treat consistently </w:t>
      </w:r>
      <w:r w:rsidR="001A0EFE" w:rsidRPr="0038045B">
        <w:rPr>
          <w:i/>
          <w:color w:val="000000"/>
          <w:lang w:val="en-US"/>
        </w:rPr>
        <w:t xml:space="preserve">the </w:t>
      </w:r>
      <w:r w:rsidR="00082A4A" w:rsidRPr="0038045B">
        <w:rPr>
          <w:i/>
          <w:color w:val="000000"/>
          <w:lang w:val="en-US"/>
        </w:rPr>
        <w:t xml:space="preserve">use of agents and outsourcing across the </w:t>
      </w:r>
      <w:r w:rsidR="001A0EFE" w:rsidRPr="0038045B">
        <w:rPr>
          <w:i/>
          <w:color w:val="000000"/>
          <w:lang w:val="en-US"/>
        </w:rPr>
        <w:t xml:space="preserve">payments </w:t>
      </w:r>
      <w:r w:rsidR="00082A4A" w:rsidRPr="0038045B">
        <w:rPr>
          <w:i/>
          <w:color w:val="000000"/>
          <w:lang w:val="en-US"/>
        </w:rPr>
        <w:t>sector, without making any difference between banks and non-banks</w:t>
      </w:r>
      <w:r w:rsidR="001763D3" w:rsidRPr="0038045B">
        <w:rPr>
          <w:i/>
          <w:color w:val="000000"/>
          <w:lang w:val="en-US"/>
        </w:rPr>
        <w:t xml:space="preserve">. </w:t>
      </w:r>
      <w:r w:rsidR="00082A4A" w:rsidRPr="0038045B">
        <w:rPr>
          <w:i/>
          <w:color w:val="000000"/>
          <w:lang w:val="en-US"/>
        </w:rPr>
        <w:t xml:space="preserve"> </w:t>
      </w:r>
      <w:r w:rsidR="001A0EFE" w:rsidRPr="0038045B">
        <w:rPr>
          <w:i/>
          <w:color w:val="000000"/>
          <w:lang w:val="en-US"/>
        </w:rPr>
        <w:t>At the same time, this framework needs to be proportional to the risks that agen</w:t>
      </w:r>
      <w:r w:rsidR="00550A2B" w:rsidRPr="0038045B">
        <w:rPr>
          <w:i/>
          <w:color w:val="000000"/>
          <w:lang w:val="en-US"/>
        </w:rPr>
        <w:t>ts</w:t>
      </w:r>
      <w:r w:rsidR="001763D3" w:rsidRPr="0038045B">
        <w:rPr>
          <w:i/>
          <w:color w:val="000000"/>
          <w:lang w:val="en-US"/>
        </w:rPr>
        <w:t xml:space="preserve"> </w:t>
      </w:r>
      <w:r w:rsidR="001A0EFE" w:rsidRPr="0038045B">
        <w:rPr>
          <w:i/>
          <w:color w:val="000000"/>
          <w:lang w:val="en-US"/>
        </w:rPr>
        <w:t xml:space="preserve">and </w:t>
      </w:r>
      <w:r w:rsidR="00550A2B" w:rsidRPr="0038045B">
        <w:rPr>
          <w:i/>
          <w:color w:val="000000"/>
          <w:lang w:val="en-US"/>
        </w:rPr>
        <w:t>outsourc</w:t>
      </w:r>
      <w:r w:rsidR="001763D3" w:rsidRPr="0038045B">
        <w:rPr>
          <w:i/>
          <w:color w:val="000000"/>
          <w:lang w:val="en-US"/>
        </w:rPr>
        <w:t>ing</w:t>
      </w:r>
      <w:r w:rsidR="00550A2B" w:rsidRPr="0038045B">
        <w:rPr>
          <w:i/>
          <w:color w:val="000000"/>
          <w:lang w:val="en-US"/>
        </w:rPr>
        <w:t xml:space="preserve"> </w:t>
      </w:r>
      <w:r w:rsidR="001A0EFE" w:rsidRPr="0038045B">
        <w:rPr>
          <w:i/>
          <w:color w:val="000000"/>
          <w:lang w:val="en-US"/>
        </w:rPr>
        <w:t>might create.</w:t>
      </w:r>
    </w:p>
    <w:p w14:paraId="5A14CC53" w14:textId="77777777" w:rsidR="00305D0A" w:rsidRPr="0038045B" w:rsidRDefault="001A0EFE" w:rsidP="00305D0A">
      <w:pPr>
        <w:pStyle w:val="Body"/>
        <w:numPr>
          <w:ilvl w:val="0"/>
          <w:numId w:val="15"/>
        </w:numPr>
        <w:tabs>
          <w:tab w:val="left" w:pos="270"/>
        </w:tabs>
        <w:spacing w:after="200" w:line="276" w:lineRule="auto"/>
        <w:ind w:left="0" w:firstLine="0"/>
        <w:rPr>
          <w:i/>
          <w:color w:val="000000"/>
          <w:lang w:val="en-US"/>
        </w:rPr>
      </w:pPr>
      <w:r w:rsidRPr="0038045B">
        <w:rPr>
          <w:i/>
          <w:color w:val="000000"/>
          <w:lang w:val="en-US"/>
        </w:rPr>
        <w:t>One crucial aspect with regard to outsourcing that merits a special mention is that o</w:t>
      </w:r>
      <w:r w:rsidR="00305D0A" w:rsidRPr="0038045B">
        <w:rPr>
          <w:i/>
          <w:color w:val="000000"/>
          <w:lang w:val="en-US"/>
        </w:rPr>
        <w:t>utsourcing of important operational functions may not be undertaken in such a way as to impair materially the quality of the PSP</w:t>
      </w:r>
      <w:r w:rsidRPr="0038045B">
        <w:rPr>
          <w:i/>
          <w:color w:val="000000"/>
          <w:lang w:val="en-US"/>
        </w:rPr>
        <w:t>’s</w:t>
      </w:r>
      <w:r w:rsidR="00305D0A" w:rsidRPr="0038045B">
        <w:rPr>
          <w:i/>
          <w:color w:val="000000"/>
          <w:lang w:val="en-US"/>
        </w:rPr>
        <w:t xml:space="preserve"> or </w:t>
      </w:r>
      <w:r w:rsidR="00DB7E8D" w:rsidRPr="0038045B">
        <w:rPr>
          <w:i/>
          <w:color w:val="000000"/>
          <w:lang w:val="en-US"/>
        </w:rPr>
        <w:t>payment system operator</w:t>
      </w:r>
      <w:r w:rsidR="00116426" w:rsidRPr="0038045B">
        <w:rPr>
          <w:i/>
          <w:color w:val="000000"/>
          <w:lang w:val="en-US"/>
        </w:rPr>
        <w:t xml:space="preserve">’s </w:t>
      </w:r>
      <w:r w:rsidR="00305D0A" w:rsidRPr="0038045B">
        <w:rPr>
          <w:i/>
          <w:color w:val="000000"/>
          <w:lang w:val="en-US"/>
        </w:rPr>
        <w:t>internal control</w:t>
      </w:r>
      <w:r w:rsidRPr="0038045B">
        <w:rPr>
          <w:i/>
          <w:color w:val="000000"/>
          <w:lang w:val="en-US"/>
        </w:rPr>
        <w:t>s</w:t>
      </w:r>
      <w:r w:rsidR="00305D0A" w:rsidRPr="0038045B">
        <w:rPr>
          <w:i/>
          <w:color w:val="000000"/>
          <w:lang w:val="en-US"/>
        </w:rPr>
        <w:t xml:space="preserve"> and the ability of </w:t>
      </w:r>
      <w:r w:rsidR="00F8167D" w:rsidRPr="0038045B">
        <w:rPr>
          <w:i/>
          <w:color w:val="000000"/>
          <w:lang w:val="en-US"/>
        </w:rPr>
        <w:t xml:space="preserve">the </w:t>
      </w:r>
      <w:r w:rsidR="00305D0A" w:rsidRPr="0038045B">
        <w:rPr>
          <w:i/>
          <w:color w:val="000000"/>
          <w:lang w:val="en-US"/>
        </w:rPr>
        <w:t>BoA to monitor their compliance with all obligations laid down in the legal framework.</w:t>
      </w:r>
      <w:r w:rsidR="001763D3" w:rsidRPr="0038045B">
        <w:rPr>
          <w:i/>
          <w:color w:val="000000"/>
          <w:lang w:val="en-US"/>
        </w:rPr>
        <w:t xml:space="preserve"> This aspect should be included in a regulation.</w:t>
      </w:r>
    </w:p>
    <w:p w14:paraId="6AEF842F" w14:textId="77777777" w:rsidR="00A63A7D" w:rsidRPr="0038045B" w:rsidRDefault="00A63A7D" w:rsidP="00D742CA">
      <w:pPr>
        <w:pStyle w:val="Heading3"/>
        <w:spacing w:before="480" w:after="240"/>
        <w:rPr>
          <w:b w:val="0"/>
          <w:i/>
        </w:rPr>
      </w:pPr>
      <w:bookmarkStart w:id="69" w:name="_Toc476239713"/>
      <w:r w:rsidRPr="0038045B">
        <w:rPr>
          <w:b w:val="0"/>
          <w:i/>
        </w:rPr>
        <w:t>Protection of deposits and e-money customer funds</w:t>
      </w:r>
      <w:bookmarkEnd w:id="69"/>
      <w:r w:rsidRPr="0038045B">
        <w:rPr>
          <w:b w:val="0"/>
          <w:i/>
        </w:rPr>
        <w:t xml:space="preserve"> </w:t>
      </w:r>
    </w:p>
    <w:p w14:paraId="01AEFED5" w14:textId="77777777" w:rsidR="00FC2EEA" w:rsidRPr="0038045B" w:rsidRDefault="00FC2EEA" w:rsidP="00FC2EEA">
      <w:pPr>
        <w:pStyle w:val="Body"/>
        <w:numPr>
          <w:ilvl w:val="0"/>
          <w:numId w:val="15"/>
        </w:numPr>
        <w:spacing w:after="200" w:line="276" w:lineRule="auto"/>
        <w:ind w:left="0" w:firstLine="0"/>
        <w:rPr>
          <w:lang w:val="en-US"/>
        </w:rPr>
      </w:pPr>
      <w:r w:rsidRPr="0038045B">
        <w:rPr>
          <w:lang w:val="en-US"/>
        </w:rPr>
        <w:t>Customer funds will normally be reflected in the total balance of a transaction account. However, for electronic payments that are not settled in real time, the funds that were withdrawn from the account of the payer are not reflected immediately in the account of the payee, originating what is referred to as “float”. In the e-money context, float is typically referred to as the total value of outstanding customer funds.</w:t>
      </w:r>
      <w:r w:rsidR="0044739E" w:rsidRPr="0038045B">
        <w:rPr>
          <w:lang w:val="en-US"/>
        </w:rPr>
        <w:t xml:space="preserve"> F</w:t>
      </w:r>
      <w:r w:rsidRPr="0038045B">
        <w:rPr>
          <w:lang w:val="en-US"/>
        </w:rPr>
        <w:t xml:space="preserve">inancial authorities are paying increasing attention to the risk of misuse or loss of these customer funds. E-money funds are subject to some of the same types of risk as traditional sight deposits, including the risk that the </w:t>
      </w:r>
      <w:r w:rsidR="0044739E" w:rsidRPr="0038045B">
        <w:rPr>
          <w:lang w:val="en-US"/>
        </w:rPr>
        <w:t>PSP</w:t>
      </w:r>
      <w:r w:rsidRPr="0038045B">
        <w:rPr>
          <w:lang w:val="en-US"/>
        </w:rPr>
        <w:t>, or an employee of the PSP, misuses or absconds with the funds, that the PSP faces bankruptcy, or that the financial institution that holds the underlying funds (but is not the actual PSP operating the e-money accounts) faces bankruptcy. Furthermore, e-money transaction accounts differ fundamentally from deposit transaction accounts in that e-money accounts are not designed to facilitate financial intermediation. In this context, regulators adopt sets of risk mitigation measures that reinforce protection of funds</w:t>
      </w:r>
      <w:r w:rsidR="0044739E" w:rsidRPr="0038045B">
        <w:rPr>
          <w:lang w:val="en-US"/>
        </w:rPr>
        <w:t>, including providing sufficient clarity on the potential use of funds held in e-money accounts</w:t>
      </w:r>
      <w:r w:rsidRPr="0038045B">
        <w:rPr>
          <w:lang w:val="en-US"/>
        </w:rPr>
        <w:t>.</w:t>
      </w:r>
    </w:p>
    <w:p w14:paraId="3172D951" w14:textId="77777777" w:rsidR="00D10674" w:rsidRPr="0038045B" w:rsidRDefault="00D10674" w:rsidP="00D10674">
      <w:pPr>
        <w:pStyle w:val="Body"/>
        <w:spacing w:after="200" w:line="276" w:lineRule="auto"/>
        <w:ind w:firstLine="0"/>
        <w:rPr>
          <w:u w:val="single"/>
          <w:lang w:val="en-US"/>
        </w:rPr>
      </w:pPr>
      <w:r w:rsidRPr="0038045B">
        <w:rPr>
          <w:u w:val="single"/>
          <w:lang w:val="en-US"/>
        </w:rPr>
        <w:t>Situation in Albania</w:t>
      </w:r>
    </w:p>
    <w:p w14:paraId="1E07CB27" w14:textId="77777777" w:rsidR="00FC2EEA" w:rsidRPr="0038045B" w:rsidRDefault="00FC2EEA" w:rsidP="00FC2EEA">
      <w:pPr>
        <w:pStyle w:val="Body"/>
        <w:numPr>
          <w:ilvl w:val="0"/>
          <w:numId w:val="15"/>
        </w:numPr>
        <w:spacing w:after="200" w:line="276" w:lineRule="auto"/>
        <w:ind w:left="0" w:firstLine="0"/>
        <w:rPr>
          <w:lang w:val="en-US"/>
        </w:rPr>
      </w:pPr>
      <w:r w:rsidRPr="0038045B">
        <w:rPr>
          <w:lang w:val="en-US"/>
        </w:rPr>
        <w:t xml:space="preserve">There is explicit deposit insurance in Albania. </w:t>
      </w:r>
      <w:r w:rsidR="00AD1026" w:rsidRPr="0038045B">
        <w:rPr>
          <w:lang w:val="en-US"/>
        </w:rPr>
        <w:t xml:space="preserve">The definition of deposit includes </w:t>
      </w:r>
      <w:r w:rsidR="00AD1026" w:rsidRPr="0038045B">
        <w:rPr>
          <w:lang w:val="en-US"/>
        </w:rPr>
        <w:lastRenderedPageBreak/>
        <w:t>money deposited in banks and, according to recent amendments, also in SCA</w:t>
      </w:r>
      <w:r w:rsidR="00550A2B" w:rsidRPr="0038045B">
        <w:rPr>
          <w:lang w:val="en-US"/>
        </w:rPr>
        <w:t>s</w:t>
      </w:r>
      <w:r w:rsidR="00AD1026" w:rsidRPr="0038045B">
        <w:rPr>
          <w:lang w:val="en-US"/>
        </w:rPr>
        <w:t xml:space="preserve"> (article 1). </w:t>
      </w:r>
      <w:r w:rsidRPr="0038045B">
        <w:rPr>
          <w:lang w:val="en-US"/>
        </w:rPr>
        <w:t>The deposit insurance framework is managed by the Albanian Deposit Insurance Agency (ADIA) establi</w:t>
      </w:r>
      <w:r w:rsidR="00F8167D" w:rsidRPr="0038045B">
        <w:rPr>
          <w:lang w:val="en-US"/>
        </w:rPr>
        <w:t xml:space="preserve">shed on the basis of Law No. 53 of </w:t>
      </w:r>
      <w:r w:rsidRPr="0038045B">
        <w:rPr>
          <w:lang w:val="en-US"/>
        </w:rPr>
        <w:t xml:space="preserve">2014 on Deposit Insurance. The Law establishes the procedure of membership of entities in the scheme, provides for the establishment of a </w:t>
      </w:r>
      <w:r w:rsidR="00150312" w:rsidRPr="0038045B">
        <w:rPr>
          <w:lang w:val="en-US"/>
        </w:rPr>
        <w:t xml:space="preserve">publicly available </w:t>
      </w:r>
      <w:r w:rsidRPr="0038045B">
        <w:rPr>
          <w:lang w:val="en-US"/>
        </w:rPr>
        <w:t xml:space="preserve">register which includes all </w:t>
      </w:r>
      <w:r w:rsidR="00F8167D" w:rsidRPr="0038045B">
        <w:rPr>
          <w:lang w:val="en-US"/>
        </w:rPr>
        <w:t xml:space="preserve">the </w:t>
      </w:r>
      <w:r w:rsidRPr="0038045B">
        <w:rPr>
          <w:lang w:val="en-US"/>
        </w:rPr>
        <w:t>members of the insurance scheme</w:t>
      </w:r>
      <w:r w:rsidR="00150312" w:rsidRPr="0038045B">
        <w:rPr>
          <w:lang w:val="en-US"/>
        </w:rPr>
        <w:t>,</w:t>
      </w:r>
      <w:r w:rsidRPr="0038045B">
        <w:rPr>
          <w:lang w:val="en-US"/>
        </w:rPr>
        <w:t xml:space="preserve"> and establishes the maximum level of deposit coverage.</w:t>
      </w:r>
    </w:p>
    <w:p w14:paraId="2C094FAA" w14:textId="77777777" w:rsidR="00FC2EEA" w:rsidRPr="0038045B" w:rsidRDefault="00AD1026" w:rsidP="00FC2EEA">
      <w:pPr>
        <w:pStyle w:val="Body"/>
        <w:numPr>
          <w:ilvl w:val="0"/>
          <w:numId w:val="15"/>
        </w:numPr>
        <w:spacing w:after="200" w:line="276" w:lineRule="auto"/>
        <w:ind w:left="0" w:firstLine="0"/>
        <w:rPr>
          <w:lang w:val="en-US"/>
        </w:rPr>
      </w:pPr>
      <w:r w:rsidRPr="0038045B">
        <w:rPr>
          <w:lang w:val="en-US"/>
        </w:rPr>
        <w:t>As mentioned</w:t>
      </w:r>
      <w:r w:rsidR="00150312" w:rsidRPr="0038045B">
        <w:rPr>
          <w:lang w:val="en-US"/>
        </w:rPr>
        <w:t xml:space="preserve"> above</w:t>
      </w:r>
      <w:r w:rsidRPr="0038045B">
        <w:rPr>
          <w:lang w:val="en-US"/>
        </w:rPr>
        <w:t>, e-</w:t>
      </w:r>
      <w:r w:rsidR="00FC2EEA" w:rsidRPr="0038045B">
        <w:rPr>
          <w:lang w:val="en-US"/>
        </w:rPr>
        <w:t xml:space="preserve">money </w:t>
      </w:r>
      <w:r w:rsidRPr="0038045B">
        <w:rPr>
          <w:lang w:val="en-US"/>
        </w:rPr>
        <w:t>may</w:t>
      </w:r>
      <w:r w:rsidR="00FC2EEA" w:rsidRPr="0038045B">
        <w:rPr>
          <w:lang w:val="en-US"/>
        </w:rPr>
        <w:t xml:space="preserve"> be </w:t>
      </w:r>
      <w:r w:rsidRPr="0038045B">
        <w:rPr>
          <w:lang w:val="en-US"/>
        </w:rPr>
        <w:t xml:space="preserve">issued </w:t>
      </w:r>
      <w:r w:rsidR="00FC2EEA" w:rsidRPr="0038045B">
        <w:rPr>
          <w:lang w:val="en-US"/>
        </w:rPr>
        <w:t>by banks</w:t>
      </w:r>
      <w:r w:rsidR="00896DAB" w:rsidRPr="0038045B">
        <w:rPr>
          <w:lang w:val="en-US"/>
        </w:rPr>
        <w:t xml:space="preserve"> </w:t>
      </w:r>
      <w:r w:rsidR="00240679" w:rsidRPr="0038045B">
        <w:rPr>
          <w:lang w:val="en-US"/>
        </w:rPr>
        <w:t xml:space="preserve">and other </w:t>
      </w:r>
      <w:r w:rsidR="00F8167D" w:rsidRPr="0038045B">
        <w:rPr>
          <w:lang w:val="en-US"/>
        </w:rPr>
        <w:t>NBFIs</w:t>
      </w:r>
      <w:r w:rsidR="00FC2EEA" w:rsidRPr="0038045B">
        <w:rPr>
          <w:lang w:val="en-US"/>
        </w:rPr>
        <w:t>. In 2011</w:t>
      </w:r>
      <w:r w:rsidR="00F8167D" w:rsidRPr="0038045B">
        <w:rPr>
          <w:lang w:val="en-US"/>
        </w:rPr>
        <w:t>,</w:t>
      </w:r>
      <w:r w:rsidR="00FC2EEA" w:rsidRPr="0038045B">
        <w:rPr>
          <w:lang w:val="en-US"/>
        </w:rPr>
        <w:t xml:space="preserve"> the Banking Law </w:t>
      </w:r>
      <w:r w:rsidRPr="0038045B">
        <w:rPr>
          <w:lang w:val="en-US"/>
        </w:rPr>
        <w:t xml:space="preserve">was </w:t>
      </w:r>
      <w:r w:rsidR="00FC2EEA" w:rsidRPr="0038045B">
        <w:rPr>
          <w:lang w:val="en-US"/>
        </w:rPr>
        <w:t xml:space="preserve">amended to exclude the issuing of e-money from the definition of “banking activity” (article 4 Banking Law) and, as such, reserved to banks only. The definition of “banking activity” includes now only </w:t>
      </w:r>
      <w:r w:rsidRPr="0038045B">
        <w:rPr>
          <w:lang w:val="en-US"/>
        </w:rPr>
        <w:t>“</w:t>
      </w:r>
      <w:r w:rsidR="00FC2EEA" w:rsidRPr="0038045B">
        <w:rPr>
          <w:lang w:val="en-US"/>
        </w:rPr>
        <w:t>deposits</w:t>
      </w:r>
      <w:r w:rsidRPr="0038045B">
        <w:rPr>
          <w:lang w:val="en-US"/>
        </w:rPr>
        <w:t>”,</w:t>
      </w:r>
      <w:r w:rsidR="00FC2EEA" w:rsidRPr="0038045B">
        <w:rPr>
          <w:lang w:val="en-US"/>
        </w:rPr>
        <w:t xml:space="preserve"> and a clear and complete definition of e-money has been included in the Law</w:t>
      </w:r>
      <w:r w:rsidRPr="0038045B">
        <w:rPr>
          <w:lang w:val="en-US"/>
        </w:rPr>
        <w:t>.</w:t>
      </w:r>
      <w:r w:rsidRPr="0038045B">
        <w:rPr>
          <w:rStyle w:val="FootnoteReference"/>
          <w:lang w:val="en-US"/>
        </w:rPr>
        <w:footnoteReference w:id="36"/>
      </w:r>
    </w:p>
    <w:p w14:paraId="7C4204F2" w14:textId="77777777" w:rsidR="00FC2EEA" w:rsidRPr="0038045B" w:rsidRDefault="00FC2EEA" w:rsidP="00FC2EEA">
      <w:pPr>
        <w:pStyle w:val="Body"/>
        <w:numPr>
          <w:ilvl w:val="0"/>
          <w:numId w:val="15"/>
        </w:numPr>
        <w:spacing w:after="200" w:line="276" w:lineRule="auto"/>
        <w:ind w:left="0" w:firstLine="0"/>
        <w:rPr>
          <w:lang w:val="en-US"/>
        </w:rPr>
      </w:pPr>
      <w:r w:rsidRPr="0038045B">
        <w:rPr>
          <w:lang w:val="en-US"/>
        </w:rPr>
        <w:t xml:space="preserve">Protection of e-money customers’ funds is </w:t>
      </w:r>
      <w:r w:rsidR="00AD1026" w:rsidRPr="0038045B">
        <w:rPr>
          <w:lang w:val="en-US"/>
        </w:rPr>
        <w:t>a</w:t>
      </w:r>
      <w:r w:rsidR="00F8167D" w:rsidRPr="0038045B">
        <w:rPr>
          <w:lang w:val="en-US"/>
        </w:rPr>
        <w:t xml:space="preserve">ddressed in Regulation No. 11 of 2008, Regulation No. 1 of 2013 and Regulation No. 2 of </w:t>
      </w:r>
      <w:r w:rsidRPr="0038045B">
        <w:rPr>
          <w:lang w:val="en-US"/>
        </w:rPr>
        <w:t>2013.</w:t>
      </w:r>
      <w:r w:rsidR="00F8167D" w:rsidRPr="0038045B">
        <w:rPr>
          <w:lang w:val="en-US"/>
        </w:rPr>
        <w:t xml:space="preserve"> According to Regulation No. 11 of </w:t>
      </w:r>
      <w:r w:rsidRPr="0038045B">
        <w:rPr>
          <w:lang w:val="en-US"/>
        </w:rPr>
        <w:t xml:space="preserve">2008 on electronic payment instruments, the e-money issuer, as the holder of the e-money </w:t>
      </w:r>
      <w:r w:rsidR="00AD1026" w:rsidRPr="0038045B">
        <w:rPr>
          <w:lang w:val="en-US"/>
        </w:rPr>
        <w:t>funds</w:t>
      </w:r>
      <w:r w:rsidRPr="0038045B">
        <w:rPr>
          <w:lang w:val="en-US"/>
        </w:rPr>
        <w:t>, must, on demand, redeem the electronic value held on the instrument for central bank cur</w:t>
      </w:r>
      <w:r w:rsidR="00F8167D" w:rsidRPr="0038045B">
        <w:rPr>
          <w:lang w:val="en-US"/>
        </w:rPr>
        <w:t xml:space="preserve">rency, at par. Regulation No. 1 of </w:t>
      </w:r>
      <w:r w:rsidRPr="0038045B">
        <w:rPr>
          <w:lang w:val="en-US"/>
        </w:rPr>
        <w:t xml:space="preserve">2013 requires, among the documents to be submitted to </w:t>
      </w:r>
      <w:r w:rsidR="00150312" w:rsidRPr="0038045B">
        <w:rPr>
          <w:lang w:val="en-US"/>
        </w:rPr>
        <w:t xml:space="preserve">obtain </w:t>
      </w:r>
      <w:r w:rsidRPr="0038045B">
        <w:rPr>
          <w:lang w:val="en-US"/>
        </w:rPr>
        <w:t>the licen</w:t>
      </w:r>
      <w:r w:rsidR="00AD1026" w:rsidRPr="0038045B">
        <w:rPr>
          <w:lang w:val="en-US"/>
        </w:rPr>
        <w:t>s</w:t>
      </w:r>
      <w:r w:rsidRPr="0038045B">
        <w:rPr>
          <w:lang w:val="en-US"/>
        </w:rPr>
        <w:t xml:space="preserve">e to issue e-money, a business plan which includes an activity scheme and description of the measures for keeping/securing client funds. Regulation No. 2 of 2013 on risk management in the activity of </w:t>
      </w:r>
      <w:r w:rsidR="00AD1026" w:rsidRPr="0038045B">
        <w:rPr>
          <w:lang w:val="en-US"/>
        </w:rPr>
        <w:t xml:space="preserve">NBFIs </w:t>
      </w:r>
      <w:r w:rsidRPr="0038045B">
        <w:rPr>
          <w:lang w:val="en-US"/>
        </w:rPr>
        <w:t>dedicates chapter VI to e-money. In particular, article 28 provides for customer funds’ insurance. The provision establishes that the e</w:t>
      </w:r>
      <w:r w:rsidR="00AD1026" w:rsidRPr="0038045B">
        <w:rPr>
          <w:lang w:val="en-US"/>
        </w:rPr>
        <w:t>-</w:t>
      </w:r>
      <w:r w:rsidRPr="0038045B">
        <w:rPr>
          <w:lang w:val="en-US"/>
        </w:rPr>
        <w:t xml:space="preserve">money institution shall ensure that the funds accepted as an exchange </w:t>
      </w:r>
      <w:r w:rsidR="00150312" w:rsidRPr="0038045B">
        <w:rPr>
          <w:lang w:val="en-US"/>
        </w:rPr>
        <w:t xml:space="preserve">for </w:t>
      </w:r>
      <w:r w:rsidRPr="0038045B">
        <w:rPr>
          <w:lang w:val="en-US"/>
        </w:rPr>
        <w:t>e</w:t>
      </w:r>
      <w:r w:rsidR="00AD1026" w:rsidRPr="0038045B">
        <w:rPr>
          <w:lang w:val="en-US"/>
        </w:rPr>
        <w:t>-</w:t>
      </w:r>
      <w:r w:rsidRPr="0038045B">
        <w:rPr>
          <w:lang w:val="en-US"/>
        </w:rPr>
        <w:t xml:space="preserve">money be kept in a special account, separated from the other accounts of the </w:t>
      </w:r>
      <w:r w:rsidR="00AD1026" w:rsidRPr="0038045B">
        <w:rPr>
          <w:lang w:val="en-US"/>
        </w:rPr>
        <w:t xml:space="preserve">e-money </w:t>
      </w:r>
      <w:r w:rsidRPr="0038045B">
        <w:rPr>
          <w:lang w:val="en-US"/>
        </w:rPr>
        <w:t xml:space="preserve">institution.  If such funds are invested in </w:t>
      </w:r>
      <w:r w:rsidR="00A247BB" w:rsidRPr="0038045B">
        <w:rPr>
          <w:lang w:val="en-US"/>
        </w:rPr>
        <w:t>il</w:t>
      </w:r>
      <w:r w:rsidRPr="0038045B">
        <w:rPr>
          <w:lang w:val="en-US"/>
        </w:rPr>
        <w:t>liquid assets</w:t>
      </w:r>
      <w:r w:rsidR="00AF03B6" w:rsidRPr="0038045B">
        <w:rPr>
          <w:lang w:val="en-US"/>
        </w:rPr>
        <w:t xml:space="preserve"> (liquid asserts are defined in article 29 of Regulation N. 2 of 2013),</w:t>
      </w:r>
      <w:r w:rsidR="00C74310" w:rsidRPr="0038045B">
        <w:rPr>
          <w:rStyle w:val="FootnoteReference"/>
          <w:lang w:val="en-US"/>
        </w:rPr>
        <w:footnoteReference w:id="37"/>
      </w:r>
      <w:r w:rsidRPr="0038045B">
        <w:rPr>
          <w:lang w:val="en-US"/>
        </w:rPr>
        <w:t xml:space="preserve"> the e</w:t>
      </w:r>
      <w:r w:rsidR="001C5461" w:rsidRPr="0038045B">
        <w:rPr>
          <w:lang w:val="en-US"/>
        </w:rPr>
        <w:t>-</w:t>
      </w:r>
      <w:r w:rsidRPr="0038045B">
        <w:rPr>
          <w:lang w:val="en-US"/>
        </w:rPr>
        <w:t>mon</w:t>
      </w:r>
      <w:r w:rsidR="00AF03B6" w:rsidRPr="0038045B">
        <w:rPr>
          <w:lang w:val="en-US"/>
        </w:rPr>
        <w:t>ey institution shall insure the</w:t>
      </w:r>
      <w:r w:rsidRPr="0038045B">
        <w:rPr>
          <w:lang w:val="en-US"/>
        </w:rPr>
        <w:t xml:space="preserve"> funds by </w:t>
      </w:r>
      <w:r w:rsidR="00AD1026" w:rsidRPr="0038045B">
        <w:rPr>
          <w:lang w:val="en-US"/>
        </w:rPr>
        <w:t xml:space="preserve">means of </w:t>
      </w:r>
      <w:r w:rsidRPr="0038045B">
        <w:rPr>
          <w:lang w:val="en-US"/>
        </w:rPr>
        <w:t>insurance policies or other similar guarantees issued by insurance companies or banks</w:t>
      </w:r>
      <w:r w:rsidR="00AD1026" w:rsidRPr="0038045B">
        <w:rPr>
          <w:lang w:val="en-US"/>
        </w:rPr>
        <w:t xml:space="preserve"> that </w:t>
      </w:r>
      <w:r w:rsidRPr="0038045B">
        <w:rPr>
          <w:lang w:val="en-US"/>
        </w:rPr>
        <w:t>do not belong to the same banking/financial group as the e</w:t>
      </w:r>
      <w:r w:rsidR="00AD1026" w:rsidRPr="0038045B">
        <w:rPr>
          <w:lang w:val="en-US"/>
        </w:rPr>
        <w:t>-</w:t>
      </w:r>
      <w:r w:rsidRPr="0038045B">
        <w:rPr>
          <w:lang w:val="en-US"/>
        </w:rPr>
        <w:t>money institution</w:t>
      </w:r>
      <w:r w:rsidR="00B555FC" w:rsidRPr="0038045B">
        <w:rPr>
          <w:lang w:val="en-US"/>
        </w:rPr>
        <w:t xml:space="preserve"> (</w:t>
      </w:r>
      <w:r w:rsidR="00AF03B6" w:rsidRPr="0038045B">
        <w:rPr>
          <w:lang w:val="en-US"/>
        </w:rPr>
        <w:t xml:space="preserve">see </w:t>
      </w:r>
      <w:r w:rsidR="00B555FC" w:rsidRPr="0038045B">
        <w:rPr>
          <w:lang w:val="en-US"/>
        </w:rPr>
        <w:t>article 28)</w:t>
      </w:r>
      <w:r w:rsidRPr="0038045B">
        <w:rPr>
          <w:lang w:val="en-US"/>
        </w:rPr>
        <w:t xml:space="preserve">. </w:t>
      </w:r>
    </w:p>
    <w:p w14:paraId="0BC4B01A" w14:textId="77777777" w:rsidR="00A63A7D" w:rsidRPr="0038045B" w:rsidRDefault="00A63A7D" w:rsidP="00C71246">
      <w:pPr>
        <w:autoSpaceDE w:val="0"/>
        <w:autoSpaceDN w:val="0"/>
        <w:adjustRightInd w:val="0"/>
        <w:spacing w:before="360" w:after="120" w:line="276" w:lineRule="auto"/>
        <w:jc w:val="both"/>
        <w:rPr>
          <w:b/>
          <w:i/>
          <w:color w:val="000000"/>
        </w:rPr>
      </w:pPr>
      <w:r w:rsidRPr="0038045B">
        <w:rPr>
          <w:b/>
          <w:i/>
          <w:color w:val="000000"/>
        </w:rPr>
        <w:t>Observations and recommendations</w:t>
      </w:r>
    </w:p>
    <w:p w14:paraId="13A49669" w14:textId="77777777" w:rsidR="00FC2EEA" w:rsidRPr="0038045B" w:rsidRDefault="00FC2EEA" w:rsidP="00FC2EEA">
      <w:pPr>
        <w:pStyle w:val="Body"/>
        <w:numPr>
          <w:ilvl w:val="0"/>
          <w:numId w:val="15"/>
        </w:numPr>
        <w:spacing w:after="200" w:line="276" w:lineRule="auto"/>
        <w:ind w:left="0" w:firstLine="0"/>
        <w:rPr>
          <w:i/>
          <w:lang w:val="en-US"/>
        </w:rPr>
      </w:pPr>
      <w:r w:rsidRPr="0038045B">
        <w:rPr>
          <w:i/>
          <w:lang w:val="en-US"/>
        </w:rPr>
        <w:t xml:space="preserve">Protection of deposits and of e-money customer funds is adequately addressed under </w:t>
      </w:r>
      <w:r w:rsidR="00AF03B6" w:rsidRPr="0038045B">
        <w:rPr>
          <w:i/>
          <w:lang w:val="en-US"/>
        </w:rPr>
        <w:t xml:space="preserve">the </w:t>
      </w:r>
      <w:r w:rsidRPr="0038045B">
        <w:rPr>
          <w:i/>
          <w:lang w:val="en-US"/>
        </w:rPr>
        <w:t>Albanian leg</w:t>
      </w:r>
      <w:r w:rsidR="001C5461" w:rsidRPr="0038045B">
        <w:rPr>
          <w:i/>
          <w:lang w:val="en-US"/>
        </w:rPr>
        <w:t>al and regulatory framework</w:t>
      </w:r>
      <w:r w:rsidRPr="0038045B">
        <w:rPr>
          <w:i/>
          <w:lang w:val="en-US"/>
        </w:rPr>
        <w:t xml:space="preserve">. There is explicit deposit insurance, which </w:t>
      </w:r>
      <w:r w:rsidRPr="0038045B">
        <w:rPr>
          <w:i/>
          <w:lang w:val="en-US"/>
        </w:rPr>
        <w:lastRenderedPageBreak/>
        <w:t xml:space="preserve">covers </w:t>
      </w:r>
      <w:r w:rsidR="001C5461" w:rsidRPr="0038045B">
        <w:rPr>
          <w:i/>
          <w:lang w:val="en-US"/>
        </w:rPr>
        <w:t xml:space="preserve">deposits held in banks and now also </w:t>
      </w:r>
      <w:r w:rsidRPr="0038045B">
        <w:rPr>
          <w:i/>
          <w:lang w:val="en-US"/>
        </w:rPr>
        <w:t>SCAs. In addition, preventive measures are also in place to protect e-money customer funds.</w:t>
      </w:r>
    </w:p>
    <w:p w14:paraId="2C2B0021" w14:textId="77777777" w:rsidR="00A63A7D" w:rsidRPr="0038045B" w:rsidRDefault="00A63A7D" w:rsidP="00D742CA">
      <w:pPr>
        <w:pStyle w:val="Heading3"/>
        <w:spacing w:before="480" w:after="240"/>
        <w:rPr>
          <w:b w:val="0"/>
          <w:i/>
        </w:rPr>
      </w:pPr>
      <w:bookmarkStart w:id="70" w:name="_Toc476239714"/>
      <w:r w:rsidRPr="0038045B">
        <w:rPr>
          <w:b w:val="0"/>
          <w:i/>
        </w:rPr>
        <w:t>Financial customer protection</w:t>
      </w:r>
      <w:r w:rsidR="00424955" w:rsidRPr="0038045B">
        <w:rPr>
          <w:b w:val="0"/>
          <w:i/>
        </w:rPr>
        <w:t xml:space="preserve"> and transparency</w:t>
      </w:r>
      <w:bookmarkEnd w:id="70"/>
    </w:p>
    <w:p w14:paraId="08B0BE7E" w14:textId="77777777" w:rsidR="00A63A7D" w:rsidRPr="0038045B" w:rsidRDefault="00A63A7D" w:rsidP="00C80F30">
      <w:pPr>
        <w:pStyle w:val="Body"/>
        <w:numPr>
          <w:ilvl w:val="0"/>
          <w:numId w:val="15"/>
        </w:numPr>
        <w:spacing w:after="200" w:line="276" w:lineRule="auto"/>
        <w:ind w:left="0" w:firstLine="0"/>
        <w:rPr>
          <w:szCs w:val="24"/>
          <w:lang w:val="en-US"/>
        </w:rPr>
      </w:pPr>
      <w:r w:rsidRPr="0038045B">
        <w:rPr>
          <w:lang w:val="en-US"/>
        </w:rPr>
        <w:t>Transparency</w:t>
      </w:r>
      <w:r w:rsidRPr="0038045B">
        <w:rPr>
          <w:szCs w:val="24"/>
          <w:lang w:val="en-US"/>
        </w:rPr>
        <w:t xml:space="preserve"> and customer protection are particularly relevant to advance financial inclusion, as </w:t>
      </w:r>
      <w:r w:rsidR="00B90B2C" w:rsidRPr="0038045B">
        <w:rPr>
          <w:szCs w:val="24"/>
          <w:lang w:val="en-US"/>
        </w:rPr>
        <w:t xml:space="preserve">inclusion </w:t>
      </w:r>
      <w:r w:rsidRPr="0038045B">
        <w:rPr>
          <w:szCs w:val="24"/>
          <w:lang w:val="en-US"/>
        </w:rPr>
        <w:t xml:space="preserve">efforts naturally target first-time customers, who by definition lack experience and often have limited financial literacy. </w:t>
      </w:r>
      <w:r w:rsidRPr="0038045B">
        <w:rPr>
          <w:lang w:val="en-US"/>
        </w:rPr>
        <w:t>These</w:t>
      </w:r>
      <w:r w:rsidRPr="0038045B">
        <w:rPr>
          <w:szCs w:val="24"/>
          <w:lang w:val="en-US"/>
        </w:rPr>
        <w:t xml:space="preserve"> efforts often also involve the introduction of new products and services, new PSPs and/or new service delivery models.</w:t>
      </w:r>
    </w:p>
    <w:p w14:paraId="7F88ACB4" w14:textId="77777777" w:rsidR="001C5461" w:rsidRPr="0038045B" w:rsidRDefault="001C5461" w:rsidP="001C5461">
      <w:pPr>
        <w:pStyle w:val="Body"/>
        <w:spacing w:after="200" w:line="276" w:lineRule="auto"/>
        <w:ind w:firstLine="0"/>
        <w:rPr>
          <w:u w:val="single"/>
          <w:lang w:val="en-US"/>
        </w:rPr>
      </w:pPr>
      <w:r w:rsidRPr="0038045B">
        <w:rPr>
          <w:u w:val="single"/>
          <w:lang w:val="en-US"/>
        </w:rPr>
        <w:t>Situation in Albania</w:t>
      </w:r>
    </w:p>
    <w:p w14:paraId="395679CA" w14:textId="77777777" w:rsidR="00FC2EEA" w:rsidRPr="0038045B" w:rsidRDefault="00FC2EEA" w:rsidP="00FC2EEA">
      <w:pPr>
        <w:pStyle w:val="Body"/>
        <w:numPr>
          <w:ilvl w:val="0"/>
          <w:numId w:val="15"/>
        </w:numPr>
        <w:spacing w:after="200" w:line="276" w:lineRule="auto"/>
        <w:ind w:left="0" w:firstLine="0"/>
        <w:rPr>
          <w:szCs w:val="24"/>
          <w:lang w:val="en-US"/>
        </w:rPr>
      </w:pPr>
      <w:r w:rsidRPr="0038045B">
        <w:rPr>
          <w:szCs w:val="24"/>
          <w:lang w:val="en-US"/>
        </w:rPr>
        <w:t>The Consumer Protection Law No. 9902 of 2008, as amended, seeks to “protect the interest of the consumers in the market place and to define the rules and to set up the relevant institutions, in order to protect consumer rights” (article 1). However, th</w:t>
      </w:r>
      <w:r w:rsidR="001C5461" w:rsidRPr="0038045B">
        <w:rPr>
          <w:szCs w:val="24"/>
          <w:lang w:val="en-US"/>
        </w:rPr>
        <w:t xml:space="preserve">is Law </w:t>
      </w:r>
      <w:r w:rsidRPr="0038045B">
        <w:rPr>
          <w:szCs w:val="24"/>
          <w:lang w:val="en-US"/>
        </w:rPr>
        <w:t>does not specifically address services</w:t>
      </w:r>
      <w:r w:rsidR="001C5461" w:rsidRPr="0038045B">
        <w:rPr>
          <w:szCs w:val="24"/>
          <w:lang w:val="en-US"/>
        </w:rPr>
        <w:t xml:space="preserve"> provided by banks, nor does it contain specific provisions for financial services provided by non-banks, including payment services.</w:t>
      </w:r>
    </w:p>
    <w:p w14:paraId="458B12B9" w14:textId="77777777" w:rsidR="00FC2EEA" w:rsidRPr="0038045B" w:rsidRDefault="00F614B7" w:rsidP="005A5D20">
      <w:pPr>
        <w:pStyle w:val="Body"/>
        <w:numPr>
          <w:ilvl w:val="0"/>
          <w:numId w:val="15"/>
        </w:numPr>
        <w:spacing w:after="200" w:line="276" w:lineRule="auto"/>
        <w:ind w:left="0" w:firstLine="0"/>
        <w:rPr>
          <w:szCs w:val="24"/>
          <w:lang w:val="en-US"/>
        </w:rPr>
      </w:pPr>
      <w:r w:rsidRPr="0038045B">
        <w:rPr>
          <w:szCs w:val="24"/>
          <w:lang w:val="en-US"/>
        </w:rPr>
        <w:t>T</w:t>
      </w:r>
      <w:r w:rsidR="00FC2EEA" w:rsidRPr="0038045B">
        <w:rPr>
          <w:szCs w:val="24"/>
          <w:lang w:val="en-US"/>
        </w:rPr>
        <w:t xml:space="preserve">ransparency in the context of payment services is established </w:t>
      </w:r>
      <w:r w:rsidRPr="0038045B">
        <w:rPr>
          <w:szCs w:val="24"/>
          <w:lang w:val="en-US"/>
        </w:rPr>
        <w:t xml:space="preserve">through secondary legislation (i.e. regulations). </w:t>
      </w:r>
      <w:r w:rsidR="00FC2EEA" w:rsidRPr="0038045B">
        <w:rPr>
          <w:szCs w:val="24"/>
          <w:lang w:val="en-US"/>
        </w:rPr>
        <w:t>The regulatory regime applicable to banks’ and NBFIs’ relationships with their customers has been consolidated in the Regulation</w:t>
      </w:r>
      <w:r w:rsidRPr="0038045B">
        <w:rPr>
          <w:szCs w:val="24"/>
          <w:lang w:val="en-US"/>
        </w:rPr>
        <w:t xml:space="preserve"> No. 59 of 2008</w:t>
      </w:r>
      <w:r w:rsidR="00FC2EEA" w:rsidRPr="0038045B">
        <w:rPr>
          <w:szCs w:val="24"/>
          <w:lang w:val="en-US"/>
        </w:rPr>
        <w:t xml:space="preserve"> “On Transparency for Banking and Financial Products and Services” (</w:t>
      </w:r>
      <w:r w:rsidRPr="0038045B">
        <w:rPr>
          <w:szCs w:val="24"/>
          <w:lang w:val="en-US"/>
        </w:rPr>
        <w:t xml:space="preserve">hereinafter </w:t>
      </w:r>
      <w:r w:rsidR="00FC2EEA" w:rsidRPr="0038045B">
        <w:rPr>
          <w:szCs w:val="24"/>
          <w:lang w:val="en-US"/>
        </w:rPr>
        <w:t>the “Transparency Regulation”). Th</w:t>
      </w:r>
      <w:r w:rsidRPr="0038045B">
        <w:rPr>
          <w:szCs w:val="24"/>
          <w:lang w:val="en-US"/>
        </w:rPr>
        <w:t>is</w:t>
      </w:r>
      <w:r w:rsidR="00FC2EEA" w:rsidRPr="0038045B">
        <w:rPr>
          <w:szCs w:val="24"/>
          <w:lang w:val="en-US"/>
        </w:rPr>
        <w:t xml:space="preserve"> Regulation establishes the requirements on </w:t>
      </w:r>
      <w:r w:rsidR="00150312" w:rsidRPr="0038045B">
        <w:rPr>
          <w:szCs w:val="24"/>
          <w:lang w:val="en-US"/>
        </w:rPr>
        <w:t xml:space="preserve">the </w:t>
      </w:r>
      <w:r w:rsidR="00FC2EEA" w:rsidRPr="0038045B">
        <w:rPr>
          <w:szCs w:val="24"/>
          <w:lang w:val="en-US"/>
        </w:rPr>
        <w:t>manner, form</w:t>
      </w:r>
      <w:r w:rsidR="00025B60" w:rsidRPr="0038045B">
        <w:rPr>
          <w:szCs w:val="24"/>
          <w:lang w:val="en-US"/>
        </w:rPr>
        <w:t>,</w:t>
      </w:r>
      <w:r w:rsidR="00FC2EEA" w:rsidRPr="0038045B">
        <w:rPr>
          <w:szCs w:val="24"/>
          <w:lang w:val="en-US"/>
        </w:rPr>
        <w:t xml:space="preserve"> and process of providing information to the customer on banking and financial products and services. It applies to banks, branches of foreign banks and NBFIs</w:t>
      </w:r>
      <w:r w:rsidRPr="0038045B">
        <w:rPr>
          <w:szCs w:val="24"/>
          <w:lang w:val="en-US"/>
        </w:rPr>
        <w:t xml:space="preserve"> that</w:t>
      </w:r>
      <w:r w:rsidR="00FC2EEA" w:rsidRPr="0038045B">
        <w:rPr>
          <w:szCs w:val="24"/>
          <w:lang w:val="en-US"/>
        </w:rPr>
        <w:t xml:space="preserve"> conduct banking and financial activities. The requirements, inter alia, include: </w:t>
      </w:r>
      <w:r w:rsidR="00150312" w:rsidRPr="0038045B">
        <w:rPr>
          <w:szCs w:val="24"/>
          <w:lang w:val="en-US"/>
        </w:rPr>
        <w:t xml:space="preserve">(i) </w:t>
      </w:r>
      <w:r w:rsidR="00FC2EEA" w:rsidRPr="0038045B">
        <w:rPr>
          <w:szCs w:val="24"/>
          <w:lang w:val="en-US"/>
        </w:rPr>
        <w:t>clear disclosure of information on loans, deposits interest rates</w:t>
      </w:r>
      <w:r w:rsidR="00150312" w:rsidRPr="0038045B">
        <w:rPr>
          <w:szCs w:val="24"/>
          <w:lang w:val="en-US"/>
        </w:rPr>
        <w:t>,</w:t>
      </w:r>
      <w:r w:rsidR="00FC2EEA" w:rsidRPr="0038045B">
        <w:rPr>
          <w:szCs w:val="24"/>
          <w:lang w:val="en-US"/>
        </w:rPr>
        <w:t xml:space="preserve"> and bank commission rates in the bank premises; </w:t>
      </w:r>
      <w:r w:rsidR="00150312" w:rsidRPr="0038045B">
        <w:rPr>
          <w:szCs w:val="24"/>
          <w:lang w:val="en-US"/>
        </w:rPr>
        <w:t xml:space="preserve">(ii) </w:t>
      </w:r>
      <w:r w:rsidR="00FC2EEA" w:rsidRPr="0038045B">
        <w:rPr>
          <w:szCs w:val="24"/>
          <w:lang w:val="en-US"/>
        </w:rPr>
        <w:t>timely notification to the customer o</w:t>
      </w:r>
      <w:r w:rsidRPr="0038045B">
        <w:rPr>
          <w:szCs w:val="24"/>
          <w:lang w:val="en-US"/>
        </w:rPr>
        <w:t>f</w:t>
      </w:r>
      <w:r w:rsidR="00FC2EEA" w:rsidRPr="0038045B">
        <w:rPr>
          <w:szCs w:val="24"/>
          <w:lang w:val="en-US"/>
        </w:rPr>
        <w:t xml:space="preserve"> any changes in terms and conditions of the contract; </w:t>
      </w:r>
      <w:r w:rsidR="00150312" w:rsidRPr="0038045B">
        <w:rPr>
          <w:szCs w:val="24"/>
          <w:lang w:val="en-US"/>
        </w:rPr>
        <w:t xml:space="preserve">(iii) </w:t>
      </w:r>
      <w:r w:rsidR="00FC2EEA" w:rsidRPr="0038045B">
        <w:rPr>
          <w:szCs w:val="24"/>
          <w:lang w:val="en-US"/>
        </w:rPr>
        <w:t xml:space="preserve">appropriate information and notification to the customer on the applied terms of debit cards, credit cards, including the commission charged, especially in ATMs; </w:t>
      </w:r>
      <w:r w:rsidR="00150312" w:rsidRPr="0038045B">
        <w:rPr>
          <w:szCs w:val="24"/>
          <w:lang w:val="en-US"/>
        </w:rPr>
        <w:t xml:space="preserve">(iv) </w:t>
      </w:r>
      <w:r w:rsidR="00FC2EEA" w:rsidRPr="0038045B">
        <w:rPr>
          <w:szCs w:val="24"/>
          <w:lang w:val="en-US"/>
        </w:rPr>
        <w:t>clear explanation o</w:t>
      </w:r>
      <w:r w:rsidR="00150312" w:rsidRPr="0038045B">
        <w:rPr>
          <w:szCs w:val="24"/>
          <w:lang w:val="en-US"/>
        </w:rPr>
        <w:t>f the</w:t>
      </w:r>
      <w:r w:rsidR="00025B60" w:rsidRPr="0038045B">
        <w:rPr>
          <w:szCs w:val="24"/>
          <w:lang w:val="en-US"/>
        </w:rPr>
        <w:t xml:space="preserve"> risks that </w:t>
      </w:r>
      <w:r w:rsidR="000370A0" w:rsidRPr="0038045B">
        <w:rPr>
          <w:szCs w:val="24"/>
          <w:lang w:val="en-US"/>
        </w:rPr>
        <w:t>a</w:t>
      </w:r>
      <w:r w:rsidR="00025B60" w:rsidRPr="0038045B">
        <w:rPr>
          <w:szCs w:val="24"/>
          <w:lang w:val="en-US"/>
        </w:rPr>
        <w:t xml:space="preserve"> customer might</w:t>
      </w:r>
      <w:r w:rsidR="00FC2EEA" w:rsidRPr="0038045B">
        <w:rPr>
          <w:szCs w:val="24"/>
          <w:lang w:val="en-US"/>
        </w:rPr>
        <w:t xml:space="preserve"> </w:t>
      </w:r>
      <w:r w:rsidR="00025B60" w:rsidRPr="0038045B">
        <w:rPr>
          <w:szCs w:val="24"/>
          <w:lang w:val="en-US"/>
        </w:rPr>
        <w:t>incur</w:t>
      </w:r>
      <w:r w:rsidR="00150312" w:rsidRPr="0038045B">
        <w:rPr>
          <w:szCs w:val="24"/>
          <w:lang w:val="en-US"/>
        </w:rPr>
        <w:t xml:space="preserve"> </w:t>
      </w:r>
      <w:r w:rsidR="00FC2EEA" w:rsidRPr="0038045B">
        <w:rPr>
          <w:szCs w:val="24"/>
          <w:lang w:val="en-US"/>
        </w:rPr>
        <w:t xml:space="preserve">in using </w:t>
      </w:r>
      <w:r w:rsidR="000370A0" w:rsidRPr="0038045B">
        <w:rPr>
          <w:szCs w:val="24"/>
          <w:lang w:val="en-US"/>
        </w:rPr>
        <w:t>a</w:t>
      </w:r>
      <w:r w:rsidR="00FC2EEA" w:rsidRPr="0038045B">
        <w:rPr>
          <w:szCs w:val="24"/>
          <w:lang w:val="en-US"/>
        </w:rPr>
        <w:t xml:space="preserve"> payment instrument or service.</w:t>
      </w:r>
    </w:p>
    <w:p w14:paraId="035A22F8" w14:textId="77777777" w:rsidR="00FC2EEA" w:rsidRPr="0038045B" w:rsidRDefault="00FC2EEA" w:rsidP="00FC2EEA">
      <w:pPr>
        <w:pStyle w:val="Body"/>
        <w:numPr>
          <w:ilvl w:val="0"/>
          <w:numId w:val="15"/>
        </w:numPr>
        <w:spacing w:after="200" w:line="276" w:lineRule="auto"/>
        <w:ind w:left="0" w:firstLine="0"/>
        <w:rPr>
          <w:szCs w:val="24"/>
          <w:lang w:val="en-US"/>
        </w:rPr>
      </w:pPr>
      <w:r w:rsidRPr="0038045B">
        <w:rPr>
          <w:szCs w:val="24"/>
          <w:lang w:val="en-US"/>
        </w:rPr>
        <w:t xml:space="preserve">Additionally, </w:t>
      </w:r>
      <w:r w:rsidR="00F614B7" w:rsidRPr="0038045B">
        <w:rPr>
          <w:szCs w:val="24"/>
          <w:lang w:val="en-US"/>
        </w:rPr>
        <w:t xml:space="preserve">the Transparency Regulation requires </w:t>
      </w:r>
      <w:r w:rsidRPr="0038045B">
        <w:rPr>
          <w:szCs w:val="24"/>
          <w:lang w:val="en-US"/>
        </w:rPr>
        <w:t xml:space="preserve">PSPs </w:t>
      </w:r>
      <w:r w:rsidR="00F614B7" w:rsidRPr="0038045B">
        <w:rPr>
          <w:szCs w:val="24"/>
          <w:lang w:val="en-US"/>
        </w:rPr>
        <w:t>to</w:t>
      </w:r>
      <w:r w:rsidRPr="0038045B">
        <w:rPr>
          <w:szCs w:val="24"/>
          <w:lang w:val="en-US"/>
        </w:rPr>
        <w:t xml:space="preserve"> provide customers with all the necessary information regarding their procedures for dealing with customer complaints (article 12).  If a customer submits a written complaint, the Transparency Regulation requires </w:t>
      </w:r>
      <w:r w:rsidR="00150312" w:rsidRPr="0038045B">
        <w:rPr>
          <w:szCs w:val="24"/>
          <w:lang w:val="en-US"/>
        </w:rPr>
        <w:t xml:space="preserve">that </w:t>
      </w:r>
      <w:r w:rsidRPr="0038045B">
        <w:rPr>
          <w:szCs w:val="24"/>
          <w:lang w:val="en-US"/>
        </w:rPr>
        <w:t xml:space="preserve">the </w:t>
      </w:r>
      <w:r w:rsidR="00B555FC" w:rsidRPr="0038045B">
        <w:rPr>
          <w:szCs w:val="24"/>
          <w:lang w:val="en-US"/>
        </w:rPr>
        <w:t xml:space="preserve">PSP </w:t>
      </w:r>
      <w:r w:rsidRPr="0038045B">
        <w:rPr>
          <w:szCs w:val="24"/>
          <w:lang w:val="en-US"/>
        </w:rPr>
        <w:t xml:space="preserve">provide a timely response to the customer in writing. </w:t>
      </w:r>
      <w:r w:rsidR="00150312" w:rsidRPr="0038045B">
        <w:rPr>
          <w:szCs w:val="24"/>
          <w:lang w:val="en-US"/>
        </w:rPr>
        <w:t>In this context</w:t>
      </w:r>
      <w:r w:rsidR="00F614B7" w:rsidRPr="0038045B">
        <w:rPr>
          <w:szCs w:val="24"/>
          <w:lang w:val="en-US"/>
        </w:rPr>
        <w:t>, PSPs are required to draft procedures and internal regulations for addressing those complaints. Moreover, P</w:t>
      </w:r>
      <w:r w:rsidRPr="0038045B">
        <w:rPr>
          <w:szCs w:val="24"/>
          <w:lang w:val="en-US"/>
        </w:rPr>
        <w:t xml:space="preserve">SPs are required to maintain </w:t>
      </w:r>
      <w:r w:rsidR="00F614B7" w:rsidRPr="0038045B">
        <w:rPr>
          <w:szCs w:val="24"/>
          <w:lang w:val="en-US"/>
        </w:rPr>
        <w:t xml:space="preserve">in a special register </w:t>
      </w:r>
      <w:r w:rsidRPr="0038045B">
        <w:rPr>
          <w:szCs w:val="24"/>
          <w:lang w:val="en-US"/>
        </w:rPr>
        <w:t xml:space="preserve">the data </w:t>
      </w:r>
      <w:r w:rsidR="00F614B7" w:rsidRPr="0038045B">
        <w:rPr>
          <w:szCs w:val="24"/>
          <w:lang w:val="en-US"/>
        </w:rPr>
        <w:t xml:space="preserve">and other information related to </w:t>
      </w:r>
      <w:r w:rsidRPr="0038045B">
        <w:rPr>
          <w:szCs w:val="24"/>
          <w:lang w:val="en-US"/>
        </w:rPr>
        <w:t xml:space="preserve">all customers’ complaints, including the </w:t>
      </w:r>
      <w:r w:rsidR="00F614B7" w:rsidRPr="0038045B">
        <w:rPr>
          <w:szCs w:val="24"/>
          <w:lang w:val="en-US"/>
        </w:rPr>
        <w:t>entity’s r</w:t>
      </w:r>
      <w:r w:rsidRPr="0038045B">
        <w:rPr>
          <w:szCs w:val="24"/>
          <w:lang w:val="en-US"/>
        </w:rPr>
        <w:t>esponse, information about the solution of these complaints</w:t>
      </w:r>
      <w:r w:rsidR="00150312" w:rsidRPr="0038045B">
        <w:rPr>
          <w:szCs w:val="24"/>
          <w:lang w:val="en-US"/>
        </w:rPr>
        <w:t>,</w:t>
      </w:r>
      <w:r w:rsidRPr="0038045B">
        <w:rPr>
          <w:szCs w:val="24"/>
          <w:lang w:val="en-US"/>
        </w:rPr>
        <w:t xml:space="preserve"> and other necessary complementary data. </w:t>
      </w:r>
    </w:p>
    <w:p w14:paraId="33FC3CD1" w14:textId="77777777" w:rsidR="00F614B7" w:rsidRPr="0038045B" w:rsidRDefault="00025B60" w:rsidP="00F614B7">
      <w:pPr>
        <w:pStyle w:val="Body"/>
        <w:numPr>
          <w:ilvl w:val="0"/>
          <w:numId w:val="15"/>
        </w:numPr>
        <w:spacing w:after="200" w:line="276" w:lineRule="auto"/>
        <w:ind w:left="0" w:firstLine="0"/>
        <w:rPr>
          <w:lang w:val="en-US"/>
        </w:rPr>
      </w:pPr>
      <w:r w:rsidRPr="0038045B">
        <w:rPr>
          <w:szCs w:val="24"/>
          <w:lang w:val="en-US"/>
        </w:rPr>
        <w:t xml:space="preserve">Regulation No. 11 of </w:t>
      </w:r>
      <w:r w:rsidR="00F614B7" w:rsidRPr="0038045B">
        <w:rPr>
          <w:szCs w:val="24"/>
          <w:lang w:val="en-US"/>
        </w:rPr>
        <w:t xml:space="preserve">2008 “On electronic payment instruments” also includes </w:t>
      </w:r>
      <w:r w:rsidR="00F614B7" w:rsidRPr="0038045B">
        <w:rPr>
          <w:szCs w:val="24"/>
          <w:lang w:val="en-US"/>
        </w:rPr>
        <w:lastRenderedPageBreak/>
        <w:t xml:space="preserve">provisions on transparency standards toward consumers in relation to conditions, rules and procedures for electronic payments. </w:t>
      </w:r>
    </w:p>
    <w:p w14:paraId="6EB5E4A8" w14:textId="77777777" w:rsidR="00FC2EEA" w:rsidRPr="0038045B" w:rsidRDefault="00FC2EEA" w:rsidP="00FC2EEA">
      <w:pPr>
        <w:pStyle w:val="Body"/>
        <w:numPr>
          <w:ilvl w:val="0"/>
          <w:numId w:val="15"/>
        </w:numPr>
        <w:spacing w:after="200" w:line="276" w:lineRule="auto"/>
        <w:ind w:left="0" w:firstLine="0"/>
        <w:rPr>
          <w:szCs w:val="24"/>
          <w:lang w:val="en-US"/>
        </w:rPr>
      </w:pPr>
      <w:r w:rsidRPr="0038045B">
        <w:rPr>
          <w:szCs w:val="24"/>
          <w:lang w:val="en-US"/>
        </w:rPr>
        <w:t xml:space="preserve">The Consumer Protection Commission (CPC) is the responsible body for </w:t>
      </w:r>
      <w:r w:rsidR="00150312" w:rsidRPr="0038045B">
        <w:rPr>
          <w:szCs w:val="24"/>
          <w:lang w:val="en-US"/>
        </w:rPr>
        <w:t xml:space="preserve">enforcing </w:t>
      </w:r>
      <w:r w:rsidRPr="0038045B">
        <w:rPr>
          <w:szCs w:val="24"/>
          <w:lang w:val="en-US"/>
        </w:rPr>
        <w:t xml:space="preserve">consumer protection legislation. </w:t>
      </w:r>
      <w:r w:rsidR="00C71246" w:rsidRPr="0038045B">
        <w:rPr>
          <w:szCs w:val="24"/>
          <w:lang w:val="en-US"/>
        </w:rPr>
        <w:t>Established in 2009 in terms of Section 52 of</w:t>
      </w:r>
      <w:r w:rsidR="00025B60" w:rsidRPr="0038045B">
        <w:rPr>
          <w:szCs w:val="24"/>
          <w:lang w:val="en-US"/>
        </w:rPr>
        <w:t xml:space="preserve"> the Consumer Protection Act, the CPC</w:t>
      </w:r>
      <w:r w:rsidR="00C71246" w:rsidRPr="0038045B">
        <w:rPr>
          <w:szCs w:val="24"/>
          <w:lang w:val="en-US"/>
        </w:rPr>
        <w:t xml:space="preserve"> has the attributes and powers of a decision-making body, </w:t>
      </w:r>
      <w:r w:rsidR="00025B60" w:rsidRPr="0038045B">
        <w:rPr>
          <w:szCs w:val="24"/>
          <w:lang w:val="en-US"/>
        </w:rPr>
        <w:t xml:space="preserve">in particular it handles </w:t>
      </w:r>
      <w:r w:rsidR="00C71246" w:rsidRPr="0038045B">
        <w:rPr>
          <w:szCs w:val="24"/>
          <w:lang w:val="en-US"/>
        </w:rPr>
        <w:t>cu</w:t>
      </w:r>
      <w:r w:rsidR="00025B60" w:rsidRPr="0038045B">
        <w:rPr>
          <w:szCs w:val="24"/>
          <w:lang w:val="en-US"/>
        </w:rPr>
        <w:t>stomer complaints and develops</w:t>
      </w:r>
      <w:r w:rsidR="00C71246" w:rsidRPr="0038045B">
        <w:rPr>
          <w:szCs w:val="24"/>
          <w:lang w:val="en-US"/>
        </w:rPr>
        <w:t xml:space="preserve"> alternative schemes for dispute resolutions. When it comes to banking and financial products and services, t</w:t>
      </w:r>
      <w:r w:rsidRPr="0038045B">
        <w:rPr>
          <w:szCs w:val="24"/>
          <w:lang w:val="en-US"/>
        </w:rPr>
        <w:t>he CPC’s powers</w:t>
      </w:r>
      <w:r w:rsidR="00C71246" w:rsidRPr="0038045B">
        <w:rPr>
          <w:szCs w:val="24"/>
          <w:lang w:val="en-US"/>
        </w:rPr>
        <w:t xml:space="preserve"> are </w:t>
      </w:r>
      <w:r w:rsidRPr="0038045B">
        <w:rPr>
          <w:szCs w:val="24"/>
          <w:lang w:val="en-US"/>
        </w:rPr>
        <w:t>however</w:t>
      </w:r>
      <w:r w:rsidR="00C71246" w:rsidRPr="0038045B">
        <w:rPr>
          <w:szCs w:val="24"/>
          <w:lang w:val="en-US"/>
        </w:rPr>
        <w:t xml:space="preserve"> </w:t>
      </w:r>
      <w:r w:rsidRPr="0038045B">
        <w:rPr>
          <w:szCs w:val="24"/>
          <w:lang w:val="en-US"/>
        </w:rPr>
        <w:t xml:space="preserve">limited to adjudicating matters related to consumer credit and loans.   </w:t>
      </w:r>
    </w:p>
    <w:p w14:paraId="5311ECDA" w14:textId="77777777" w:rsidR="00A63A7D" w:rsidRPr="0038045B" w:rsidRDefault="00A63A7D" w:rsidP="00C71246">
      <w:pPr>
        <w:autoSpaceDE w:val="0"/>
        <w:autoSpaceDN w:val="0"/>
        <w:adjustRightInd w:val="0"/>
        <w:spacing w:before="360" w:after="120" w:line="276" w:lineRule="auto"/>
        <w:jc w:val="both"/>
        <w:rPr>
          <w:b/>
          <w:i/>
          <w:color w:val="000000"/>
        </w:rPr>
      </w:pPr>
      <w:r w:rsidRPr="0038045B">
        <w:rPr>
          <w:b/>
          <w:i/>
          <w:color w:val="000000"/>
        </w:rPr>
        <w:t>Observations and recommendations</w:t>
      </w:r>
    </w:p>
    <w:p w14:paraId="71B84FB8" w14:textId="77777777" w:rsidR="00C71246" w:rsidRPr="0038045B" w:rsidRDefault="00BD50EC" w:rsidP="002301A8">
      <w:pPr>
        <w:pStyle w:val="Body"/>
        <w:numPr>
          <w:ilvl w:val="0"/>
          <w:numId w:val="15"/>
        </w:numPr>
        <w:tabs>
          <w:tab w:val="left" w:pos="270"/>
        </w:tabs>
        <w:spacing w:after="200" w:line="276" w:lineRule="auto"/>
        <w:ind w:left="0" w:firstLine="0"/>
        <w:rPr>
          <w:i/>
          <w:color w:val="000000"/>
          <w:lang w:val="en-US"/>
        </w:rPr>
      </w:pPr>
      <w:r w:rsidRPr="0038045B">
        <w:rPr>
          <w:i/>
          <w:color w:val="000000"/>
          <w:lang w:val="en-US"/>
        </w:rPr>
        <w:t xml:space="preserve">It is recommended that authorities further articulate the consumer protection framework, including creating an office/Authority with significant powers and responsibility to monitor and enforce protection of users of payment services. </w:t>
      </w:r>
      <w:r w:rsidR="00FC2EEA" w:rsidRPr="0038045B">
        <w:rPr>
          <w:i/>
          <w:color w:val="000000"/>
          <w:lang w:val="en-US"/>
        </w:rPr>
        <w:t>A fully-fledged consumer protection reg</w:t>
      </w:r>
      <w:r w:rsidR="00C71246" w:rsidRPr="0038045B">
        <w:rPr>
          <w:i/>
          <w:color w:val="000000"/>
          <w:lang w:val="en-US"/>
        </w:rPr>
        <w:t xml:space="preserve">ime </w:t>
      </w:r>
      <w:r w:rsidR="00FC2EEA" w:rsidRPr="0038045B">
        <w:rPr>
          <w:i/>
          <w:color w:val="000000"/>
          <w:lang w:val="en-US"/>
        </w:rPr>
        <w:t xml:space="preserve">for payment services </w:t>
      </w:r>
      <w:r w:rsidR="00C71246" w:rsidRPr="0038045B">
        <w:rPr>
          <w:i/>
          <w:color w:val="000000"/>
          <w:lang w:val="en-US"/>
        </w:rPr>
        <w:t xml:space="preserve">(and other banking and financial services) </w:t>
      </w:r>
      <w:r w:rsidR="00FC2EEA" w:rsidRPr="0038045B">
        <w:rPr>
          <w:i/>
          <w:color w:val="000000"/>
          <w:lang w:val="en-US"/>
        </w:rPr>
        <w:t>is currently missing in the country.</w:t>
      </w:r>
      <w:r w:rsidR="00C71246" w:rsidRPr="0038045B">
        <w:rPr>
          <w:i/>
          <w:color w:val="000000"/>
          <w:lang w:val="en-US"/>
        </w:rPr>
        <w:t xml:space="preserve"> Some aspects, like transparency of terms and conditions are currently only </w:t>
      </w:r>
      <w:r w:rsidRPr="0038045B">
        <w:rPr>
          <w:i/>
          <w:color w:val="000000"/>
          <w:lang w:val="en-US"/>
        </w:rPr>
        <w:t>addressed</w:t>
      </w:r>
      <w:r w:rsidR="00C71246" w:rsidRPr="0038045B">
        <w:rPr>
          <w:i/>
          <w:color w:val="000000"/>
          <w:lang w:val="en-US"/>
        </w:rPr>
        <w:t xml:space="preserve"> through regulations. </w:t>
      </w:r>
      <w:r w:rsidR="002301A8" w:rsidRPr="0038045B">
        <w:rPr>
          <w:i/>
          <w:color w:val="000000"/>
          <w:lang w:val="en-US"/>
        </w:rPr>
        <w:t xml:space="preserve">It is expected that in the context of the transposition of PSD2 (Directive (EU) 2015/2366) transparency and consumer protection will be addressed from a payments angle. </w:t>
      </w:r>
      <w:r w:rsidRPr="0038045B">
        <w:rPr>
          <w:i/>
          <w:color w:val="000000"/>
          <w:lang w:val="en-US"/>
        </w:rPr>
        <w:t>Currently</w:t>
      </w:r>
      <w:r w:rsidR="003F6AC1" w:rsidRPr="0038045B">
        <w:rPr>
          <w:i/>
          <w:color w:val="000000"/>
          <w:lang w:val="en-US"/>
        </w:rPr>
        <w:t xml:space="preserve">, there is no Authority responsible for enforcing consumer protection provisions when it comes to payment services. </w:t>
      </w:r>
    </w:p>
    <w:p w14:paraId="46D72E98" w14:textId="77777777" w:rsidR="00FC2EEA" w:rsidRPr="0038045B" w:rsidRDefault="00C71246" w:rsidP="00C71246">
      <w:pPr>
        <w:pStyle w:val="Body"/>
        <w:numPr>
          <w:ilvl w:val="0"/>
          <w:numId w:val="15"/>
        </w:numPr>
        <w:tabs>
          <w:tab w:val="left" w:pos="270"/>
        </w:tabs>
        <w:spacing w:after="200" w:line="276" w:lineRule="auto"/>
        <w:ind w:left="0" w:firstLine="0"/>
        <w:rPr>
          <w:i/>
          <w:color w:val="000000"/>
          <w:lang w:val="en-US"/>
        </w:rPr>
      </w:pPr>
      <w:r w:rsidRPr="0038045B">
        <w:rPr>
          <w:i/>
          <w:color w:val="000000"/>
          <w:lang w:val="en-US"/>
        </w:rPr>
        <w:t>Among the key topics</w:t>
      </w:r>
      <w:r w:rsidR="003F5111" w:rsidRPr="0038045B">
        <w:rPr>
          <w:i/>
          <w:color w:val="000000"/>
          <w:lang w:val="en-US"/>
        </w:rPr>
        <w:t xml:space="preserve"> to be developed</w:t>
      </w:r>
      <w:r w:rsidRPr="0038045B">
        <w:rPr>
          <w:i/>
          <w:color w:val="000000"/>
          <w:lang w:val="en-US"/>
        </w:rPr>
        <w:t>, t</w:t>
      </w:r>
      <w:r w:rsidR="00FC2EEA" w:rsidRPr="0038045B">
        <w:rPr>
          <w:i/>
          <w:color w:val="000000"/>
          <w:lang w:val="en-US"/>
        </w:rPr>
        <w:t xml:space="preserve">he framework should require PSPs to implement a transparent, user-friendly and effective recourse and dispute resolution mechanism to address consumer claims and complaints, which </w:t>
      </w:r>
      <w:r w:rsidR="00B90B2C" w:rsidRPr="0038045B">
        <w:rPr>
          <w:i/>
          <w:color w:val="000000"/>
          <w:lang w:val="en-US"/>
        </w:rPr>
        <w:t xml:space="preserve">should </w:t>
      </w:r>
      <w:r w:rsidR="00FC2EEA" w:rsidRPr="0038045B">
        <w:rPr>
          <w:i/>
          <w:color w:val="000000"/>
          <w:lang w:val="en-US"/>
        </w:rPr>
        <w:t xml:space="preserve">include clear, publicly available and easily applicable procedures in cases of fraud and disputes. </w:t>
      </w:r>
      <w:r w:rsidR="00BD50EC" w:rsidRPr="0038045B">
        <w:rPr>
          <w:i/>
          <w:color w:val="000000"/>
          <w:lang w:val="en-US"/>
        </w:rPr>
        <w:t>R</w:t>
      </w:r>
      <w:r w:rsidR="00FC2EEA" w:rsidRPr="0038045B">
        <w:rPr>
          <w:i/>
          <w:color w:val="000000"/>
          <w:lang w:val="en-US"/>
        </w:rPr>
        <w:t>emittances</w:t>
      </w:r>
      <w:r w:rsidR="00BD50EC" w:rsidRPr="0038045B">
        <w:rPr>
          <w:i/>
          <w:color w:val="000000"/>
          <w:lang w:val="en-US"/>
        </w:rPr>
        <w:t xml:space="preserve"> in particular deserve special attention</w:t>
      </w:r>
      <w:r w:rsidR="00FC2EEA" w:rsidRPr="0038045B">
        <w:rPr>
          <w:i/>
          <w:color w:val="000000"/>
          <w:lang w:val="en-US"/>
        </w:rPr>
        <w:t xml:space="preserve">: </w:t>
      </w:r>
      <w:r w:rsidR="00B90B2C" w:rsidRPr="0038045B">
        <w:rPr>
          <w:i/>
          <w:color w:val="000000"/>
          <w:lang w:val="en-US"/>
        </w:rPr>
        <w:t xml:space="preserve">for example, </w:t>
      </w:r>
      <w:r w:rsidR="00FC2EEA" w:rsidRPr="0038045B">
        <w:rPr>
          <w:i/>
          <w:color w:val="000000"/>
          <w:lang w:val="en-US"/>
        </w:rPr>
        <w:t>fraud and dispute resolution proced</w:t>
      </w:r>
      <w:r w:rsidR="00BD50EC" w:rsidRPr="0038045B">
        <w:rPr>
          <w:i/>
          <w:color w:val="000000"/>
          <w:lang w:val="en-US"/>
        </w:rPr>
        <w:t xml:space="preserve">ures should recognize that </w:t>
      </w:r>
      <w:r w:rsidR="00FC2EEA" w:rsidRPr="0038045B">
        <w:rPr>
          <w:i/>
          <w:color w:val="000000"/>
          <w:lang w:val="en-US"/>
        </w:rPr>
        <w:t xml:space="preserve">remittance senders and receivers may face particular difficulties in enforcing their rights through the general legal system. These protections should apply to all consumers, regardless of the type of PSP offering the service. </w:t>
      </w:r>
    </w:p>
    <w:p w14:paraId="482354A9" w14:textId="77777777" w:rsidR="00A63A7D" w:rsidRPr="0038045B" w:rsidRDefault="00A63A7D" w:rsidP="00D742CA">
      <w:pPr>
        <w:pStyle w:val="Heading3"/>
        <w:spacing w:before="480" w:after="240"/>
        <w:rPr>
          <w:b w:val="0"/>
          <w:i/>
        </w:rPr>
      </w:pPr>
      <w:bookmarkStart w:id="71" w:name="_Toc476239715"/>
      <w:r w:rsidRPr="0038045B">
        <w:rPr>
          <w:b w:val="0"/>
          <w:i/>
        </w:rPr>
        <w:t>Financial integrity</w:t>
      </w:r>
      <w:bookmarkEnd w:id="71"/>
    </w:p>
    <w:p w14:paraId="0E73B043" w14:textId="77777777" w:rsidR="00A63A7D" w:rsidRPr="0038045B" w:rsidRDefault="00A63A7D" w:rsidP="00C80F30">
      <w:pPr>
        <w:pStyle w:val="Body"/>
        <w:numPr>
          <w:ilvl w:val="0"/>
          <w:numId w:val="15"/>
        </w:numPr>
        <w:spacing w:after="200" w:line="276" w:lineRule="auto"/>
        <w:ind w:left="0" w:firstLine="0"/>
        <w:rPr>
          <w:lang w:val="en-US"/>
        </w:rPr>
      </w:pPr>
      <w:r w:rsidRPr="0038045B">
        <w:rPr>
          <w:szCs w:val="24"/>
          <w:lang w:val="en-US"/>
        </w:rPr>
        <w:t>Financial</w:t>
      </w:r>
      <w:r w:rsidRPr="0038045B">
        <w:rPr>
          <w:lang w:val="en-US"/>
        </w:rPr>
        <w:t xml:space="preserve"> integrity concerns continue to pose challenges to enhancing financial inclusion. National authorities struggle to achieve an appropriate balance in the regulatory regime to protect the financial system from money laundering and </w:t>
      </w:r>
      <w:r w:rsidRPr="0038045B">
        <w:rPr>
          <w:i/>
          <w:szCs w:val="24"/>
          <w:lang w:val="en-US"/>
        </w:rPr>
        <w:t>terrorist</w:t>
      </w:r>
      <w:r w:rsidRPr="0038045B">
        <w:rPr>
          <w:lang w:val="en-US"/>
        </w:rPr>
        <w:t xml:space="preserve"> financing risks, on one hand; and, on the other hand, to build in sufficient flexibility to address customer identification issues in a less cumbersome way, enable the entry of non-banks, and allow the use of innovative payment instruments and services.</w:t>
      </w:r>
    </w:p>
    <w:p w14:paraId="073DBE27" w14:textId="77777777" w:rsidR="007B2861" w:rsidRPr="0038045B" w:rsidRDefault="007B2861" w:rsidP="007B2861">
      <w:pPr>
        <w:pStyle w:val="Body"/>
        <w:spacing w:after="200" w:line="276" w:lineRule="auto"/>
        <w:ind w:firstLine="0"/>
        <w:rPr>
          <w:u w:val="single"/>
          <w:lang w:val="en-US"/>
        </w:rPr>
      </w:pPr>
      <w:r w:rsidRPr="0038045B">
        <w:rPr>
          <w:u w:val="single"/>
          <w:lang w:val="en-US"/>
        </w:rPr>
        <w:t>Situation in Albania</w:t>
      </w:r>
    </w:p>
    <w:p w14:paraId="66B4A067" w14:textId="77777777" w:rsidR="00FC2EEA" w:rsidRPr="0038045B" w:rsidRDefault="00FC2EEA" w:rsidP="00FC2EEA">
      <w:pPr>
        <w:pStyle w:val="Body"/>
        <w:numPr>
          <w:ilvl w:val="0"/>
          <w:numId w:val="15"/>
        </w:numPr>
        <w:spacing w:after="200" w:line="276" w:lineRule="auto"/>
        <w:ind w:left="0" w:firstLine="0"/>
        <w:rPr>
          <w:lang w:val="en-US"/>
        </w:rPr>
      </w:pPr>
      <w:r w:rsidRPr="0038045B">
        <w:rPr>
          <w:lang w:val="en-US"/>
        </w:rPr>
        <w:lastRenderedPageBreak/>
        <w:t xml:space="preserve">The </w:t>
      </w:r>
      <w:r w:rsidR="00BD50EC" w:rsidRPr="0038045B">
        <w:rPr>
          <w:lang w:val="en-US"/>
        </w:rPr>
        <w:t xml:space="preserve">anti-money laundering legal / regulatory framework is comprised of </w:t>
      </w:r>
      <w:r w:rsidRPr="0038045B">
        <w:rPr>
          <w:lang w:val="en-US"/>
        </w:rPr>
        <w:t>Law No. 9917 of 2008 on the Prevention of Money Laundering and Financing of Terrorism (</w:t>
      </w:r>
      <w:r w:rsidR="007B2861" w:rsidRPr="0038045B">
        <w:rPr>
          <w:lang w:val="en-US"/>
        </w:rPr>
        <w:t xml:space="preserve">hereinafter </w:t>
      </w:r>
      <w:r w:rsidRPr="0038045B">
        <w:rPr>
          <w:lang w:val="en-US"/>
        </w:rPr>
        <w:t xml:space="preserve">the </w:t>
      </w:r>
      <w:r w:rsidR="007B2861" w:rsidRPr="0038045B">
        <w:rPr>
          <w:lang w:val="en-US"/>
        </w:rPr>
        <w:t>“</w:t>
      </w:r>
      <w:r w:rsidRPr="0038045B">
        <w:rPr>
          <w:lang w:val="en-US"/>
        </w:rPr>
        <w:t>AML</w:t>
      </w:r>
      <w:r w:rsidR="007B2861" w:rsidRPr="0038045B">
        <w:rPr>
          <w:lang w:val="en-US"/>
        </w:rPr>
        <w:t>/CFT</w:t>
      </w:r>
      <w:r w:rsidRPr="0038045B">
        <w:rPr>
          <w:lang w:val="en-US"/>
        </w:rPr>
        <w:t xml:space="preserve"> law</w:t>
      </w:r>
      <w:r w:rsidR="007B2861" w:rsidRPr="0038045B">
        <w:rPr>
          <w:lang w:val="en-US"/>
        </w:rPr>
        <w:t>”</w:t>
      </w:r>
      <w:r w:rsidRPr="0038045B">
        <w:rPr>
          <w:lang w:val="en-US"/>
        </w:rPr>
        <w:t>), as amended, and</w:t>
      </w:r>
      <w:r w:rsidR="007F079D" w:rsidRPr="0038045B">
        <w:rPr>
          <w:lang w:val="en-US"/>
        </w:rPr>
        <w:t xml:space="preserve"> its implementing regulations. </w:t>
      </w:r>
      <w:r w:rsidRPr="0038045B">
        <w:rPr>
          <w:lang w:val="en-US"/>
        </w:rPr>
        <w:t xml:space="preserve">Banks, NBFIs, savings and credit companies, </w:t>
      </w:r>
      <w:r w:rsidR="00EF7EB3" w:rsidRPr="0038045B">
        <w:rPr>
          <w:lang w:val="en-US"/>
        </w:rPr>
        <w:t>Albania Post</w:t>
      </w:r>
      <w:r w:rsidRPr="0038045B">
        <w:rPr>
          <w:lang w:val="en-US"/>
        </w:rPr>
        <w:t>, and any other entity licensed and supervised by the BoA</w:t>
      </w:r>
      <w:r w:rsidR="00BD50EC" w:rsidRPr="0038045B">
        <w:rPr>
          <w:lang w:val="en-US"/>
        </w:rPr>
        <w:t xml:space="preserve"> to undertake financial activi</w:t>
      </w:r>
      <w:r w:rsidR="009E2A44" w:rsidRPr="0038045B">
        <w:rPr>
          <w:lang w:val="en-US"/>
        </w:rPr>
        <w:t>t</w:t>
      </w:r>
      <w:r w:rsidR="00BD50EC" w:rsidRPr="0038045B">
        <w:rPr>
          <w:lang w:val="en-US"/>
        </w:rPr>
        <w:t>y</w:t>
      </w:r>
      <w:r w:rsidRPr="0038045B">
        <w:rPr>
          <w:lang w:val="en-US"/>
        </w:rPr>
        <w:t>, are subject to the requirements of th</w:t>
      </w:r>
      <w:r w:rsidR="007B2861" w:rsidRPr="0038045B">
        <w:rPr>
          <w:lang w:val="en-US"/>
        </w:rPr>
        <w:t>is</w:t>
      </w:r>
      <w:r w:rsidR="007F079D" w:rsidRPr="0038045B">
        <w:rPr>
          <w:lang w:val="en-US"/>
        </w:rPr>
        <w:t xml:space="preserve"> Law. </w:t>
      </w:r>
      <w:r w:rsidRPr="0038045B">
        <w:rPr>
          <w:lang w:val="en-US"/>
        </w:rPr>
        <w:t xml:space="preserve">Such entities must duly identify and verify the identity of their customers, and compile internal procedures for the identification, registration, monitoring and reporting of customers’ transactions, in compliance with the requirements related to the “Know Your Customer” procedure established in the Law. Customer due diligence </w:t>
      </w:r>
      <w:r w:rsidR="007B2861" w:rsidRPr="0038045B">
        <w:rPr>
          <w:lang w:val="en-US"/>
        </w:rPr>
        <w:t xml:space="preserve">(CDD) </w:t>
      </w:r>
      <w:r w:rsidRPr="0038045B">
        <w:rPr>
          <w:lang w:val="en-US"/>
        </w:rPr>
        <w:t>is required before opening an account</w:t>
      </w:r>
      <w:r w:rsidR="00BD50EC" w:rsidRPr="0038045B">
        <w:rPr>
          <w:lang w:val="en-US"/>
        </w:rPr>
        <w:t>,</w:t>
      </w:r>
      <w:r w:rsidRPr="0038045B">
        <w:rPr>
          <w:lang w:val="en-US"/>
        </w:rPr>
        <w:t xml:space="preserve"> and when</w:t>
      </w:r>
      <w:r w:rsidR="00BD50EC" w:rsidRPr="0038045B">
        <w:rPr>
          <w:lang w:val="en-US"/>
        </w:rPr>
        <w:t>ever</w:t>
      </w:r>
      <w:r w:rsidRPr="0038045B">
        <w:rPr>
          <w:lang w:val="en-US"/>
        </w:rPr>
        <w:t xml:space="preserve"> </w:t>
      </w:r>
      <w:r w:rsidR="007B2861" w:rsidRPr="0038045B">
        <w:rPr>
          <w:lang w:val="en-US"/>
        </w:rPr>
        <w:t xml:space="preserve">a funds </w:t>
      </w:r>
      <w:r w:rsidRPr="0038045B">
        <w:rPr>
          <w:lang w:val="en-US"/>
        </w:rPr>
        <w:t xml:space="preserve">transfer is </w:t>
      </w:r>
      <w:r w:rsidR="00BD50EC" w:rsidRPr="0038045B">
        <w:rPr>
          <w:lang w:val="en-US"/>
        </w:rPr>
        <w:t xml:space="preserve">initiated that is </w:t>
      </w:r>
      <w:r w:rsidRPr="0038045B">
        <w:rPr>
          <w:lang w:val="en-US"/>
        </w:rPr>
        <w:t xml:space="preserve">above a </w:t>
      </w:r>
      <w:r w:rsidR="00BD50EC" w:rsidRPr="0038045B">
        <w:rPr>
          <w:lang w:val="en-US"/>
        </w:rPr>
        <w:t>pre-</w:t>
      </w:r>
      <w:r w:rsidRPr="0038045B">
        <w:rPr>
          <w:lang w:val="en-US"/>
        </w:rPr>
        <w:t>determined threshold</w:t>
      </w:r>
      <w:r w:rsidR="00BD50EC" w:rsidRPr="0038045B">
        <w:rPr>
          <w:lang w:val="en-US"/>
        </w:rPr>
        <w:t>,</w:t>
      </w:r>
      <w:r w:rsidRPr="0038045B">
        <w:rPr>
          <w:lang w:val="en-US"/>
        </w:rPr>
        <w:t xml:space="preserve"> or in other cases </w:t>
      </w:r>
      <w:r w:rsidR="00BD50EC" w:rsidRPr="0038045B">
        <w:rPr>
          <w:lang w:val="en-US"/>
        </w:rPr>
        <w:t>involving additional</w:t>
      </w:r>
      <w:r w:rsidRPr="0038045B">
        <w:rPr>
          <w:lang w:val="en-US"/>
        </w:rPr>
        <w:t xml:space="preserve"> risks (article 4</w:t>
      </w:r>
      <w:r w:rsidR="009A79B7" w:rsidRPr="0038045B">
        <w:rPr>
          <w:lang w:val="en-US"/>
        </w:rPr>
        <w:t xml:space="preserve"> of the AML/CFT law</w:t>
      </w:r>
      <w:r w:rsidRPr="0038045B">
        <w:rPr>
          <w:lang w:val="en-US"/>
        </w:rPr>
        <w:t xml:space="preserve">). Customer identification can be verified “through documents, data or information received from reliable and independent sources” (article 4/1). </w:t>
      </w:r>
    </w:p>
    <w:p w14:paraId="3A7A7F23" w14:textId="77777777" w:rsidR="00FC2EEA" w:rsidRPr="0038045B" w:rsidRDefault="00FC2EEA" w:rsidP="00FC2EEA">
      <w:pPr>
        <w:pStyle w:val="Body"/>
        <w:numPr>
          <w:ilvl w:val="0"/>
          <w:numId w:val="15"/>
        </w:numPr>
        <w:spacing w:after="200" w:line="276" w:lineRule="auto"/>
        <w:ind w:left="0" w:firstLine="0"/>
        <w:rPr>
          <w:lang w:val="en-US"/>
        </w:rPr>
      </w:pPr>
      <w:r w:rsidRPr="0038045B">
        <w:rPr>
          <w:lang w:val="en-US"/>
        </w:rPr>
        <w:t>Pursuant to the amendments in 2011 and 2012 of the AML/CFT</w:t>
      </w:r>
      <w:r w:rsidR="009A79B7" w:rsidRPr="0038045B">
        <w:rPr>
          <w:lang w:val="en-US"/>
        </w:rPr>
        <w:t xml:space="preserve"> l</w:t>
      </w:r>
      <w:r w:rsidRPr="0038045B">
        <w:rPr>
          <w:lang w:val="en-US"/>
        </w:rPr>
        <w:t>aw, a comprehensive legal framework has been established wi</w:t>
      </w:r>
      <w:r w:rsidR="009A79B7" w:rsidRPr="0038045B">
        <w:rPr>
          <w:lang w:val="en-US"/>
        </w:rPr>
        <w:t xml:space="preserve">th regard to CDD measures, using </w:t>
      </w:r>
      <w:r w:rsidRPr="0038045B">
        <w:rPr>
          <w:lang w:val="en-US"/>
        </w:rPr>
        <w:t>a risk-based approach</w:t>
      </w:r>
      <w:r w:rsidR="009A79B7" w:rsidRPr="0038045B">
        <w:rPr>
          <w:lang w:val="en-US"/>
        </w:rPr>
        <w:t xml:space="preserve"> (see paragraph </w:t>
      </w:r>
      <w:r w:rsidR="00722157" w:rsidRPr="0038045B">
        <w:rPr>
          <w:lang w:val="en-US"/>
        </w:rPr>
        <w:t>94</w:t>
      </w:r>
      <w:r w:rsidR="009A79B7" w:rsidRPr="0038045B">
        <w:rPr>
          <w:lang w:val="en-US"/>
        </w:rPr>
        <w:t>)</w:t>
      </w:r>
      <w:r w:rsidRPr="0038045B">
        <w:rPr>
          <w:lang w:val="en-US"/>
        </w:rPr>
        <w:t xml:space="preserve">. Supervised entities shall implement policies and measures </w:t>
      </w:r>
      <w:r w:rsidR="007B2861" w:rsidRPr="0038045B">
        <w:rPr>
          <w:lang w:val="en-US"/>
        </w:rPr>
        <w:t>to</w:t>
      </w:r>
      <w:r w:rsidRPr="0038045B">
        <w:rPr>
          <w:lang w:val="en-US"/>
        </w:rPr>
        <w:t xml:space="preserve"> identify and assess AML risks arising from the development of new products, business practices and delivery channels and the use of new technologies (article 6).  Enhanced due diligence</w:t>
      </w:r>
      <w:r w:rsidR="009A79B7" w:rsidRPr="0038045B">
        <w:rPr>
          <w:lang w:val="en-US"/>
        </w:rPr>
        <w:t xml:space="preserve"> is required for high risk</w:t>
      </w:r>
      <w:r w:rsidRPr="0038045B">
        <w:rPr>
          <w:lang w:val="en-US"/>
        </w:rPr>
        <w:t xml:space="preserve"> customers and transactions</w:t>
      </w:r>
      <w:r w:rsidR="009A79B7" w:rsidRPr="0038045B">
        <w:rPr>
          <w:lang w:val="en-US"/>
        </w:rPr>
        <w:t xml:space="preserve"> </w:t>
      </w:r>
      <w:r w:rsidR="00722157" w:rsidRPr="0038045B">
        <w:rPr>
          <w:lang w:val="en-US"/>
        </w:rPr>
        <w:t>(see paragraph 95</w:t>
      </w:r>
      <w:r w:rsidR="009A79B7" w:rsidRPr="0038045B">
        <w:rPr>
          <w:lang w:val="en-US"/>
        </w:rPr>
        <w:t>)</w:t>
      </w:r>
      <w:r w:rsidRPr="0038045B">
        <w:rPr>
          <w:lang w:val="en-US"/>
        </w:rPr>
        <w:t xml:space="preserve">. A person </w:t>
      </w:r>
      <w:r w:rsidR="007B2861" w:rsidRPr="0038045B">
        <w:rPr>
          <w:lang w:val="en-US"/>
        </w:rPr>
        <w:t xml:space="preserve">responsible </w:t>
      </w:r>
      <w:r w:rsidRPr="0038045B">
        <w:rPr>
          <w:lang w:val="en-US"/>
        </w:rPr>
        <w:t>for AML compliance has to be established in each entity. PSPs shall ensur</w:t>
      </w:r>
      <w:r w:rsidR="009A79B7" w:rsidRPr="0038045B">
        <w:rPr>
          <w:lang w:val="en-US"/>
        </w:rPr>
        <w:t>e that their agents are involved</w:t>
      </w:r>
      <w:r w:rsidRPr="0038045B">
        <w:rPr>
          <w:lang w:val="en-US"/>
        </w:rPr>
        <w:t xml:space="preserve"> in their </w:t>
      </w:r>
      <w:r w:rsidR="007B2861" w:rsidRPr="0038045B">
        <w:rPr>
          <w:lang w:val="en-US"/>
        </w:rPr>
        <w:t xml:space="preserve">AML </w:t>
      </w:r>
      <w:r w:rsidRPr="0038045B">
        <w:rPr>
          <w:lang w:val="en-US"/>
        </w:rPr>
        <w:t>programs and that such agents apply the same internal measures for CDD, record keeping and reporting.</w:t>
      </w:r>
    </w:p>
    <w:p w14:paraId="086C34E4" w14:textId="77777777" w:rsidR="00FC2EEA" w:rsidRPr="0038045B" w:rsidRDefault="00CA793A" w:rsidP="00FC2EEA">
      <w:pPr>
        <w:pStyle w:val="Body"/>
        <w:numPr>
          <w:ilvl w:val="0"/>
          <w:numId w:val="15"/>
        </w:numPr>
        <w:spacing w:after="200" w:line="276" w:lineRule="auto"/>
        <w:ind w:left="0" w:firstLine="0"/>
        <w:rPr>
          <w:lang w:val="en-US"/>
        </w:rPr>
      </w:pPr>
      <w:r w:rsidRPr="0038045B">
        <w:rPr>
          <w:lang w:val="en-US"/>
        </w:rPr>
        <w:t>Accor</w:t>
      </w:r>
      <w:r w:rsidR="009A79B7" w:rsidRPr="0038045B">
        <w:rPr>
          <w:lang w:val="en-US"/>
        </w:rPr>
        <w:t xml:space="preserve">ding to BoA’s Regulation No. 44 of </w:t>
      </w:r>
      <w:r w:rsidRPr="0038045B">
        <w:rPr>
          <w:lang w:val="en-US"/>
        </w:rPr>
        <w:t>2009 “On Prevention of Money Laundering and Terrorist Financing”, as amended in 2013, o</w:t>
      </w:r>
      <w:r w:rsidR="00FC2EEA" w:rsidRPr="0038045B">
        <w:rPr>
          <w:lang w:val="en-US"/>
        </w:rPr>
        <w:t xml:space="preserve">pening of a banking account, even in case it is used for </w:t>
      </w:r>
      <w:r w:rsidR="00721CB6" w:rsidRPr="0038045B">
        <w:rPr>
          <w:lang w:val="en-US"/>
        </w:rPr>
        <w:t xml:space="preserve">electronic </w:t>
      </w:r>
      <w:r w:rsidR="00FC2EEA" w:rsidRPr="0038045B">
        <w:rPr>
          <w:lang w:val="en-US"/>
        </w:rPr>
        <w:t xml:space="preserve">transactions, </w:t>
      </w:r>
      <w:r w:rsidR="00721CB6" w:rsidRPr="0038045B">
        <w:rPr>
          <w:lang w:val="en-US"/>
        </w:rPr>
        <w:t>shall</w:t>
      </w:r>
      <w:r w:rsidR="00FC2EEA" w:rsidRPr="0038045B">
        <w:rPr>
          <w:lang w:val="en-US"/>
        </w:rPr>
        <w:t xml:space="preserve"> be conducted only </w:t>
      </w:r>
      <w:r w:rsidR="005D0ECD" w:rsidRPr="0038045B">
        <w:rPr>
          <w:lang w:val="en-US"/>
        </w:rPr>
        <w:t xml:space="preserve">with </w:t>
      </w:r>
      <w:r w:rsidR="00FC2EEA" w:rsidRPr="0038045B">
        <w:rPr>
          <w:lang w:val="en-US"/>
        </w:rPr>
        <w:t xml:space="preserve">the physical presence of the customer. However, </w:t>
      </w:r>
      <w:r w:rsidRPr="0038045B">
        <w:rPr>
          <w:lang w:val="en-US"/>
        </w:rPr>
        <w:t xml:space="preserve">customers </w:t>
      </w:r>
      <w:r w:rsidR="00985028" w:rsidRPr="0038045B">
        <w:rPr>
          <w:lang w:val="en-US"/>
        </w:rPr>
        <w:t xml:space="preserve">may </w:t>
      </w:r>
      <w:r w:rsidRPr="0038045B">
        <w:rPr>
          <w:lang w:val="en-US"/>
        </w:rPr>
        <w:t xml:space="preserve">carry out transactions </w:t>
      </w:r>
      <w:r w:rsidR="005D0ECD" w:rsidRPr="0038045B">
        <w:rPr>
          <w:lang w:val="en-US"/>
        </w:rPr>
        <w:t xml:space="preserve">that do not require </w:t>
      </w:r>
      <w:r w:rsidRPr="0038045B">
        <w:rPr>
          <w:lang w:val="en-US"/>
        </w:rPr>
        <w:t xml:space="preserve">their physical presence provided specific risk management </w:t>
      </w:r>
      <w:r w:rsidR="00985028" w:rsidRPr="0038045B">
        <w:rPr>
          <w:lang w:val="en-US"/>
        </w:rPr>
        <w:t>measures are</w:t>
      </w:r>
      <w:r w:rsidRPr="0038045B">
        <w:rPr>
          <w:lang w:val="en-US"/>
        </w:rPr>
        <w:t xml:space="preserve"> implemented. </w:t>
      </w:r>
      <w:r w:rsidR="00FC2EEA" w:rsidRPr="0038045B">
        <w:rPr>
          <w:lang w:val="en-US"/>
        </w:rPr>
        <w:t>Physical presence of customers</w:t>
      </w:r>
      <w:r w:rsidR="00985028" w:rsidRPr="0038045B">
        <w:rPr>
          <w:lang w:val="en-US"/>
        </w:rPr>
        <w:t>/</w:t>
      </w:r>
      <w:r w:rsidR="00FC2EEA" w:rsidRPr="0038045B">
        <w:rPr>
          <w:lang w:val="en-US"/>
        </w:rPr>
        <w:t xml:space="preserve">their representatives is </w:t>
      </w:r>
      <w:r w:rsidR="007B2861" w:rsidRPr="0038045B">
        <w:rPr>
          <w:lang w:val="en-US"/>
        </w:rPr>
        <w:t xml:space="preserve">however </w:t>
      </w:r>
      <w:r w:rsidR="00FC2EEA" w:rsidRPr="0038045B">
        <w:rPr>
          <w:lang w:val="en-US"/>
        </w:rPr>
        <w:t>required in cases of enhanced CDD.</w:t>
      </w:r>
      <w:r w:rsidR="007B2861" w:rsidRPr="0038045B">
        <w:rPr>
          <w:rStyle w:val="FootnoteReference"/>
          <w:lang w:val="en-US"/>
        </w:rPr>
        <w:footnoteReference w:id="38"/>
      </w:r>
    </w:p>
    <w:p w14:paraId="3A35B3C5" w14:textId="77777777" w:rsidR="00722157" w:rsidRPr="0038045B" w:rsidRDefault="00722157" w:rsidP="00722157">
      <w:pPr>
        <w:pStyle w:val="Body"/>
        <w:numPr>
          <w:ilvl w:val="0"/>
          <w:numId w:val="15"/>
        </w:numPr>
        <w:spacing w:after="200" w:line="276" w:lineRule="auto"/>
        <w:ind w:left="0" w:firstLine="0"/>
        <w:rPr>
          <w:lang w:val="en-US"/>
        </w:rPr>
      </w:pPr>
      <w:r w:rsidRPr="0038045B">
        <w:rPr>
          <w:lang w:val="en-US"/>
        </w:rPr>
        <w:t xml:space="preserve">The application of a risk-based approach with regard to AML/CFT has been implemented through amendments to Regulation No. 44 of 2009. This Regulation, as amended, lays down the procedures and documentation for the identification of customers, regulations for record-keeping, preservation of data and their reporting to the responsible authority. Additional guidance sets a framework for assisting the obligated entities in assessing the levels of risk, stating explicitly that where high-level risk is identified, enhanced CDD has to be applied in all circumstances (see below). There are three categories of risk factors that should guide the obligated entities in the evaluation of the risk: (i) geographical </w:t>
      </w:r>
      <w:r w:rsidRPr="0038045B">
        <w:rPr>
          <w:lang w:val="en-US"/>
        </w:rPr>
        <w:lastRenderedPageBreak/>
        <w:t>risk, (ii) customer's risk, and (iii) the risk of products, services/transactions and business relationships. For each category examples are provided, without limiting PSP discretion.</w:t>
      </w:r>
    </w:p>
    <w:p w14:paraId="393E5519" w14:textId="77777777" w:rsidR="00FC2EEA" w:rsidRPr="0038045B" w:rsidRDefault="00FC2EEA" w:rsidP="00FC2EEA">
      <w:pPr>
        <w:pStyle w:val="Body"/>
        <w:numPr>
          <w:ilvl w:val="0"/>
          <w:numId w:val="15"/>
        </w:numPr>
        <w:spacing w:after="200" w:line="276" w:lineRule="auto"/>
        <w:ind w:left="0" w:firstLine="0"/>
        <w:rPr>
          <w:lang w:val="en-US"/>
        </w:rPr>
      </w:pPr>
      <w:r w:rsidRPr="0038045B">
        <w:rPr>
          <w:lang w:val="en-US"/>
        </w:rPr>
        <w:t xml:space="preserve">A comprehensive </w:t>
      </w:r>
      <w:r w:rsidR="009A79B7" w:rsidRPr="0038045B">
        <w:rPr>
          <w:lang w:val="en-US"/>
        </w:rPr>
        <w:t>list of enhanced CDD measures has been</w:t>
      </w:r>
      <w:r w:rsidRPr="0038045B">
        <w:rPr>
          <w:lang w:val="en-US"/>
        </w:rPr>
        <w:t xml:space="preserve"> established. </w:t>
      </w:r>
      <w:r w:rsidR="005D0ECD" w:rsidRPr="0038045B">
        <w:rPr>
          <w:lang w:val="en-US"/>
        </w:rPr>
        <w:t>First, t</w:t>
      </w:r>
      <w:r w:rsidRPr="0038045B">
        <w:rPr>
          <w:lang w:val="en-US"/>
        </w:rPr>
        <w:t>he AML</w:t>
      </w:r>
      <w:r w:rsidR="00CA793A" w:rsidRPr="0038045B">
        <w:rPr>
          <w:lang w:val="en-US"/>
        </w:rPr>
        <w:t>/CFT</w:t>
      </w:r>
      <w:r w:rsidRPr="0038045B">
        <w:rPr>
          <w:lang w:val="en-US"/>
        </w:rPr>
        <w:t xml:space="preserve"> Law sets </w:t>
      </w:r>
      <w:r w:rsidR="007B2861" w:rsidRPr="0038045B">
        <w:rPr>
          <w:lang w:val="en-US"/>
        </w:rPr>
        <w:t xml:space="preserve">enhanced </w:t>
      </w:r>
      <w:r w:rsidRPr="0038045B">
        <w:rPr>
          <w:lang w:val="en-US"/>
        </w:rPr>
        <w:t xml:space="preserve">CDD measures with regard to specific categories of customers, which are the ones towards which </w:t>
      </w:r>
      <w:r w:rsidR="007B2861" w:rsidRPr="0038045B">
        <w:rPr>
          <w:lang w:val="en-US"/>
        </w:rPr>
        <w:t xml:space="preserve">enhanced </w:t>
      </w:r>
      <w:r w:rsidRPr="0038045B">
        <w:rPr>
          <w:lang w:val="en-US"/>
        </w:rPr>
        <w:t xml:space="preserve">CDD shall be applied (such as </w:t>
      </w:r>
      <w:r w:rsidR="00442158" w:rsidRPr="0038045B">
        <w:rPr>
          <w:lang w:val="en-US"/>
        </w:rPr>
        <w:t>politically exposed person</w:t>
      </w:r>
      <w:r w:rsidRPr="0038045B">
        <w:rPr>
          <w:lang w:val="en-US"/>
        </w:rPr>
        <w:t xml:space="preserve">s, </w:t>
      </w:r>
      <w:r w:rsidR="00442158" w:rsidRPr="0038045B">
        <w:rPr>
          <w:lang w:val="en-US"/>
        </w:rPr>
        <w:t>non-profit organization</w:t>
      </w:r>
      <w:r w:rsidRPr="0038045B">
        <w:rPr>
          <w:lang w:val="en-US"/>
        </w:rPr>
        <w:t>s). Regulation No. 44</w:t>
      </w:r>
      <w:r w:rsidR="009A79B7" w:rsidRPr="0038045B">
        <w:rPr>
          <w:lang w:val="en-US"/>
        </w:rPr>
        <w:t xml:space="preserve"> of </w:t>
      </w:r>
      <w:r w:rsidR="00CA793A" w:rsidRPr="0038045B">
        <w:rPr>
          <w:lang w:val="en-US"/>
        </w:rPr>
        <w:t>2009</w:t>
      </w:r>
      <w:r w:rsidRPr="0038045B">
        <w:rPr>
          <w:lang w:val="en-US"/>
        </w:rPr>
        <w:t xml:space="preserve">, as amended in 2013, </w:t>
      </w:r>
      <w:r w:rsidR="00F01C00" w:rsidRPr="0038045B">
        <w:rPr>
          <w:lang w:val="en-US"/>
        </w:rPr>
        <w:t xml:space="preserve">requires </w:t>
      </w:r>
      <w:r w:rsidR="009A79B7" w:rsidRPr="0038045B">
        <w:rPr>
          <w:lang w:val="en-US"/>
        </w:rPr>
        <w:t xml:space="preserve">that the obligated entities </w:t>
      </w:r>
      <w:r w:rsidRPr="0038045B">
        <w:rPr>
          <w:lang w:val="en-US"/>
        </w:rPr>
        <w:t xml:space="preserve">apply </w:t>
      </w:r>
      <w:r w:rsidR="007B2861" w:rsidRPr="0038045B">
        <w:rPr>
          <w:lang w:val="en-US"/>
        </w:rPr>
        <w:t xml:space="preserve">enhanced </w:t>
      </w:r>
      <w:r w:rsidRPr="0038045B">
        <w:rPr>
          <w:lang w:val="en-US"/>
        </w:rPr>
        <w:t xml:space="preserve">CDD measures also to other categories of customers </w:t>
      </w:r>
      <w:r w:rsidR="009A79B7" w:rsidRPr="0038045B">
        <w:rPr>
          <w:lang w:val="en-US"/>
        </w:rPr>
        <w:t>to be</w:t>
      </w:r>
      <w:r w:rsidRPr="0038045B">
        <w:rPr>
          <w:lang w:val="en-US"/>
        </w:rPr>
        <w:t xml:space="preserve"> identified on the basis of a risk assessment (</w:t>
      </w:r>
      <w:r w:rsidR="009A79B7" w:rsidRPr="0038045B">
        <w:rPr>
          <w:lang w:val="en-US"/>
        </w:rPr>
        <w:t xml:space="preserve">using </w:t>
      </w:r>
      <w:r w:rsidR="00722157" w:rsidRPr="0038045B">
        <w:rPr>
          <w:lang w:val="en-US"/>
        </w:rPr>
        <w:t xml:space="preserve">the </w:t>
      </w:r>
      <w:r w:rsidR="009A79B7" w:rsidRPr="0038045B">
        <w:rPr>
          <w:lang w:val="en-US"/>
        </w:rPr>
        <w:t>Guideline “</w:t>
      </w:r>
      <w:r w:rsidRPr="0038045B">
        <w:rPr>
          <w:lang w:val="en-US"/>
        </w:rPr>
        <w:t>On the risk assessment for money laundering and terrorism financin</w:t>
      </w:r>
      <w:r w:rsidR="009A79B7" w:rsidRPr="0038045B">
        <w:rPr>
          <w:lang w:val="en-US"/>
        </w:rPr>
        <w:t>g”</w:t>
      </w:r>
      <w:r w:rsidRPr="0038045B">
        <w:rPr>
          <w:lang w:val="en-US"/>
        </w:rPr>
        <w:t xml:space="preserve"> attached to the Regulation). </w:t>
      </w:r>
      <w:r w:rsidR="009A79B7" w:rsidRPr="0038045B">
        <w:rPr>
          <w:lang w:val="en-US"/>
        </w:rPr>
        <w:t xml:space="preserve">Based on </w:t>
      </w:r>
      <w:r w:rsidR="003B1836" w:rsidRPr="0038045B">
        <w:rPr>
          <w:lang w:val="en-US"/>
        </w:rPr>
        <w:t xml:space="preserve">section </w:t>
      </w:r>
      <w:r w:rsidRPr="0038045B">
        <w:rPr>
          <w:lang w:val="en-US"/>
        </w:rPr>
        <w:t xml:space="preserve">5 </w:t>
      </w:r>
      <w:r w:rsidR="003F5111" w:rsidRPr="0038045B">
        <w:rPr>
          <w:lang w:val="en-US"/>
        </w:rPr>
        <w:t>of t</w:t>
      </w:r>
      <w:r w:rsidR="00B90B2C" w:rsidRPr="0038045B">
        <w:rPr>
          <w:lang w:val="en-US"/>
        </w:rPr>
        <w:t>he</w:t>
      </w:r>
      <w:r w:rsidR="003F5111" w:rsidRPr="0038045B">
        <w:rPr>
          <w:lang w:val="en-US"/>
        </w:rPr>
        <w:t xml:space="preserve"> Guideline, </w:t>
      </w:r>
      <w:r w:rsidRPr="0038045B">
        <w:rPr>
          <w:lang w:val="en-US"/>
        </w:rPr>
        <w:t>in case of higher risk identified by an obligated entity with regard to a customer or a transaction</w:t>
      </w:r>
      <w:r w:rsidR="005D0ECD" w:rsidRPr="0038045B">
        <w:rPr>
          <w:lang w:val="en-US"/>
        </w:rPr>
        <w:t>,</w:t>
      </w:r>
      <w:r w:rsidRPr="0038045B">
        <w:rPr>
          <w:lang w:val="en-US"/>
        </w:rPr>
        <w:t xml:space="preserve"> the following </w:t>
      </w:r>
      <w:r w:rsidR="00B90B2C" w:rsidRPr="0038045B">
        <w:rPr>
          <w:lang w:val="en-US"/>
        </w:rPr>
        <w:t xml:space="preserve">mitigating </w:t>
      </w:r>
      <w:r w:rsidRPr="0038045B">
        <w:rPr>
          <w:lang w:val="en-US"/>
        </w:rPr>
        <w:t xml:space="preserve">measures may be applied: </w:t>
      </w:r>
      <w:r w:rsidR="005D0ECD" w:rsidRPr="0038045B">
        <w:rPr>
          <w:lang w:val="en-US"/>
        </w:rPr>
        <w:t xml:space="preserve">(i) </w:t>
      </w:r>
      <w:r w:rsidRPr="0038045B">
        <w:rPr>
          <w:lang w:val="en-US"/>
        </w:rPr>
        <w:t>additional information on customer's profile</w:t>
      </w:r>
      <w:r w:rsidR="005D0ECD" w:rsidRPr="0038045B">
        <w:rPr>
          <w:lang w:val="en-US"/>
        </w:rPr>
        <w:t>;</w:t>
      </w:r>
      <w:r w:rsidRPr="0038045B">
        <w:rPr>
          <w:lang w:val="en-US"/>
        </w:rPr>
        <w:t xml:space="preserve"> </w:t>
      </w:r>
      <w:r w:rsidR="005D0ECD" w:rsidRPr="0038045B">
        <w:rPr>
          <w:lang w:val="en-US"/>
        </w:rPr>
        <w:t xml:space="preserve">(ii) </w:t>
      </w:r>
      <w:r w:rsidRPr="0038045B">
        <w:rPr>
          <w:lang w:val="en-US"/>
        </w:rPr>
        <w:t>increase</w:t>
      </w:r>
      <w:r w:rsidR="005D0ECD" w:rsidRPr="0038045B">
        <w:rPr>
          <w:lang w:val="en-US"/>
        </w:rPr>
        <w:t>d</w:t>
      </w:r>
      <w:r w:rsidRPr="0038045B">
        <w:rPr>
          <w:lang w:val="en-US"/>
        </w:rPr>
        <w:t xml:space="preserve"> frequency of data updating for the customer </w:t>
      </w:r>
      <w:r w:rsidR="005D0ECD" w:rsidRPr="0038045B">
        <w:rPr>
          <w:lang w:val="en-US"/>
        </w:rPr>
        <w:t xml:space="preserve">(iii) </w:t>
      </w:r>
      <w:r w:rsidRPr="0038045B">
        <w:rPr>
          <w:lang w:val="en-US"/>
        </w:rPr>
        <w:t>additional information on the intended nature of the business relationship</w:t>
      </w:r>
      <w:r w:rsidR="005D0ECD" w:rsidRPr="0038045B">
        <w:rPr>
          <w:lang w:val="en-US"/>
        </w:rPr>
        <w:t>; (iv)</w:t>
      </w:r>
      <w:r w:rsidRPr="0038045B">
        <w:rPr>
          <w:lang w:val="en-US"/>
        </w:rPr>
        <w:t xml:space="preserve"> additional information on the source of funds and/or on the reasons and purpose of the transaction</w:t>
      </w:r>
      <w:r w:rsidR="005D0ECD" w:rsidRPr="0038045B">
        <w:rPr>
          <w:lang w:val="en-US"/>
        </w:rPr>
        <w:t>; (v)</w:t>
      </w:r>
      <w:r w:rsidR="007F23BE" w:rsidRPr="0038045B">
        <w:rPr>
          <w:lang w:val="en-US"/>
        </w:rPr>
        <w:t xml:space="preserve"> obtaining </w:t>
      </w:r>
      <w:r w:rsidRPr="0038045B">
        <w:rPr>
          <w:lang w:val="en-US"/>
        </w:rPr>
        <w:t xml:space="preserve">approval from high-level managers on the </w:t>
      </w:r>
      <w:r w:rsidR="007B2861" w:rsidRPr="0038045B">
        <w:rPr>
          <w:lang w:val="en-US"/>
        </w:rPr>
        <w:t xml:space="preserve">initiation </w:t>
      </w:r>
      <w:r w:rsidRPr="0038045B">
        <w:rPr>
          <w:lang w:val="en-US"/>
        </w:rPr>
        <w:t>and continua</w:t>
      </w:r>
      <w:r w:rsidR="007B2861" w:rsidRPr="0038045B">
        <w:rPr>
          <w:lang w:val="en-US"/>
        </w:rPr>
        <w:t xml:space="preserve">tion </w:t>
      </w:r>
      <w:r w:rsidRPr="0038045B">
        <w:rPr>
          <w:lang w:val="en-US"/>
        </w:rPr>
        <w:t>of business relationships with the customer</w:t>
      </w:r>
      <w:r w:rsidR="005D0ECD" w:rsidRPr="0038045B">
        <w:rPr>
          <w:lang w:val="en-US"/>
        </w:rPr>
        <w:t>; and,</w:t>
      </w:r>
      <w:r w:rsidRPr="0038045B">
        <w:rPr>
          <w:lang w:val="en-US"/>
        </w:rPr>
        <w:t xml:space="preserve"> </w:t>
      </w:r>
      <w:r w:rsidR="005D0ECD" w:rsidRPr="0038045B">
        <w:rPr>
          <w:lang w:val="en-US"/>
        </w:rPr>
        <w:t xml:space="preserve">(vi) </w:t>
      </w:r>
      <w:r w:rsidRPr="0038045B">
        <w:rPr>
          <w:lang w:val="en-US"/>
        </w:rPr>
        <w:t>enhanced monitoring.</w:t>
      </w:r>
    </w:p>
    <w:p w14:paraId="27537354" w14:textId="77777777" w:rsidR="00FC2EEA" w:rsidRPr="0038045B" w:rsidRDefault="00FC2EEA" w:rsidP="00FC2EEA">
      <w:pPr>
        <w:pStyle w:val="Body"/>
        <w:numPr>
          <w:ilvl w:val="0"/>
          <w:numId w:val="15"/>
        </w:numPr>
        <w:spacing w:after="200" w:line="276" w:lineRule="auto"/>
        <w:ind w:left="0" w:firstLine="0"/>
        <w:rPr>
          <w:lang w:val="en-US"/>
        </w:rPr>
      </w:pPr>
      <w:r w:rsidRPr="0038045B">
        <w:rPr>
          <w:lang w:val="en-US"/>
        </w:rPr>
        <w:t>The General Directorate for the Prevention of Money Laundering (GD</w:t>
      </w:r>
      <w:r w:rsidR="00722157" w:rsidRPr="0038045B">
        <w:rPr>
          <w:lang w:val="en-US"/>
        </w:rPr>
        <w:t>P</w:t>
      </w:r>
      <w:r w:rsidRPr="0038045B">
        <w:rPr>
          <w:lang w:val="en-US"/>
        </w:rPr>
        <w:t>ML) is the Albanian Financial Intelligence Unit. GDPML is empowered by the AML</w:t>
      </w:r>
      <w:r w:rsidR="007C64C0" w:rsidRPr="0038045B">
        <w:rPr>
          <w:lang w:val="en-US"/>
        </w:rPr>
        <w:t>/CFT</w:t>
      </w:r>
      <w:r w:rsidRPr="0038045B">
        <w:rPr>
          <w:lang w:val="en-US"/>
        </w:rPr>
        <w:t xml:space="preserve"> Law to collect, manage and analyze reports filed by oblig</w:t>
      </w:r>
      <w:r w:rsidR="007C64C0" w:rsidRPr="0038045B">
        <w:rPr>
          <w:lang w:val="en-US"/>
        </w:rPr>
        <w:t xml:space="preserve">ated entities </w:t>
      </w:r>
      <w:r w:rsidRPr="0038045B">
        <w:rPr>
          <w:lang w:val="en-US"/>
        </w:rPr>
        <w:t xml:space="preserve">in order to prevent and combat money laundering and the financing of terrorism. </w:t>
      </w:r>
      <w:r w:rsidR="00985028" w:rsidRPr="0038045B">
        <w:rPr>
          <w:lang w:val="en-US"/>
        </w:rPr>
        <w:t xml:space="preserve">GDPML may request statistics and data from subjects, supervisory authorities and other competent authorities, and may </w:t>
      </w:r>
      <w:r w:rsidR="006F2566" w:rsidRPr="0038045B">
        <w:rPr>
          <w:lang w:val="en-US"/>
        </w:rPr>
        <w:t xml:space="preserve">disseminate information to </w:t>
      </w:r>
      <w:r w:rsidRPr="0038045B">
        <w:rPr>
          <w:lang w:val="en-US"/>
        </w:rPr>
        <w:t>law enforcement authorities if there are grounds to suspect that money laundering or financing of terrorism offences have been or are currently being committed. GDPML also has a supervisory role oversee</w:t>
      </w:r>
      <w:r w:rsidR="00985028" w:rsidRPr="0038045B">
        <w:rPr>
          <w:lang w:val="en-US"/>
        </w:rPr>
        <w:t>ing</w:t>
      </w:r>
      <w:r w:rsidRPr="0038045B">
        <w:rPr>
          <w:lang w:val="en-US"/>
        </w:rPr>
        <w:t xml:space="preserve"> obligors’ compliance with the </w:t>
      </w:r>
      <w:r w:rsidR="00985028" w:rsidRPr="0038045B">
        <w:rPr>
          <w:lang w:val="en-US"/>
        </w:rPr>
        <w:t xml:space="preserve">provisions of the </w:t>
      </w:r>
      <w:r w:rsidRPr="0038045B">
        <w:rPr>
          <w:lang w:val="en-US"/>
        </w:rPr>
        <w:t>AML</w:t>
      </w:r>
      <w:r w:rsidR="007C64C0" w:rsidRPr="0038045B">
        <w:rPr>
          <w:lang w:val="en-US"/>
        </w:rPr>
        <w:t>/CFT</w:t>
      </w:r>
      <w:r w:rsidRPr="0038045B">
        <w:rPr>
          <w:lang w:val="en-US"/>
        </w:rPr>
        <w:t xml:space="preserve"> Law and, in that regard, cooperates with supervisory authorities, in particular with the BoA and the F</w:t>
      </w:r>
      <w:r w:rsidR="007C64C0" w:rsidRPr="0038045B">
        <w:rPr>
          <w:lang w:val="en-US"/>
        </w:rPr>
        <w:t>SA.</w:t>
      </w:r>
      <w:r w:rsidRPr="0038045B">
        <w:rPr>
          <w:lang w:val="en-US"/>
        </w:rPr>
        <w:t xml:space="preserve"> In 2014, </w:t>
      </w:r>
      <w:r w:rsidR="007C64C0" w:rsidRPr="0038045B">
        <w:rPr>
          <w:lang w:val="en-US"/>
        </w:rPr>
        <w:t xml:space="preserve">the </w:t>
      </w:r>
      <w:r w:rsidRPr="0038045B">
        <w:rPr>
          <w:lang w:val="en-US"/>
        </w:rPr>
        <w:t xml:space="preserve">BoA and the GDPML signed a cooperation agreement to facilitate information exchange and to strengthen the risk-based supervisory approach. </w:t>
      </w:r>
    </w:p>
    <w:p w14:paraId="477C2FC9" w14:textId="77777777" w:rsidR="00A63A7D" w:rsidRPr="0038045B" w:rsidRDefault="00A63A7D" w:rsidP="00C71246">
      <w:pPr>
        <w:autoSpaceDE w:val="0"/>
        <w:autoSpaceDN w:val="0"/>
        <w:adjustRightInd w:val="0"/>
        <w:spacing w:before="360" w:after="120" w:line="276" w:lineRule="auto"/>
        <w:jc w:val="both"/>
        <w:rPr>
          <w:b/>
          <w:i/>
          <w:color w:val="000000"/>
        </w:rPr>
      </w:pPr>
      <w:r w:rsidRPr="0038045B">
        <w:rPr>
          <w:b/>
          <w:i/>
          <w:color w:val="000000"/>
        </w:rPr>
        <w:t>Observations and recommendations</w:t>
      </w:r>
    </w:p>
    <w:p w14:paraId="02421CCC" w14:textId="77777777" w:rsidR="00FC2EEA" w:rsidRPr="0038045B" w:rsidRDefault="007C64C0" w:rsidP="00FC2EEA">
      <w:pPr>
        <w:pStyle w:val="Body"/>
        <w:numPr>
          <w:ilvl w:val="0"/>
          <w:numId w:val="15"/>
        </w:numPr>
        <w:spacing w:after="200" w:line="276" w:lineRule="auto"/>
        <w:ind w:left="0" w:firstLine="0"/>
        <w:rPr>
          <w:i/>
          <w:lang w:val="en-US"/>
        </w:rPr>
      </w:pPr>
      <w:r w:rsidRPr="0038045B">
        <w:rPr>
          <w:i/>
          <w:lang w:val="en-US"/>
        </w:rPr>
        <w:t xml:space="preserve">Albania has made significant progress and implemented the required measures in order to strengthen the effectiveness of its AML/CFT system and bring its legal and regulatory framework in line with international standards. </w:t>
      </w:r>
      <w:r w:rsidR="00FC2EEA" w:rsidRPr="0038045B">
        <w:rPr>
          <w:i/>
          <w:lang w:val="en-US"/>
        </w:rPr>
        <w:t>Th</w:t>
      </w:r>
      <w:r w:rsidRPr="0038045B">
        <w:rPr>
          <w:i/>
          <w:lang w:val="en-US"/>
        </w:rPr>
        <w:t xml:space="preserve">is framework </w:t>
      </w:r>
      <w:r w:rsidR="00FC2EEA" w:rsidRPr="0038045B">
        <w:rPr>
          <w:i/>
          <w:lang w:val="en-US"/>
        </w:rPr>
        <w:t xml:space="preserve">preserves the integrity of the financial system, </w:t>
      </w:r>
      <w:r w:rsidR="00F01C00" w:rsidRPr="0038045B">
        <w:rPr>
          <w:i/>
          <w:lang w:val="en-US"/>
        </w:rPr>
        <w:t xml:space="preserve">and by adopting a risk-based approach does </w:t>
      </w:r>
      <w:r w:rsidR="00FC2EEA" w:rsidRPr="0038045B">
        <w:rPr>
          <w:i/>
          <w:lang w:val="en-US"/>
        </w:rPr>
        <w:t xml:space="preserve">not unnecessarily inhibit individuals and businesses </w:t>
      </w:r>
      <w:r w:rsidR="00F01C00" w:rsidRPr="0038045B">
        <w:rPr>
          <w:i/>
          <w:lang w:val="en-US"/>
        </w:rPr>
        <w:t xml:space="preserve">from accessing and using </w:t>
      </w:r>
      <w:r w:rsidR="00FC2EEA" w:rsidRPr="0038045B">
        <w:rPr>
          <w:i/>
          <w:lang w:val="en-US"/>
        </w:rPr>
        <w:t xml:space="preserve">well-regulated financial services. </w:t>
      </w:r>
    </w:p>
    <w:p w14:paraId="3D576B5E" w14:textId="77777777" w:rsidR="007C64C0" w:rsidRPr="0038045B" w:rsidRDefault="00FC2EEA" w:rsidP="005A5D20">
      <w:pPr>
        <w:pStyle w:val="Body"/>
        <w:numPr>
          <w:ilvl w:val="0"/>
          <w:numId w:val="15"/>
        </w:numPr>
        <w:spacing w:after="200" w:line="276" w:lineRule="auto"/>
        <w:ind w:left="0" w:firstLine="0"/>
        <w:rPr>
          <w:i/>
          <w:lang w:val="en-US"/>
        </w:rPr>
      </w:pPr>
      <w:r w:rsidRPr="0038045B">
        <w:rPr>
          <w:i/>
          <w:lang w:val="en-US"/>
        </w:rPr>
        <w:t xml:space="preserve">The </w:t>
      </w:r>
      <w:r w:rsidR="00D9165A" w:rsidRPr="0038045B">
        <w:rPr>
          <w:i/>
          <w:lang w:val="en-US"/>
        </w:rPr>
        <w:t xml:space="preserve">creation </w:t>
      </w:r>
      <w:r w:rsidRPr="0038045B">
        <w:rPr>
          <w:i/>
          <w:lang w:val="en-US"/>
        </w:rPr>
        <w:t xml:space="preserve">of a tiered compliance structure permits a suitable balance between risk and compliance relative to the transaction size and volume needs of the typical entry-level customer. </w:t>
      </w:r>
      <w:r w:rsidR="00D9165A" w:rsidRPr="0038045B">
        <w:rPr>
          <w:i/>
          <w:lang w:val="en-US"/>
        </w:rPr>
        <w:t xml:space="preserve">This approach is currently supported </w:t>
      </w:r>
      <w:r w:rsidR="00A20271" w:rsidRPr="0038045B">
        <w:rPr>
          <w:i/>
          <w:lang w:val="en-US"/>
        </w:rPr>
        <w:t>i</w:t>
      </w:r>
      <w:r w:rsidR="00D9165A" w:rsidRPr="0038045B">
        <w:rPr>
          <w:i/>
          <w:lang w:val="en-US"/>
        </w:rPr>
        <w:t>n the Guideline “On the risk assessment for money laundering and terrorism financing", which is an attachment to Regulation 44/2009</w:t>
      </w:r>
      <w:r w:rsidR="00A20271" w:rsidRPr="0038045B">
        <w:rPr>
          <w:i/>
          <w:lang w:val="en-US"/>
        </w:rPr>
        <w:t xml:space="preserve"> </w:t>
      </w:r>
      <w:r w:rsidR="00A20271" w:rsidRPr="0038045B">
        <w:rPr>
          <w:i/>
          <w:lang w:val="en-US"/>
        </w:rPr>
        <w:lastRenderedPageBreak/>
        <w:t>“On Prevention of Money Laundering and Terrorist Financing”</w:t>
      </w:r>
      <w:r w:rsidR="00D9165A" w:rsidRPr="0038045B">
        <w:rPr>
          <w:i/>
          <w:lang w:val="en-US"/>
        </w:rPr>
        <w:t xml:space="preserve">. </w:t>
      </w:r>
      <w:r w:rsidR="00A20271" w:rsidRPr="0038045B">
        <w:rPr>
          <w:i/>
          <w:lang w:val="en-US"/>
        </w:rPr>
        <w:t xml:space="preserve">It is recommended that </w:t>
      </w:r>
      <w:r w:rsidR="00F01C00" w:rsidRPr="0038045B">
        <w:rPr>
          <w:i/>
          <w:lang w:val="en-US"/>
        </w:rPr>
        <w:t>th</w:t>
      </w:r>
      <w:r w:rsidR="00D9165A" w:rsidRPr="0038045B">
        <w:rPr>
          <w:i/>
          <w:lang w:val="en-US"/>
        </w:rPr>
        <w:t xml:space="preserve">e tiered compliance structure </w:t>
      </w:r>
      <w:r w:rsidR="00A20271" w:rsidRPr="0038045B">
        <w:rPr>
          <w:i/>
          <w:lang w:val="en-US"/>
        </w:rPr>
        <w:t xml:space="preserve">be strengthened </w:t>
      </w:r>
      <w:r w:rsidRPr="0038045B">
        <w:rPr>
          <w:i/>
          <w:lang w:val="en-US"/>
        </w:rPr>
        <w:t xml:space="preserve">by reinforcing </w:t>
      </w:r>
      <w:r w:rsidR="00F01C00" w:rsidRPr="0038045B">
        <w:rPr>
          <w:i/>
          <w:lang w:val="en-US"/>
        </w:rPr>
        <w:t>the</w:t>
      </w:r>
      <w:r w:rsidRPr="0038045B">
        <w:rPr>
          <w:i/>
          <w:lang w:val="en-US"/>
        </w:rPr>
        <w:t xml:space="preserve"> risk-based approach, disciplining it through laws and regulations </w:t>
      </w:r>
      <w:r w:rsidR="00B555FC" w:rsidRPr="0038045B">
        <w:rPr>
          <w:i/>
          <w:lang w:val="en-US"/>
        </w:rPr>
        <w:t xml:space="preserve">issued by BoA </w:t>
      </w:r>
      <w:r w:rsidRPr="0038045B">
        <w:rPr>
          <w:i/>
          <w:lang w:val="en-US"/>
        </w:rPr>
        <w:t>rather than through guidelines</w:t>
      </w:r>
      <w:r w:rsidR="00F01C00" w:rsidRPr="0038045B">
        <w:rPr>
          <w:i/>
          <w:lang w:val="en-US"/>
        </w:rPr>
        <w:t>.</w:t>
      </w:r>
      <w:r w:rsidR="00F01C00" w:rsidRPr="0038045B">
        <w:rPr>
          <w:vertAlign w:val="superscript"/>
          <w:lang w:val="en-US"/>
        </w:rPr>
        <w:footnoteReference w:id="39"/>
      </w:r>
    </w:p>
    <w:p w14:paraId="5DBEC3E6" w14:textId="77777777" w:rsidR="008575CF" w:rsidRPr="0038045B" w:rsidRDefault="002301A8" w:rsidP="008575CF">
      <w:pPr>
        <w:pStyle w:val="Body"/>
        <w:widowControl/>
        <w:numPr>
          <w:ilvl w:val="0"/>
          <w:numId w:val="15"/>
        </w:numPr>
        <w:suppressAutoHyphens w:val="0"/>
        <w:spacing w:after="200" w:line="276" w:lineRule="auto"/>
        <w:ind w:left="0" w:firstLine="0"/>
        <w:rPr>
          <w:i/>
          <w:iCs/>
          <w:szCs w:val="24"/>
          <w:lang w:val="en-US"/>
        </w:rPr>
      </w:pPr>
      <w:r w:rsidRPr="0038045B">
        <w:rPr>
          <w:i/>
          <w:iCs/>
          <w:lang w:val="en-US"/>
        </w:rPr>
        <w:t>It is worth noting that,</w:t>
      </w:r>
      <w:r w:rsidR="008575CF" w:rsidRPr="0038045B">
        <w:rPr>
          <w:i/>
          <w:iCs/>
          <w:lang w:val="en-US"/>
        </w:rPr>
        <w:t xml:space="preserve"> </w:t>
      </w:r>
      <w:r w:rsidR="00AD565F" w:rsidRPr="0038045B">
        <w:rPr>
          <w:i/>
          <w:iCs/>
          <w:lang w:val="en-US"/>
        </w:rPr>
        <w:t xml:space="preserve">at the time of assessment, </w:t>
      </w:r>
      <w:r w:rsidR="008575CF" w:rsidRPr="0038045B">
        <w:rPr>
          <w:i/>
          <w:iCs/>
          <w:lang w:val="en-US"/>
        </w:rPr>
        <w:t xml:space="preserve">to maximum balance limits for e-money accounts </w:t>
      </w:r>
      <w:r w:rsidR="00FE0545" w:rsidRPr="0038045B">
        <w:rPr>
          <w:i/>
          <w:iCs/>
          <w:lang w:val="en-US"/>
        </w:rPr>
        <w:t>d</w:t>
      </w:r>
      <w:r w:rsidR="00AD565F" w:rsidRPr="0038045B">
        <w:rPr>
          <w:i/>
          <w:iCs/>
          <w:lang w:val="en-US"/>
        </w:rPr>
        <w:t>id</w:t>
      </w:r>
      <w:r w:rsidR="008575CF" w:rsidRPr="0038045B">
        <w:rPr>
          <w:i/>
          <w:iCs/>
          <w:lang w:val="en-US"/>
        </w:rPr>
        <w:t xml:space="preserve"> not correspond simplified custom</w:t>
      </w:r>
      <w:r w:rsidR="00852F0E" w:rsidRPr="0038045B">
        <w:rPr>
          <w:i/>
          <w:iCs/>
          <w:lang w:val="en-US"/>
        </w:rPr>
        <w:t>er due diligence measures. It was</w:t>
      </w:r>
      <w:r w:rsidR="008575CF" w:rsidRPr="0038045B">
        <w:rPr>
          <w:i/>
          <w:iCs/>
          <w:lang w:val="en-US"/>
        </w:rPr>
        <w:t xml:space="preserve"> recommended that this situation be rectified in a way that customer due diligence requirements are proportional to the residual risks after applying balance and/or transaction limits, and reflect considerations on the cost of undertaking CDD vis-à-vis the use of the e-money products.</w:t>
      </w:r>
      <w:r w:rsidR="00852F0E" w:rsidRPr="0038045B">
        <w:rPr>
          <w:i/>
          <w:iCs/>
          <w:lang w:val="en-US"/>
        </w:rPr>
        <w:t xml:space="preserve"> </w:t>
      </w:r>
      <w:r w:rsidR="0011169B" w:rsidRPr="0038045B">
        <w:rPr>
          <w:i/>
          <w:iCs/>
          <w:lang w:val="en-US"/>
        </w:rPr>
        <w:t>As of March 2017, these limits are no longer in place</w:t>
      </w:r>
      <w:r w:rsidR="00A22995" w:rsidRPr="0038045B">
        <w:rPr>
          <w:i/>
          <w:iCs/>
          <w:lang w:val="en-US"/>
        </w:rPr>
        <w:t xml:space="preserve"> (i.e. limits were eliminated through amendments to art. </w:t>
      </w:r>
      <w:r w:rsidR="00FE0545" w:rsidRPr="0038045B">
        <w:rPr>
          <w:i/>
          <w:iCs/>
          <w:lang w:val="en-US"/>
        </w:rPr>
        <w:t>2</w:t>
      </w:r>
      <w:r w:rsidR="00A22995" w:rsidRPr="0038045B">
        <w:rPr>
          <w:i/>
          <w:iCs/>
          <w:lang w:val="en-US"/>
        </w:rPr>
        <w:t>7 of Regulation No. 11 of 2008</w:t>
      </w:r>
      <w:r w:rsidR="00FE0545" w:rsidRPr="0038045B">
        <w:rPr>
          <w:i/>
          <w:iCs/>
          <w:lang w:val="en-US"/>
        </w:rPr>
        <w:t xml:space="preserve">). </w:t>
      </w:r>
    </w:p>
    <w:p w14:paraId="7A6E3BB9" w14:textId="77777777" w:rsidR="002C2894" w:rsidRPr="0038045B" w:rsidRDefault="00C8254E" w:rsidP="00E3460B">
      <w:pPr>
        <w:pStyle w:val="Heading2"/>
        <w:spacing w:before="480" w:after="240"/>
        <w:rPr>
          <w:b/>
          <w:sz w:val="24"/>
          <w:szCs w:val="24"/>
          <w:u w:val="none"/>
        </w:rPr>
      </w:pPr>
      <w:bookmarkStart w:id="72" w:name="_Toc476239716"/>
      <w:r w:rsidRPr="0038045B">
        <w:rPr>
          <w:b/>
          <w:sz w:val="24"/>
          <w:szCs w:val="24"/>
          <w:u w:val="none"/>
        </w:rPr>
        <w:t xml:space="preserve">Infrastructures supporting payment services </w:t>
      </w:r>
      <w:r w:rsidR="004B3AF8" w:rsidRPr="0038045B">
        <w:rPr>
          <w:b/>
          <w:sz w:val="24"/>
          <w:szCs w:val="24"/>
          <w:u w:val="none"/>
        </w:rPr>
        <w:t xml:space="preserve">and broader financial inclusion </w:t>
      </w:r>
      <w:r w:rsidR="002C2894" w:rsidRPr="0038045B">
        <w:rPr>
          <w:b/>
          <w:sz w:val="24"/>
          <w:szCs w:val="24"/>
          <w:u w:val="none"/>
        </w:rPr>
        <w:t xml:space="preserve">in </w:t>
      </w:r>
      <w:r w:rsidR="006B68ED" w:rsidRPr="0038045B">
        <w:rPr>
          <w:b/>
          <w:sz w:val="24"/>
          <w:szCs w:val="24"/>
          <w:u w:val="none"/>
        </w:rPr>
        <w:t>Albania</w:t>
      </w:r>
      <w:bookmarkEnd w:id="72"/>
    </w:p>
    <w:p w14:paraId="71F61AFF" w14:textId="20DF2446" w:rsidR="00BF61D2" w:rsidRPr="0038045B" w:rsidRDefault="00BF61D2" w:rsidP="00C80F30">
      <w:pPr>
        <w:pStyle w:val="Body"/>
        <w:numPr>
          <w:ilvl w:val="0"/>
          <w:numId w:val="15"/>
        </w:numPr>
        <w:spacing w:after="200" w:line="276" w:lineRule="auto"/>
        <w:ind w:left="0" w:firstLine="0"/>
        <w:rPr>
          <w:lang w:val="en-US"/>
        </w:rPr>
      </w:pPr>
      <w:r w:rsidRPr="0038045B">
        <w:rPr>
          <w:lang w:val="en-US"/>
        </w:rPr>
        <w:t xml:space="preserve">Reliable </w:t>
      </w:r>
      <w:r w:rsidR="00872F25" w:rsidRPr="0038045B">
        <w:rPr>
          <w:lang w:val="en-US"/>
        </w:rPr>
        <w:t>financial</w:t>
      </w:r>
      <w:r w:rsidRPr="0038045B">
        <w:rPr>
          <w:lang w:val="en-US"/>
        </w:rPr>
        <w:t xml:space="preserve">, communications, and other types of infrastructure are widely recognized as critical </w:t>
      </w:r>
      <w:r w:rsidRPr="0038045B">
        <w:rPr>
          <w:bCs/>
          <w:lang w:val="en-US"/>
        </w:rPr>
        <w:t>to</w:t>
      </w:r>
      <w:r w:rsidRPr="0038045B">
        <w:rPr>
          <w:lang w:val="en-US"/>
        </w:rPr>
        <w:t xml:space="preserve"> the provision of efficient and cost-effective payment services</w:t>
      </w:r>
      <w:r w:rsidR="00872F25" w:rsidRPr="0038045B">
        <w:rPr>
          <w:lang w:val="en-US"/>
        </w:rPr>
        <w:t xml:space="preserve">, and in this sense are </w:t>
      </w:r>
      <w:r w:rsidRPr="0038045B">
        <w:rPr>
          <w:lang w:val="en-US"/>
        </w:rPr>
        <w:t xml:space="preserve">a fundamental foundation for financial access and inclusion. </w:t>
      </w:r>
      <w:r w:rsidR="001146E5" w:rsidRPr="0038045B">
        <w:rPr>
          <w:lang w:val="en-US"/>
        </w:rPr>
        <w:t xml:space="preserve">Section 3 of this report </w:t>
      </w:r>
      <w:r w:rsidRPr="0038045B">
        <w:rPr>
          <w:lang w:val="en-US"/>
        </w:rPr>
        <w:t xml:space="preserve">focuses on the core payments and </w:t>
      </w:r>
      <w:r w:rsidR="003B768E" w:rsidRPr="0038045B">
        <w:rPr>
          <w:lang w:val="en-US"/>
        </w:rPr>
        <w:t xml:space="preserve">other </w:t>
      </w:r>
      <w:r w:rsidR="0011753D" w:rsidRPr="0038045B">
        <w:rPr>
          <w:lang w:val="en-US"/>
        </w:rPr>
        <w:t xml:space="preserve">basic </w:t>
      </w:r>
      <w:r w:rsidR="00E3460B" w:rsidRPr="0038045B">
        <w:rPr>
          <w:lang w:val="en-US"/>
        </w:rPr>
        <w:t xml:space="preserve">financial, ID and ICT </w:t>
      </w:r>
      <w:r w:rsidRPr="0038045B">
        <w:rPr>
          <w:lang w:val="en-US"/>
        </w:rPr>
        <w:t>infrastructures that provide th</w:t>
      </w:r>
      <w:r w:rsidR="0011753D" w:rsidRPr="0038045B">
        <w:rPr>
          <w:lang w:val="en-US"/>
        </w:rPr>
        <w:t>is</w:t>
      </w:r>
      <w:r w:rsidRPr="0038045B">
        <w:rPr>
          <w:lang w:val="en-US"/>
        </w:rPr>
        <w:t xml:space="preserve"> foundation. Service point and access channel networks (e</w:t>
      </w:r>
      <w:r w:rsidR="00FF02B8" w:rsidRPr="0038045B">
        <w:rPr>
          <w:lang w:val="en-US"/>
        </w:rPr>
        <w:t>.</w:t>
      </w:r>
      <w:r w:rsidRPr="0038045B">
        <w:rPr>
          <w:lang w:val="en-US"/>
        </w:rPr>
        <w:t>g</w:t>
      </w:r>
      <w:r w:rsidR="00FF02B8" w:rsidRPr="0038045B">
        <w:rPr>
          <w:lang w:val="en-US"/>
        </w:rPr>
        <w:t>.</w:t>
      </w:r>
      <w:r w:rsidRPr="0038045B">
        <w:rPr>
          <w:lang w:val="en-US"/>
        </w:rPr>
        <w:t xml:space="preserve"> branches, third-party agents and ATMs) are discussed separately </w:t>
      </w:r>
      <w:r w:rsidR="0011753D" w:rsidRPr="0038045B">
        <w:rPr>
          <w:lang w:val="en-US"/>
        </w:rPr>
        <w:t>in</w:t>
      </w:r>
      <w:r w:rsidR="00A97350" w:rsidRPr="0038045B">
        <w:rPr>
          <w:lang w:val="en-US"/>
        </w:rPr>
        <w:t xml:space="preserve"> section</w:t>
      </w:r>
      <w:r w:rsidR="0011753D" w:rsidRPr="0038045B">
        <w:rPr>
          <w:lang w:val="en-US"/>
        </w:rPr>
        <w:t xml:space="preserve"> </w:t>
      </w:r>
      <w:r w:rsidR="00A97350" w:rsidRPr="0038045B">
        <w:rPr>
          <w:lang w:val="en-US"/>
        </w:rPr>
        <w:fldChar w:fldCharType="begin"/>
      </w:r>
      <w:r w:rsidR="00A97350" w:rsidRPr="0038045B">
        <w:rPr>
          <w:lang w:val="en-US"/>
        </w:rPr>
        <w:instrText xml:space="preserve"> REF _Ref441571412 \r \h </w:instrText>
      </w:r>
      <w:r w:rsidR="0038045B">
        <w:rPr>
          <w:lang w:val="en-US"/>
        </w:rPr>
        <w:instrText xml:space="preserve"> \* MERGEFORMAT </w:instrText>
      </w:r>
      <w:r w:rsidR="00A97350" w:rsidRPr="0038045B">
        <w:rPr>
          <w:lang w:val="en-US"/>
        </w:rPr>
      </w:r>
      <w:r w:rsidR="00A97350" w:rsidRPr="0038045B">
        <w:rPr>
          <w:lang w:val="en-US"/>
        </w:rPr>
        <w:fldChar w:fldCharType="separate"/>
      </w:r>
      <w:r w:rsidR="005032F9">
        <w:rPr>
          <w:lang w:val="en-US"/>
        </w:rPr>
        <w:t>4.2</w:t>
      </w:r>
      <w:r w:rsidR="00A97350" w:rsidRPr="0038045B">
        <w:rPr>
          <w:lang w:val="en-US"/>
        </w:rPr>
        <w:fldChar w:fldCharType="end"/>
      </w:r>
      <w:r w:rsidRPr="0038045B">
        <w:rPr>
          <w:lang w:val="en-US"/>
        </w:rPr>
        <w:t>.</w:t>
      </w:r>
    </w:p>
    <w:p w14:paraId="09768CF8" w14:textId="77777777" w:rsidR="00AC3B38" w:rsidRPr="0038045B" w:rsidRDefault="00CC6B66" w:rsidP="00E346FA">
      <w:pPr>
        <w:pStyle w:val="Heading3"/>
        <w:spacing w:before="480" w:after="240"/>
        <w:rPr>
          <w:b w:val="0"/>
          <w:i/>
        </w:rPr>
      </w:pPr>
      <w:bookmarkStart w:id="73" w:name="_Toc476239717"/>
      <w:r w:rsidRPr="0038045B">
        <w:rPr>
          <w:b w:val="0"/>
          <w:i/>
        </w:rPr>
        <w:t xml:space="preserve">The Albanian </w:t>
      </w:r>
      <w:r w:rsidR="00AC3B38" w:rsidRPr="0038045B">
        <w:rPr>
          <w:b w:val="0"/>
          <w:i/>
        </w:rPr>
        <w:t>National Payments System</w:t>
      </w:r>
      <w:r w:rsidR="008D6B9F" w:rsidRPr="0038045B">
        <w:rPr>
          <w:b w:val="0"/>
          <w:i/>
        </w:rPr>
        <w:t xml:space="preserve"> and its core payment infrastructures</w:t>
      </w:r>
      <w:r w:rsidR="003C525F" w:rsidRPr="0038045B">
        <w:rPr>
          <w:rStyle w:val="FootnoteReference"/>
          <w:b w:val="0"/>
          <w:i/>
        </w:rPr>
        <w:footnoteReference w:id="40"/>
      </w:r>
      <w:bookmarkEnd w:id="73"/>
    </w:p>
    <w:p w14:paraId="240AC1F7" w14:textId="77777777" w:rsidR="00FA59C7" w:rsidRPr="0038045B" w:rsidRDefault="00BE1F9B" w:rsidP="00C80F30">
      <w:pPr>
        <w:pStyle w:val="Body"/>
        <w:numPr>
          <w:ilvl w:val="0"/>
          <w:numId w:val="15"/>
        </w:numPr>
        <w:spacing w:after="200" w:line="276" w:lineRule="auto"/>
        <w:ind w:left="0" w:firstLine="0"/>
        <w:rPr>
          <w:lang w:val="en-US"/>
        </w:rPr>
      </w:pPr>
      <w:r w:rsidRPr="0038045B">
        <w:rPr>
          <w:lang w:val="en-US"/>
        </w:rPr>
        <w:t>Bank of Albania i</w:t>
      </w:r>
      <w:r w:rsidR="00C8254E" w:rsidRPr="0038045B">
        <w:rPr>
          <w:lang w:val="en-US"/>
        </w:rPr>
        <w:t>s at the apex of the b</w:t>
      </w:r>
      <w:r w:rsidRPr="0038045B">
        <w:rPr>
          <w:lang w:val="en-US"/>
        </w:rPr>
        <w:t xml:space="preserve">anking industry and the payments </w:t>
      </w:r>
      <w:r w:rsidR="00C8254E" w:rsidRPr="0038045B">
        <w:rPr>
          <w:lang w:val="en-US"/>
        </w:rPr>
        <w:t xml:space="preserve">system. The </w:t>
      </w:r>
      <w:r w:rsidR="008D41E4" w:rsidRPr="0038045B">
        <w:rPr>
          <w:lang w:val="en-US"/>
        </w:rPr>
        <w:t xml:space="preserve">BoA </w:t>
      </w:r>
      <w:r w:rsidR="00495692" w:rsidRPr="0038045B">
        <w:rPr>
          <w:lang w:val="en-US"/>
        </w:rPr>
        <w:t xml:space="preserve">is the </w:t>
      </w:r>
      <w:r w:rsidR="00DA69BA" w:rsidRPr="0038045B">
        <w:rPr>
          <w:lang w:val="en-US"/>
        </w:rPr>
        <w:t xml:space="preserve">key </w:t>
      </w:r>
      <w:r w:rsidR="00B30F20" w:rsidRPr="0038045B">
        <w:rPr>
          <w:lang w:val="en-US"/>
        </w:rPr>
        <w:t xml:space="preserve">player </w:t>
      </w:r>
      <w:r w:rsidR="00DA69BA" w:rsidRPr="0038045B">
        <w:rPr>
          <w:lang w:val="en-US"/>
        </w:rPr>
        <w:t xml:space="preserve">in </w:t>
      </w:r>
      <w:r w:rsidR="008D41E4" w:rsidRPr="0038045B">
        <w:rPr>
          <w:lang w:val="en-US"/>
        </w:rPr>
        <w:t xml:space="preserve">both the clearing and </w:t>
      </w:r>
      <w:r w:rsidR="00DA69BA" w:rsidRPr="0038045B">
        <w:rPr>
          <w:lang w:val="en-US"/>
        </w:rPr>
        <w:t>settlement layer</w:t>
      </w:r>
      <w:r w:rsidR="008D41E4" w:rsidRPr="0038045B">
        <w:rPr>
          <w:lang w:val="en-US"/>
        </w:rPr>
        <w:t>s</w:t>
      </w:r>
      <w:r w:rsidR="00DA69BA" w:rsidRPr="0038045B">
        <w:rPr>
          <w:lang w:val="en-US"/>
        </w:rPr>
        <w:t xml:space="preserve"> of the NPS through the operation</w:t>
      </w:r>
      <w:r w:rsidRPr="0038045B">
        <w:rPr>
          <w:lang w:val="en-US"/>
        </w:rPr>
        <w:t>, regulation and oversight</w:t>
      </w:r>
      <w:r w:rsidR="00DA69BA" w:rsidRPr="0038045B">
        <w:rPr>
          <w:lang w:val="en-US"/>
        </w:rPr>
        <w:t xml:space="preserve"> </w:t>
      </w:r>
      <w:r w:rsidR="00495692" w:rsidRPr="0038045B">
        <w:rPr>
          <w:lang w:val="en-US"/>
        </w:rPr>
        <w:t xml:space="preserve">of </w:t>
      </w:r>
      <w:r w:rsidR="00CF4BBC" w:rsidRPr="0038045B">
        <w:rPr>
          <w:lang w:val="en-US"/>
        </w:rPr>
        <w:t xml:space="preserve">a </w:t>
      </w:r>
      <w:r w:rsidR="00495692" w:rsidRPr="0038045B">
        <w:rPr>
          <w:lang w:val="en-US"/>
        </w:rPr>
        <w:t>real time gross settlement (RTGS) system</w:t>
      </w:r>
      <w:r w:rsidR="00CF4BBC" w:rsidRPr="0038045B">
        <w:rPr>
          <w:lang w:val="en-US"/>
        </w:rPr>
        <w:t xml:space="preserve"> and an </w:t>
      </w:r>
      <w:r w:rsidR="008D41E4" w:rsidRPr="0038045B">
        <w:rPr>
          <w:lang w:val="en-US"/>
        </w:rPr>
        <w:t xml:space="preserve">automated clearing house </w:t>
      </w:r>
      <w:r w:rsidR="008C654E" w:rsidRPr="0038045B">
        <w:rPr>
          <w:lang w:val="en-US"/>
        </w:rPr>
        <w:t xml:space="preserve">currently processing </w:t>
      </w:r>
      <w:r w:rsidR="008D41E4" w:rsidRPr="0038045B">
        <w:rPr>
          <w:lang w:val="en-US"/>
        </w:rPr>
        <w:t>credit transfers</w:t>
      </w:r>
      <w:r w:rsidR="008C654E" w:rsidRPr="0038045B">
        <w:rPr>
          <w:lang w:val="en-US"/>
        </w:rPr>
        <w:t xml:space="preserve"> only</w:t>
      </w:r>
      <w:r w:rsidR="00495692" w:rsidRPr="0038045B">
        <w:rPr>
          <w:lang w:val="en-US"/>
        </w:rPr>
        <w:t>.</w:t>
      </w:r>
      <w:r w:rsidR="00CF4BBC" w:rsidRPr="0038045B">
        <w:rPr>
          <w:rStyle w:val="FootnoteReference"/>
          <w:lang w:val="en-US"/>
        </w:rPr>
        <w:footnoteReference w:id="41"/>
      </w:r>
      <w:r w:rsidR="00C8254E" w:rsidRPr="0038045B">
        <w:rPr>
          <w:lang w:val="en-US"/>
        </w:rPr>
        <w:t xml:space="preserve"> </w:t>
      </w:r>
    </w:p>
    <w:p w14:paraId="4BBFD93A" w14:textId="77777777" w:rsidR="002F4FDB" w:rsidRPr="0038045B" w:rsidRDefault="002F4FDB" w:rsidP="00E84ADE">
      <w:pPr>
        <w:pStyle w:val="Body"/>
        <w:numPr>
          <w:ilvl w:val="0"/>
          <w:numId w:val="15"/>
        </w:numPr>
        <w:spacing w:after="200" w:line="276" w:lineRule="auto"/>
        <w:ind w:left="0" w:firstLine="0"/>
        <w:rPr>
          <w:lang w:val="en-US"/>
        </w:rPr>
      </w:pPr>
      <w:r w:rsidRPr="0038045B">
        <w:rPr>
          <w:lang w:val="en-US"/>
        </w:rPr>
        <w:t xml:space="preserve">Other relevant participants in the NPS include banks, </w:t>
      </w:r>
      <w:r w:rsidR="009E2A44" w:rsidRPr="0038045B">
        <w:rPr>
          <w:lang w:val="en-US"/>
        </w:rPr>
        <w:t xml:space="preserve">nine </w:t>
      </w:r>
      <w:r w:rsidR="00E84ADE" w:rsidRPr="0038045B">
        <w:rPr>
          <w:lang w:val="en-US"/>
        </w:rPr>
        <w:t xml:space="preserve">NBFIs </w:t>
      </w:r>
      <w:r w:rsidRPr="0038045B">
        <w:rPr>
          <w:lang w:val="en-US"/>
        </w:rPr>
        <w:t xml:space="preserve">licensed </w:t>
      </w:r>
      <w:r w:rsidR="00E84ADE" w:rsidRPr="0038045B">
        <w:rPr>
          <w:lang w:val="en-US"/>
        </w:rPr>
        <w:t>to provide payment services</w:t>
      </w:r>
      <w:r w:rsidRPr="0038045B">
        <w:rPr>
          <w:lang w:val="en-US"/>
        </w:rPr>
        <w:t xml:space="preserve">, and some other </w:t>
      </w:r>
      <w:r w:rsidR="00E84ADE" w:rsidRPr="0038045B">
        <w:rPr>
          <w:lang w:val="en-US"/>
        </w:rPr>
        <w:t>providers</w:t>
      </w:r>
      <w:r w:rsidRPr="0038045B">
        <w:rPr>
          <w:lang w:val="en-US"/>
        </w:rPr>
        <w:t xml:space="preserve"> focusing on back-end payment functions. As discussed in Section 2, </w:t>
      </w:r>
      <w:r w:rsidR="00E84ADE" w:rsidRPr="0038045B">
        <w:rPr>
          <w:lang w:val="en-US"/>
        </w:rPr>
        <w:t xml:space="preserve">of </w:t>
      </w:r>
      <w:r w:rsidRPr="0038045B">
        <w:rPr>
          <w:lang w:val="en-US"/>
        </w:rPr>
        <w:t xml:space="preserve">the </w:t>
      </w:r>
      <w:r w:rsidR="009E2A44" w:rsidRPr="0038045B">
        <w:rPr>
          <w:lang w:val="en-US"/>
        </w:rPr>
        <w:t>nine</w:t>
      </w:r>
      <w:r w:rsidRPr="0038045B">
        <w:rPr>
          <w:lang w:val="en-US"/>
        </w:rPr>
        <w:t xml:space="preserve"> </w:t>
      </w:r>
      <w:r w:rsidR="00E84ADE" w:rsidRPr="0038045B">
        <w:rPr>
          <w:lang w:val="en-US"/>
        </w:rPr>
        <w:t>NBFIs</w:t>
      </w:r>
      <w:r w:rsidRPr="0038045B">
        <w:rPr>
          <w:lang w:val="en-US"/>
        </w:rPr>
        <w:t xml:space="preserve"> </w:t>
      </w:r>
      <w:r w:rsidR="00E84ADE" w:rsidRPr="0038045B">
        <w:rPr>
          <w:lang w:val="en-US"/>
        </w:rPr>
        <w:t xml:space="preserve">that are licensed provide payment services, </w:t>
      </w:r>
      <w:r w:rsidR="009E2A44" w:rsidRPr="0038045B">
        <w:rPr>
          <w:lang w:val="en-US"/>
        </w:rPr>
        <w:t xml:space="preserve">five </w:t>
      </w:r>
      <w:r w:rsidR="00E84ADE" w:rsidRPr="0038045B">
        <w:rPr>
          <w:lang w:val="en-US"/>
        </w:rPr>
        <w:t xml:space="preserve">are involved in the provision of domestic payment </w:t>
      </w:r>
      <w:r w:rsidR="007F7360" w:rsidRPr="0038045B">
        <w:rPr>
          <w:lang w:val="en-US"/>
        </w:rPr>
        <w:t>services (</w:t>
      </w:r>
      <w:r w:rsidR="00EF7EB3" w:rsidRPr="0038045B">
        <w:rPr>
          <w:lang w:val="en-US"/>
        </w:rPr>
        <w:t>Albania Post</w:t>
      </w:r>
      <w:r w:rsidR="007F7360" w:rsidRPr="0038045B">
        <w:rPr>
          <w:lang w:val="en-US"/>
        </w:rPr>
        <w:t>, Easy</w:t>
      </w:r>
      <w:r w:rsidR="00E84ADE" w:rsidRPr="0038045B">
        <w:rPr>
          <w:lang w:val="en-US"/>
        </w:rPr>
        <w:t>Pay, M-Pay</w:t>
      </w:r>
      <w:r w:rsidR="009E2A44" w:rsidRPr="0038045B">
        <w:rPr>
          <w:lang w:val="en-US"/>
        </w:rPr>
        <w:t>, Kastrati shpk</w:t>
      </w:r>
      <w:r w:rsidR="00E84ADE" w:rsidRPr="0038045B">
        <w:rPr>
          <w:lang w:val="en-US"/>
        </w:rPr>
        <w:t xml:space="preserve"> and Pay &amp; Go), </w:t>
      </w:r>
      <w:r w:rsidRPr="0038045B">
        <w:rPr>
          <w:lang w:val="en-US"/>
        </w:rPr>
        <w:t xml:space="preserve">two </w:t>
      </w:r>
      <w:r w:rsidR="00E84ADE" w:rsidRPr="0038045B">
        <w:rPr>
          <w:lang w:val="en-US"/>
        </w:rPr>
        <w:t xml:space="preserve">provide </w:t>
      </w:r>
      <w:r w:rsidRPr="0038045B">
        <w:rPr>
          <w:lang w:val="en-US"/>
        </w:rPr>
        <w:t xml:space="preserve">remittance </w:t>
      </w:r>
      <w:r w:rsidR="00E84ADE" w:rsidRPr="0038045B">
        <w:rPr>
          <w:lang w:val="en-US"/>
        </w:rPr>
        <w:t>transfers including international remittances</w:t>
      </w:r>
      <w:r w:rsidRPr="0038045B">
        <w:rPr>
          <w:lang w:val="en-US"/>
        </w:rPr>
        <w:t xml:space="preserve"> (Financial Union Tirana and AK Invest)</w:t>
      </w:r>
      <w:r w:rsidR="00E84ADE" w:rsidRPr="0038045B">
        <w:rPr>
          <w:lang w:val="en-US"/>
        </w:rPr>
        <w:t>,</w:t>
      </w:r>
      <w:r w:rsidRPr="0038045B">
        <w:rPr>
          <w:lang w:val="en-US"/>
        </w:rPr>
        <w:t xml:space="preserve"> and two </w:t>
      </w:r>
      <w:r w:rsidR="00E84ADE" w:rsidRPr="0038045B">
        <w:rPr>
          <w:lang w:val="en-US"/>
        </w:rPr>
        <w:t xml:space="preserve">are </w:t>
      </w:r>
      <w:r w:rsidRPr="0038045B">
        <w:rPr>
          <w:lang w:val="en-US"/>
        </w:rPr>
        <w:t xml:space="preserve">e-money </w:t>
      </w:r>
      <w:r w:rsidR="00E84ADE" w:rsidRPr="0038045B">
        <w:rPr>
          <w:lang w:val="en-US"/>
        </w:rPr>
        <w:t>issuers (</w:t>
      </w:r>
      <w:r w:rsidRPr="0038045B">
        <w:rPr>
          <w:lang w:val="en-US"/>
        </w:rPr>
        <w:t>M-</w:t>
      </w:r>
      <w:r w:rsidR="007F7360" w:rsidRPr="0038045B">
        <w:rPr>
          <w:lang w:val="en-US"/>
        </w:rPr>
        <w:lastRenderedPageBreak/>
        <w:t>Pesa/Vodafone and Easy</w:t>
      </w:r>
      <w:r w:rsidRPr="0038045B">
        <w:rPr>
          <w:lang w:val="en-US"/>
        </w:rPr>
        <w:t>Pay</w:t>
      </w:r>
      <w:r w:rsidR="00E84ADE" w:rsidRPr="0038045B">
        <w:rPr>
          <w:lang w:val="en-US"/>
        </w:rPr>
        <w:t xml:space="preserve"> with a separate license for issuing e-money</w:t>
      </w:r>
      <w:r w:rsidRPr="0038045B">
        <w:rPr>
          <w:lang w:val="en-US"/>
        </w:rPr>
        <w:t>).</w:t>
      </w:r>
    </w:p>
    <w:p w14:paraId="19FD5E43" w14:textId="77777777" w:rsidR="00FA59C7" w:rsidRPr="0038045B" w:rsidRDefault="00641AA2" w:rsidP="005A4EDB">
      <w:pPr>
        <w:pStyle w:val="Body"/>
        <w:numPr>
          <w:ilvl w:val="0"/>
          <w:numId w:val="15"/>
        </w:numPr>
        <w:spacing w:after="200" w:line="276" w:lineRule="auto"/>
        <w:ind w:left="0" w:firstLine="0"/>
        <w:rPr>
          <w:lang w:val="en-US"/>
        </w:rPr>
      </w:pPr>
      <w:r w:rsidRPr="0038045B">
        <w:rPr>
          <w:lang w:val="en-US"/>
        </w:rPr>
        <w:t>T</w:t>
      </w:r>
      <w:r w:rsidR="00FA59C7" w:rsidRPr="0038045B">
        <w:rPr>
          <w:lang w:val="en-US"/>
        </w:rPr>
        <w:t>he National Payment</w:t>
      </w:r>
      <w:r w:rsidRPr="0038045B">
        <w:rPr>
          <w:lang w:val="en-US"/>
        </w:rPr>
        <w:t xml:space="preserve"> Systems</w:t>
      </w:r>
      <w:r w:rsidR="00FA59C7" w:rsidRPr="0038045B">
        <w:rPr>
          <w:lang w:val="en-US"/>
        </w:rPr>
        <w:t xml:space="preserve"> Committee </w:t>
      </w:r>
      <w:r w:rsidRPr="0038045B">
        <w:rPr>
          <w:lang w:val="en-US"/>
        </w:rPr>
        <w:t xml:space="preserve">of Albania </w:t>
      </w:r>
      <w:r w:rsidR="00FA59C7" w:rsidRPr="0038045B">
        <w:rPr>
          <w:lang w:val="en-US"/>
        </w:rPr>
        <w:t>(NP</w:t>
      </w:r>
      <w:r w:rsidRPr="0038045B">
        <w:rPr>
          <w:lang w:val="en-US"/>
        </w:rPr>
        <w:t>S</w:t>
      </w:r>
      <w:r w:rsidR="00FA59C7" w:rsidRPr="0038045B">
        <w:rPr>
          <w:lang w:val="en-US"/>
        </w:rPr>
        <w:t>C)</w:t>
      </w:r>
      <w:r w:rsidRPr="0038045B">
        <w:rPr>
          <w:lang w:val="en-US"/>
        </w:rPr>
        <w:t xml:space="preserve"> was established recently and has had two meetings to date. The purpose of the NPSC is to support and contribute to increasing the security, stability and efficiency of the national payment system in Albania. </w:t>
      </w:r>
      <w:r w:rsidR="00D42F91" w:rsidRPr="0038045B">
        <w:rPr>
          <w:lang w:val="en-US"/>
        </w:rPr>
        <w:t xml:space="preserve">The NPSC does not have juristic personality, and its decisions are not binding for participating members. </w:t>
      </w:r>
      <w:r w:rsidRPr="0038045B">
        <w:rPr>
          <w:lang w:val="en-US"/>
        </w:rPr>
        <w:t>The NPSC is chaired by the First Deputy Governor of the BoA, while the Head of the Payment Systems, Accounting and Finance Department of the BoA is the Vice Chair. Me</w:t>
      </w:r>
      <w:r w:rsidR="007A3248" w:rsidRPr="0038045B">
        <w:rPr>
          <w:lang w:val="en-US"/>
        </w:rPr>
        <w:t xml:space="preserve">mbers include: </w:t>
      </w:r>
      <w:r w:rsidRPr="0038045B">
        <w:rPr>
          <w:lang w:val="en-US"/>
        </w:rPr>
        <w:t>a representative from the Governor's Office of the B</w:t>
      </w:r>
      <w:r w:rsidR="007A3248" w:rsidRPr="0038045B">
        <w:rPr>
          <w:lang w:val="en-US"/>
        </w:rPr>
        <w:t xml:space="preserve">oA; the </w:t>
      </w:r>
      <w:r w:rsidRPr="0038045B">
        <w:rPr>
          <w:lang w:val="en-US"/>
        </w:rPr>
        <w:t>Head of the Supervision Department of the B</w:t>
      </w:r>
      <w:r w:rsidR="007A3248" w:rsidRPr="0038045B">
        <w:rPr>
          <w:lang w:val="en-US"/>
        </w:rPr>
        <w:t>oA; one executive representative f</w:t>
      </w:r>
      <w:r w:rsidR="00D42F91" w:rsidRPr="0038045B">
        <w:rPr>
          <w:lang w:val="en-US"/>
        </w:rPr>
        <w:t>rom</w:t>
      </w:r>
      <w:r w:rsidR="007A3248" w:rsidRPr="0038045B">
        <w:rPr>
          <w:lang w:val="en-US"/>
        </w:rPr>
        <w:t xml:space="preserve"> each of the following ministries: </w:t>
      </w:r>
      <w:r w:rsidRPr="0038045B">
        <w:rPr>
          <w:lang w:val="en-US"/>
        </w:rPr>
        <w:t>Ministry of Finance, Ministry of Economic Development, Trade and Entrepreneurship, Ministry of Innovation and Publ</w:t>
      </w:r>
      <w:r w:rsidR="007A3248" w:rsidRPr="0038045B">
        <w:rPr>
          <w:lang w:val="en-US"/>
        </w:rPr>
        <w:t xml:space="preserve">ic Administration, and </w:t>
      </w:r>
      <w:r w:rsidRPr="0038045B">
        <w:rPr>
          <w:lang w:val="en-US"/>
        </w:rPr>
        <w:t>Ministry of Internal Affairs; an executive representing the Financial Stability Authority</w:t>
      </w:r>
      <w:r w:rsidR="007A3248" w:rsidRPr="0038045B">
        <w:rPr>
          <w:lang w:val="en-US"/>
        </w:rPr>
        <w:t xml:space="preserve">; the </w:t>
      </w:r>
      <w:r w:rsidRPr="0038045B">
        <w:rPr>
          <w:lang w:val="en-US"/>
        </w:rPr>
        <w:t xml:space="preserve">Chairperson of the </w:t>
      </w:r>
      <w:r w:rsidR="007A3248" w:rsidRPr="0038045B">
        <w:rPr>
          <w:lang w:val="en-US"/>
        </w:rPr>
        <w:t xml:space="preserve">Albanian </w:t>
      </w:r>
      <w:r w:rsidRPr="0038045B">
        <w:rPr>
          <w:lang w:val="en-US"/>
        </w:rPr>
        <w:t>Association of Banks</w:t>
      </w:r>
      <w:r w:rsidR="00B12A49" w:rsidRPr="0038045B">
        <w:rPr>
          <w:lang w:val="en-US"/>
        </w:rPr>
        <w:t>;</w:t>
      </w:r>
      <w:r w:rsidR="007A3248" w:rsidRPr="0038045B">
        <w:rPr>
          <w:lang w:val="en-US"/>
        </w:rPr>
        <w:t xml:space="preserve"> and</w:t>
      </w:r>
      <w:r w:rsidR="00B12A49" w:rsidRPr="0038045B">
        <w:rPr>
          <w:lang w:val="en-US"/>
        </w:rPr>
        <w:t>,</w:t>
      </w:r>
      <w:r w:rsidR="007A3248" w:rsidRPr="0038045B">
        <w:rPr>
          <w:lang w:val="en-US"/>
        </w:rPr>
        <w:t xml:space="preserve"> the C</w:t>
      </w:r>
      <w:r w:rsidRPr="0038045B">
        <w:rPr>
          <w:lang w:val="en-US"/>
        </w:rPr>
        <w:t xml:space="preserve">hairperson of the Payments Committee </w:t>
      </w:r>
      <w:r w:rsidR="00895905" w:rsidRPr="0038045B">
        <w:rPr>
          <w:lang w:val="en-US"/>
        </w:rPr>
        <w:t>of</w:t>
      </w:r>
      <w:r w:rsidRPr="0038045B">
        <w:rPr>
          <w:lang w:val="en-US"/>
        </w:rPr>
        <w:t xml:space="preserve"> the</w:t>
      </w:r>
      <w:r w:rsidR="007A3248" w:rsidRPr="0038045B">
        <w:rPr>
          <w:lang w:val="en-US"/>
        </w:rPr>
        <w:t xml:space="preserve"> Albanian</w:t>
      </w:r>
      <w:r w:rsidRPr="0038045B">
        <w:rPr>
          <w:lang w:val="en-US"/>
        </w:rPr>
        <w:t xml:space="preserve"> Association of Banks. </w:t>
      </w:r>
      <w:r w:rsidR="007A3248" w:rsidRPr="0038045B">
        <w:rPr>
          <w:lang w:val="en-US"/>
        </w:rPr>
        <w:t xml:space="preserve">Other non-voting participants include the </w:t>
      </w:r>
      <w:r w:rsidRPr="0038045B">
        <w:rPr>
          <w:lang w:val="en-US"/>
        </w:rPr>
        <w:t>Secretariat of the Committee</w:t>
      </w:r>
      <w:r w:rsidR="007A3248" w:rsidRPr="0038045B">
        <w:rPr>
          <w:lang w:val="en-US"/>
        </w:rPr>
        <w:t xml:space="preserve"> (</w:t>
      </w:r>
      <w:r w:rsidRPr="0038045B">
        <w:rPr>
          <w:lang w:val="en-US"/>
        </w:rPr>
        <w:t>consisting of at least one employee of the Payment Systems, Accounting and Finance Department and of the Legal Department at the B</w:t>
      </w:r>
      <w:r w:rsidR="007A3248" w:rsidRPr="0038045B">
        <w:rPr>
          <w:lang w:val="en-US"/>
        </w:rPr>
        <w:t xml:space="preserve">oA), and the </w:t>
      </w:r>
      <w:r w:rsidRPr="0038045B">
        <w:rPr>
          <w:lang w:val="en-US"/>
        </w:rPr>
        <w:t xml:space="preserve">Secretary General of the Albanian Association of Banks. </w:t>
      </w:r>
    </w:p>
    <w:p w14:paraId="2816022A" w14:textId="4E77ED17" w:rsidR="005B085C" w:rsidRPr="0038045B" w:rsidRDefault="00FA59C7" w:rsidP="00D742CA">
      <w:pPr>
        <w:pStyle w:val="Body"/>
        <w:numPr>
          <w:ilvl w:val="0"/>
          <w:numId w:val="15"/>
        </w:numPr>
        <w:spacing w:after="200" w:line="276" w:lineRule="auto"/>
        <w:ind w:left="0" w:firstLine="0"/>
        <w:rPr>
          <w:lang w:val="en-US"/>
        </w:rPr>
      </w:pPr>
      <w:r w:rsidRPr="0038045B">
        <w:rPr>
          <w:lang w:val="en-US"/>
        </w:rPr>
        <w:t>T</w:t>
      </w:r>
      <w:r w:rsidR="00495692" w:rsidRPr="0038045B">
        <w:rPr>
          <w:lang w:val="en-US"/>
        </w:rPr>
        <w:t>he legal foundation for the N</w:t>
      </w:r>
      <w:r w:rsidR="00851E29" w:rsidRPr="0038045B">
        <w:rPr>
          <w:lang w:val="en-US"/>
        </w:rPr>
        <w:t>PS</w:t>
      </w:r>
      <w:r w:rsidR="00495692" w:rsidRPr="0038045B">
        <w:rPr>
          <w:lang w:val="en-US"/>
        </w:rPr>
        <w:t xml:space="preserve"> is derived from the </w:t>
      </w:r>
      <w:r w:rsidR="00CF6F37" w:rsidRPr="0038045B">
        <w:rPr>
          <w:lang w:val="en-US"/>
        </w:rPr>
        <w:t>Law on the Bank of Albania from 1997, the Law on Payment System from 20</w:t>
      </w:r>
      <w:r w:rsidR="007F079D" w:rsidRPr="0038045B">
        <w:rPr>
          <w:lang w:val="en-US"/>
        </w:rPr>
        <w:t>1</w:t>
      </w:r>
      <w:r w:rsidR="00CF6F37" w:rsidRPr="0038045B">
        <w:rPr>
          <w:lang w:val="en-US"/>
        </w:rPr>
        <w:t xml:space="preserve">3, and to a lesser extent also the Law </w:t>
      </w:r>
      <w:r w:rsidR="00D42F91" w:rsidRPr="0038045B">
        <w:rPr>
          <w:lang w:val="en-US"/>
        </w:rPr>
        <w:t>o</w:t>
      </w:r>
      <w:r w:rsidR="00CF6F37" w:rsidRPr="0038045B">
        <w:rPr>
          <w:lang w:val="en-US"/>
        </w:rPr>
        <w:t>n Banks in the Republic of Albania</w:t>
      </w:r>
      <w:r w:rsidRPr="0038045B">
        <w:rPr>
          <w:lang w:val="en-US"/>
        </w:rPr>
        <w:t>, as already discussed in Section 3.2</w:t>
      </w:r>
      <w:r w:rsidR="00CF6F37" w:rsidRPr="0038045B">
        <w:rPr>
          <w:lang w:val="en-US"/>
        </w:rPr>
        <w:t xml:space="preserve">. </w:t>
      </w:r>
    </w:p>
    <w:p w14:paraId="6F5DC638" w14:textId="77777777" w:rsidR="00CF0976" w:rsidRPr="0038045B" w:rsidRDefault="00CF6F37" w:rsidP="00D742CA">
      <w:pPr>
        <w:pStyle w:val="Body"/>
        <w:numPr>
          <w:ilvl w:val="0"/>
          <w:numId w:val="15"/>
        </w:numPr>
        <w:spacing w:after="200" w:line="276" w:lineRule="auto"/>
        <w:ind w:left="0" w:firstLine="0"/>
        <w:rPr>
          <w:lang w:val="en-US"/>
        </w:rPr>
      </w:pPr>
      <w:r w:rsidRPr="0038045B">
        <w:rPr>
          <w:lang w:val="en-US"/>
        </w:rPr>
        <w:t xml:space="preserve">The first two laws clearly </w:t>
      </w:r>
      <w:r w:rsidR="005E2102" w:rsidRPr="0038045B">
        <w:rPr>
          <w:lang w:val="en-US"/>
        </w:rPr>
        <w:t>empower</w:t>
      </w:r>
      <w:r w:rsidRPr="0038045B">
        <w:rPr>
          <w:lang w:val="en-US"/>
        </w:rPr>
        <w:t xml:space="preserve"> the BoA as the regulator and </w:t>
      </w:r>
      <w:r w:rsidR="005E2102" w:rsidRPr="0038045B">
        <w:rPr>
          <w:lang w:val="en-US"/>
        </w:rPr>
        <w:t xml:space="preserve">overseer of </w:t>
      </w:r>
      <w:r w:rsidRPr="0038045B">
        <w:rPr>
          <w:lang w:val="en-US"/>
        </w:rPr>
        <w:t>the NPS including payment instruments and systems (which according to the definition in the Law on Payment System include payment systems, securities settlement systems and clearing houses)</w:t>
      </w:r>
      <w:r w:rsidR="005E2102" w:rsidRPr="0038045B">
        <w:rPr>
          <w:lang w:val="en-US"/>
        </w:rPr>
        <w:t xml:space="preserve">. In this context, </w:t>
      </w:r>
      <w:r w:rsidRPr="0038045B">
        <w:rPr>
          <w:lang w:val="en-US"/>
        </w:rPr>
        <w:t>the BoA</w:t>
      </w:r>
      <w:r w:rsidR="005E2102" w:rsidRPr="0038045B">
        <w:rPr>
          <w:lang w:val="en-US"/>
        </w:rPr>
        <w:t xml:space="preserve"> </w:t>
      </w:r>
      <w:r w:rsidR="00495692" w:rsidRPr="0038045B">
        <w:rPr>
          <w:lang w:val="en-US"/>
        </w:rPr>
        <w:t>issue</w:t>
      </w:r>
      <w:r w:rsidR="005E2102" w:rsidRPr="0038045B">
        <w:rPr>
          <w:lang w:val="en-US"/>
        </w:rPr>
        <w:t>s</w:t>
      </w:r>
      <w:r w:rsidR="00495692" w:rsidRPr="0038045B">
        <w:rPr>
          <w:lang w:val="en-US"/>
        </w:rPr>
        <w:t xml:space="preserve"> </w:t>
      </w:r>
      <w:r w:rsidRPr="0038045B">
        <w:rPr>
          <w:lang w:val="en-US"/>
        </w:rPr>
        <w:t xml:space="preserve">regulations, </w:t>
      </w:r>
      <w:r w:rsidR="00ED4FD8" w:rsidRPr="0038045B">
        <w:rPr>
          <w:lang w:val="en-US"/>
        </w:rPr>
        <w:t xml:space="preserve">decisions, </w:t>
      </w:r>
      <w:r w:rsidR="00851E29" w:rsidRPr="0038045B">
        <w:rPr>
          <w:lang w:val="en-US"/>
        </w:rPr>
        <w:t>operational rules</w:t>
      </w:r>
      <w:r w:rsidR="00ED4FD8" w:rsidRPr="0038045B">
        <w:rPr>
          <w:lang w:val="en-US"/>
        </w:rPr>
        <w:t>, standards</w:t>
      </w:r>
      <w:r w:rsidR="00851E29" w:rsidRPr="0038045B">
        <w:rPr>
          <w:lang w:val="en-US"/>
        </w:rPr>
        <w:t xml:space="preserve"> and </w:t>
      </w:r>
      <w:r w:rsidR="00495692" w:rsidRPr="0038045B">
        <w:rPr>
          <w:lang w:val="en-US"/>
        </w:rPr>
        <w:t>procedures governing the payment</w:t>
      </w:r>
      <w:r w:rsidR="00851E29" w:rsidRPr="0038045B">
        <w:rPr>
          <w:lang w:val="en-US"/>
        </w:rPr>
        <w:t>s</w:t>
      </w:r>
      <w:r w:rsidR="00495692" w:rsidRPr="0038045B">
        <w:rPr>
          <w:lang w:val="en-US"/>
        </w:rPr>
        <w:t xml:space="preserve"> system</w:t>
      </w:r>
      <w:r w:rsidRPr="0038045B">
        <w:rPr>
          <w:lang w:val="en-US"/>
        </w:rPr>
        <w:t>s</w:t>
      </w:r>
      <w:r w:rsidR="00495692" w:rsidRPr="0038045B">
        <w:rPr>
          <w:lang w:val="en-US"/>
        </w:rPr>
        <w:t xml:space="preserve"> it operates, as well the activities of various </w:t>
      </w:r>
      <w:r w:rsidR="00ED4FD8" w:rsidRPr="0038045B">
        <w:rPr>
          <w:lang w:val="en-US"/>
        </w:rPr>
        <w:t xml:space="preserve">other </w:t>
      </w:r>
      <w:r w:rsidR="00495692" w:rsidRPr="0038045B">
        <w:rPr>
          <w:lang w:val="en-US"/>
        </w:rPr>
        <w:t>NPS participants</w:t>
      </w:r>
      <w:r w:rsidR="00ED4FD8" w:rsidRPr="0038045B">
        <w:rPr>
          <w:lang w:val="en-US"/>
        </w:rPr>
        <w:t xml:space="preserve"> (e.g. operators of payment card schemes)</w:t>
      </w:r>
      <w:r w:rsidR="00495692" w:rsidRPr="0038045B">
        <w:rPr>
          <w:lang w:val="en-US"/>
        </w:rPr>
        <w:t>.</w:t>
      </w:r>
      <w:r w:rsidR="005B085C" w:rsidRPr="0038045B">
        <w:rPr>
          <w:lang w:val="en-US"/>
        </w:rPr>
        <w:t xml:space="preserve"> </w:t>
      </w:r>
      <w:r w:rsidR="00CF0976" w:rsidRPr="0038045B">
        <w:rPr>
          <w:lang w:val="en-US"/>
        </w:rPr>
        <w:t>Scope, policies and objectives of BoA’s oversight are set out in the "Oversight Policy Document for Payment and Settlement Systems", approved i</w:t>
      </w:r>
      <w:r w:rsidR="005B085C" w:rsidRPr="0038045B">
        <w:rPr>
          <w:lang w:val="en-US"/>
        </w:rPr>
        <w:t>n 2014 by Decision No. 32/2014.</w:t>
      </w:r>
      <w:r w:rsidR="005B085C" w:rsidRPr="0038045B">
        <w:rPr>
          <w:rStyle w:val="FootnoteReference"/>
          <w:lang w:val="en-US"/>
        </w:rPr>
        <w:footnoteReference w:id="42"/>
      </w:r>
    </w:p>
    <w:p w14:paraId="7B8A3EB0" w14:textId="77777777" w:rsidR="00FA59C7" w:rsidRPr="0038045B" w:rsidRDefault="00FA59C7" w:rsidP="00C80F30">
      <w:pPr>
        <w:pStyle w:val="Body"/>
        <w:numPr>
          <w:ilvl w:val="0"/>
          <w:numId w:val="15"/>
        </w:numPr>
        <w:spacing w:after="200" w:line="276" w:lineRule="auto"/>
        <w:ind w:left="0" w:firstLine="0"/>
        <w:rPr>
          <w:szCs w:val="24"/>
          <w:lang w:val="en-US"/>
        </w:rPr>
      </w:pPr>
      <w:r w:rsidRPr="0038045B">
        <w:rPr>
          <w:szCs w:val="24"/>
          <w:lang w:val="en-US"/>
        </w:rPr>
        <w:t>The Law on the Bank of Albania (article 14) states that only licensed banks may open accounts and hold deposits at the BoA. In the same vein, article 15 prescribes that BoA can only provide credit (and similar) to licensed banks. In practice, these provisions limit the ability of licensed NBFIs and other financial institutions to become direct participants of the payment systems operated by the BoA</w:t>
      </w:r>
      <w:r w:rsidR="005B3766" w:rsidRPr="0038045B">
        <w:rPr>
          <w:szCs w:val="24"/>
          <w:lang w:val="en-US"/>
        </w:rPr>
        <w:t xml:space="preserve"> (see below)</w:t>
      </w:r>
      <w:r w:rsidRPr="0038045B">
        <w:rPr>
          <w:szCs w:val="24"/>
          <w:lang w:val="en-US"/>
        </w:rPr>
        <w:t>.</w:t>
      </w:r>
    </w:p>
    <w:p w14:paraId="0193D8F5" w14:textId="77777777" w:rsidR="00CA68E1" w:rsidRPr="0038045B" w:rsidRDefault="00FA59C7" w:rsidP="00C80F30">
      <w:pPr>
        <w:pStyle w:val="Body"/>
        <w:numPr>
          <w:ilvl w:val="0"/>
          <w:numId w:val="15"/>
        </w:numPr>
        <w:spacing w:after="200" w:line="276" w:lineRule="auto"/>
        <w:ind w:left="0" w:firstLine="0"/>
        <w:rPr>
          <w:lang w:val="en-US"/>
        </w:rPr>
      </w:pPr>
      <w:r w:rsidRPr="0038045B">
        <w:rPr>
          <w:lang w:val="en-US"/>
        </w:rPr>
        <w:t xml:space="preserve">From an infrastructure perspective, the </w:t>
      </w:r>
      <w:r w:rsidR="005D353C" w:rsidRPr="0038045B">
        <w:rPr>
          <w:lang w:val="en-US"/>
        </w:rPr>
        <w:t xml:space="preserve">backbone </w:t>
      </w:r>
      <w:r w:rsidRPr="0038045B">
        <w:rPr>
          <w:lang w:val="en-US"/>
        </w:rPr>
        <w:t xml:space="preserve">of the Albanian settlement system </w:t>
      </w:r>
      <w:r w:rsidRPr="0038045B">
        <w:rPr>
          <w:lang w:val="en-US"/>
        </w:rPr>
        <w:lastRenderedPageBreak/>
        <w:t xml:space="preserve">is the Albanian Interbank Payments System (AIPS). AIPS, owned and operated by the BoA, is an RTGS system, constitutes the </w:t>
      </w:r>
      <w:r w:rsidR="005D353C" w:rsidRPr="0038045B">
        <w:rPr>
          <w:lang w:val="en-US"/>
        </w:rPr>
        <w:t xml:space="preserve">sole </w:t>
      </w:r>
      <w:r w:rsidRPr="0038045B">
        <w:rPr>
          <w:lang w:val="en-US"/>
        </w:rPr>
        <w:t>system for settling large value interbank payments</w:t>
      </w:r>
      <w:r w:rsidR="005D353C" w:rsidRPr="0038045B">
        <w:rPr>
          <w:lang w:val="en-US"/>
        </w:rPr>
        <w:t xml:space="preserve"> in ALL</w:t>
      </w:r>
      <w:r w:rsidRPr="0038045B">
        <w:rPr>
          <w:lang w:val="en-US"/>
        </w:rPr>
        <w:t xml:space="preserve">, as well as the final settlement of </w:t>
      </w:r>
      <w:r w:rsidR="005D353C" w:rsidRPr="0038045B">
        <w:rPr>
          <w:lang w:val="en-US"/>
        </w:rPr>
        <w:t xml:space="preserve">ALL-denominated </w:t>
      </w:r>
      <w:r w:rsidRPr="0038045B">
        <w:rPr>
          <w:lang w:val="en-US"/>
        </w:rPr>
        <w:t>obligations stemming from other payment systems and clearinghouses</w:t>
      </w:r>
      <w:r w:rsidR="00CA68E1" w:rsidRPr="0038045B">
        <w:rPr>
          <w:lang w:val="en-US"/>
        </w:rPr>
        <w:t>.</w:t>
      </w:r>
      <w:r w:rsidR="00BD38A0" w:rsidRPr="0038045B">
        <w:rPr>
          <w:lang w:val="en-US"/>
        </w:rPr>
        <w:t xml:space="preserve"> </w:t>
      </w:r>
      <w:r w:rsidR="00CA68E1" w:rsidRPr="0038045B">
        <w:rPr>
          <w:lang w:val="en-US"/>
        </w:rPr>
        <w:t xml:space="preserve">AIPS uses Montran Corporation’s RTGS </w:t>
      </w:r>
      <w:r w:rsidR="005D353C" w:rsidRPr="0038045B">
        <w:rPr>
          <w:lang w:val="en-US"/>
        </w:rPr>
        <w:t xml:space="preserve">solution </w:t>
      </w:r>
      <w:r w:rsidR="00BD38A0" w:rsidRPr="0038045B">
        <w:rPr>
          <w:lang w:val="en-US"/>
        </w:rPr>
        <w:t xml:space="preserve">as the central </w:t>
      </w:r>
      <w:r w:rsidR="00CA68E1" w:rsidRPr="0038045B">
        <w:rPr>
          <w:lang w:val="en-US"/>
        </w:rPr>
        <w:t xml:space="preserve">software </w:t>
      </w:r>
      <w:r w:rsidR="00BD38A0" w:rsidRPr="0038045B">
        <w:rPr>
          <w:lang w:val="en-US"/>
        </w:rPr>
        <w:t xml:space="preserve">application, </w:t>
      </w:r>
      <w:r w:rsidR="00CA68E1" w:rsidRPr="0038045B">
        <w:rPr>
          <w:lang w:val="en-US"/>
        </w:rPr>
        <w:t xml:space="preserve">and uses SWIFT messages for value messages </w:t>
      </w:r>
      <w:r w:rsidR="00C1638A" w:rsidRPr="0038045B">
        <w:rPr>
          <w:lang w:val="en-US"/>
        </w:rPr>
        <w:t xml:space="preserve">(i.e. FIN Y-Copy, using a Close Users’ Group) </w:t>
      </w:r>
      <w:r w:rsidR="00CA68E1" w:rsidRPr="0038045B">
        <w:rPr>
          <w:lang w:val="en-US"/>
        </w:rPr>
        <w:t xml:space="preserve">and a VPN for other on-line consultations to the system. The </w:t>
      </w:r>
      <w:r w:rsidR="00C1638A" w:rsidRPr="0038045B">
        <w:rPr>
          <w:lang w:val="en-US"/>
        </w:rPr>
        <w:t xml:space="preserve">Montran </w:t>
      </w:r>
      <w:r w:rsidR="00CA68E1" w:rsidRPr="0038045B">
        <w:rPr>
          <w:lang w:val="en-US"/>
        </w:rPr>
        <w:t>software was up</w:t>
      </w:r>
      <w:r w:rsidR="004538FE" w:rsidRPr="0038045B">
        <w:rPr>
          <w:lang w:val="en-US"/>
        </w:rPr>
        <w:t>graded</w:t>
      </w:r>
      <w:r w:rsidR="00CA68E1" w:rsidRPr="0038045B">
        <w:rPr>
          <w:lang w:val="en-US"/>
        </w:rPr>
        <w:t xml:space="preserve"> in </w:t>
      </w:r>
      <w:r w:rsidR="00D42F91" w:rsidRPr="0038045B">
        <w:rPr>
          <w:lang w:val="en-US"/>
        </w:rPr>
        <w:t xml:space="preserve">AIPS in </w:t>
      </w:r>
      <w:r w:rsidR="00CA68E1" w:rsidRPr="0038045B">
        <w:rPr>
          <w:lang w:val="en-US"/>
        </w:rPr>
        <w:t xml:space="preserve">2013. </w:t>
      </w:r>
    </w:p>
    <w:p w14:paraId="1FF6DB97" w14:textId="77777777" w:rsidR="00CA68E1" w:rsidRPr="0038045B" w:rsidRDefault="00CA68E1" w:rsidP="00C80F30">
      <w:pPr>
        <w:pStyle w:val="Body"/>
        <w:numPr>
          <w:ilvl w:val="0"/>
          <w:numId w:val="15"/>
        </w:numPr>
        <w:spacing w:after="200" w:line="276" w:lineRule="auto"/>
        <w:ind w:left="0" w:firstLine="0"/>
        <w:rPr>
          <w:lang w:val="en-US"/>
        </w:rPr>
      </w:pPr>
      <w:r w:rsidRPr="0038045B">
        <w:rPr>
          <w:lang w:val="en-US"/>
        </w:rPr>
        <w:t xml:space="preserve">On the basis of its legal and regulatory framework, the statistics available and the discussions held with the BoA’s payment systems operations staff, AIPS appears to be a robust </w:t>
      </w:r>
      <w:r w:rsidR="00BD38A0" w:rsidRPr="0038045B">
        <w:rPr>
          <w:lang w:val="en-US"/>
        </w:rPr>
        <w:t xml:space="preserve">and modern </w:t>
      </w:r>
      <w:r w:rsidRPr="0038045B">
        <w:rPr>
          <w:lang w:val="en-US"/>
        </w:rPr>
        <w:t>financial market infra</w:t>
      </w:r>
      <w:r w:rsidR="00BD38A0" w:rsidRPr="0038045B">
        <w:rPr>
          <w:lang w:val="en-US"/>
        </w:rPr>
        <w:t>s</w:t>
      </w:r>
      <w:r w:rsidRPr="0038045B">
        <w:rPr>
          <w:lang w:val="en-US"/>
        </w:rPr>
        <w:t>tructure</w:t>
      </w:r>
      <w:r w:rsidR="00BD38A0" w:rsidRPr="0038045B">
        <w:rPr>
          <w:lang w:val="en-US"/>
        </w:rPr>
        <w:t xml:space="preserve">, which provides the tools that the participants in the system need to carry out their payment transactions safely and efficiently. </w:t>
      </w:r>
      <w:r w:rsidR="00EC1DF1" w:rsidRPr="0038045B">
        <w:rPr>
          <w:lang w:val="en-US"/>
        </w:rPr>
        <w:t>During 2016, the system has been handling an average of 450-500 payment orders per day. The average value of a payment order is approximately ALL 57 million (i.e. USD 467,000).</w:t>
      </w:r>
      <w:r w:rsidR="00EC1DF1" w:rsidRPr="0038045B">
        <w:rPr>
          <w:rStyle w:val="FootnoteReference"/>
          <w:lang w:val="en-US"/>
        </w:rPr>
        <w:footnoteReference w:id="43"/>
      </w:r>
      <w:r w:rsidR="00EC1DF1" w:rsidRPr="0038045B">
        <w:rPr>
          <w:lang w:val="en-US"/>
        </w:rPr>
        <w:t xml:space="preserve"> </w:t>
      </w:r>
    </w:p>
    <w:p w14:paraId="5C52E641" w14:textId="77777777" w:rsidR="00CA68E1" w:rsidRPr="0038045B" w:rsidRDefault="00FA59C7" w:rsidP="00C80F30">
      <w:pPr>
        <w:pStyle w:val="Body"/>
        <w:numPr>
          <w:ilvl w:val="0"/>
          <w:numId w:val="15"/>
        </w:numPr>
        <w:spacing w:after="200" w:line="276" w:lineRule="auto"/>
        <w:ind w:left="0" w:firstLine="0"/>
        <w:rPr>
          <w:lang w:val="en-US"/>
        </w:rPr>
      </w:pPr>
      <w:r w:rsidRPr="0038045B">
        <w:rPr>
          <w:lang w:val="en-US"/>
        </w:rPr>
        <w:t xml:space="preserve">Currently there are 17 direct participants in AIPS, all of which are licensed banks plus the BoA itself. </w:t>
      </w:r>
      <w:r w:rsidR="005B3766" w:rsidRPr="0038045B">
        <w:rPr>
          <w:lang w:val="en-US"/>
        </w:rPr>
        <w:t>Article 14 of the AIPS Regulation defines direct participants as those who “conduct payments directly from their settlement account” at the BoA, and limits such direct participation in AIPS to banks and the BoA. However, regardless of this regulation, non-banks are</w:t>
      </w:r>
      <w:r w:rsidR="00D42F91" w:rsidRPr="0038045B">
        <w:rPr>
          <w:lang w:val="en-US"/>
        </w:rPr>
        <w:t>, in practice,</w:t>
      </w:r>
      <w:r w:rsidR="005B3766" w:rsidRPr="0038045B">
        <w:rPr>
          <w:lang w:val="en-US"/>
        </w:rPr>
        <w:t xml:space="preserve"> </w:t>
      </w:r>
      <w:r w:rsidR="002F4FDB" w:rsidRPr="0038045B">
        <w:rPr>
          <w:lang w:val="en-US"/>
        </w:rPr>
        <w:t>prevented</w:t>
      </w:r>
      <w:r w:rsidR="005B3766" w:rsidRPr="0038045B">
        <w:rPr>
          <w:lang w:val="en-US"/>
        </w:rPr>
        <w:t xml:space="preserve"> from becoming d</w:t>
      </w:r>
      <w:r w:rsidR="00D42F91" w:rsidRPr="0038045B">
        <w:rPr>
          <w:lang w:val="en-US"/>
        </w:rPr>
        <w:t>irect participants</w:t>
      </w:r>
      <w:r w:rsidR="00F73089" w:rsidRPr="0038045B">
        <w:rPr>
          <w:lang w:val="en-US"/>
        </w:rPr>
        <w:t xml:space="preserve"> </w:t>
      </w:r>
      <w:r w:rsidR="00D42F91" w:rsidRPr="0038045B">
        <w:rPr>
          <w:lang w:val="en-US"/>
        </w:rPr>
        <w:t>in AIPS d</w:t>
      </w:r>
      <w:r w:rsidR="005B3766" w:rsidRPr="0038045B">
        <w:rPr>
          <w:lang w:val="en-US"/>
        </w:rPr>
        <w:t xml:space="preserve">ue to the Law on the Bank of Albania, which as mentioned earlier </w:t>
      </w:r>
      <w:r w:rsidR="00CA68E1" w:rsidRPr="0038045B">
        <w:rPr>
          <w:lang w:val="en-US"/>
        </w:rPr>
        <w:t xml:space="preserve">prescribes that only banks can open accounts and hold deposits with the BoA. This restriction applies also to operators of other payment systems and clearinghouses, which need to settle the balances from those systems and clearinghouses through </w:t>
      </w:r>
      <w:r w:rsidR="00D42F91" w:rsidRPr="0038045B">
        <w:rPr>
          <w:lang w:val="en-US"/>
        </w:rPr>
        <w:t>a settlement agent (i.e. one of the commercial banks or the BoA)</w:t>
      </w:r>
      <w:r w:rsidR="00CA68E1" w:rsidRPr="0038045B">
        <w:rPr>
          <w:lang w:val="en-US"/>
        </w:rPr>
        <w:t>.</w:t>
      </w:r>
    </w:p>
    <w:p w14:paraId="73582C01" w14:textId="77777777" w:rsidR="00FA1C4D" w:rsidRPr="0038045B" w:rsidRDefault="00FA1C4D" w:rsidP="00C80F30">
      <w:pPr>
        <w:pStyle w:val="Body"/>
        <w:numPr>
          <w:ilvl w:val="0"/>
          <w:numId w:val="15"/>
        </w:numPr>
        <w:spacing w:after="200" w:line="276" w:lineRule="auto"/>
        <w:ind w:left="0" w:firstLine="0"/>
        <w:rPr>
          <w:lang w:val="en-US"/>
        </w:rPr>
      </w:pPr>
      <w:r w:rsidRPr="0038045B">
        <w:rPr>
          <w:lang w:val="en-US"/>
        </w:rPr>
        <w:t xml:space="preserve">The BoA also operates the Albanian Electronic Clearing House (AECH), which is a </w:t>
      </w:r>
      <w:r w:rsidR="00A976CD" w:rsidRPr="0038045B">
        <w:rPr>
          <w:lang w:val="en-US"/>
        </w:rPr>
        <w:t>modern automated clearing house with a similar overall architecture of that of AIPS, in the sense that it uses Montran Corporation’s ACH so</w:t>
      </w:r>
      <w:r w:rsidR="005D353C" w:rsidRPr="0038045B">
        <w:rPr>
          <w:lang w:val="en-US"/>
        </w:rPr>
        <w:t>lution a</w:t>
      </w:r>
      <w:r w:rsidR="00A976CD" w:rsidRPr="0038045B">
        <w:rPr>
          <w:lang w:val="en-US"/>
        </w:rPr>
        <w:t xml:space="preserve">s the central software application, and SWIFT messages for the exchange of payment order files </w:t>
      </w:r>
      <w:r w:rsidR="00C1638A" w:rsidRPr="0038045B">
        <w:rPr>
          <w:lang w:val="en-US"/>
        </w:rPr>
        <w:t>(i.e. SWIFTNet FileAct</w:t>
      </w:r>
      <w:r w:rsidR="008B3609" w:rsidRPr="0038045B">
        <w:rPr>
          <w:lang w:val="en-US"/>
        </w:rPr>
        <w:t>, also via a Close Users’ Group</w:t>
      </w:r>
      <w:r w:rsidR="00C1638A" w:rsidRPr="0038045B">
        <w:rPr>
          <w:lang w:val="en-US"/>
        </w:rPr>
        <w:t xml:space="preserve">) </w:t>
      </w:r>
      <w:r w:rsidR="00A976CD" w:rsidRPr="0038045B">
        <w:rPr>
          <w:lang w:val="en-US"/>
        </w:rPr>
        <w:t xml:space="preserve">and a VPN for other on-line consultations to the system. The </w:t>
      </w:r>
      <w:r w:rsidR="00C1638A" w:rsidRPr="0038045B">
        <w:rPr>
          <w:lang w:val="en-US"/>
        </w:rPr>
        <w:t xml:space="preserve">Montran </w:t>
      </w:r>
      <w:r w:rsidR="00A976CD" w:rsidRPr="0038045B">
        <w:rPr>
          <w:lang w:val="en-US"/>
        </w:rPr>
        <w:t xml:space="preserve">software </w:t>
      </w:r>
      <w:r w:rsidR="00C1638A" w:rsidRPr="0038045B">
        <w:rPr>
          <w:lang w:val="en-US"/>
        </w:rPr>
        <w:t xml:space="preserve">for the EACH </w:t>
      </w:r>
      <w:r w:rsidR="00A976CD" w:rsidRPr="0038045B">
        <w:rPr>
          <w:lang w:val="en-US"/>
        </w:rPr>
        <w:t xml:space="preserve">was </w:t>
      </w:r>
      <w:r w:rsidR="004538FE" w:rsidRPr="0038045B">
        <w:rPr>
          <w:lang w:val="en-US"/>
        </w:rPr>
        <w:t xml:space="preserve">also </w:t>
      </w:r>
      <w:r w:rsidR="00A976CD" w:rsidRPr="0038045B">
        <w:rPr>
          <w:lang w:val="en-US"/>
        </w:rPr>
        <w:t>up</w:t>
      </w:r>
      <w:r w:rsidR="004538FE" w:rsidRPr="0038045B">
        <w:rPr>
          <w:lang w:val="en-US"/>
        </w:rPr>
        <w:t>graded</w:t>
      </w:r>
      <w:r w:rsidR="00A976CD" w:rsidRPr="0038045B">
        <w:rPr>
          <w:lang w:val="en-US"/>
        </w:rPr>
        <w:t xml:space="preserve"> in 2013</w:t>
      </w:r>
      <w:r w:rsidR="004538FE" w:rsidRPr="0038045B">
        <w:rPr>
          <w:lang w:val="en-US"/>
        </w:rPr>
        <w:t>.</w:t>
      </w:r>
    </w:p>
    <w:p w14:paraId="189D2989" w14:textId="77777777" w:rsidR="00A94E6F" w:rsidRPr="0038045B" w:rsidRDefault="00A94E6F" w:rsidP="00C80F30">
      <w:pPr>
        <w:pStyle w:val="Body"/>
        <w:numPr>
          <w:ilvl w:val="0"/>
          <w:numId w:val="15"/>
        </w:numPr>
        <w:spacing w:after="200" w:line="276" w:lineRule="auto"/>
        <w:ind w:left="0" w:firstLine="0"/>
        <w:rPr>
          <w:lang w:val="en-US"/>
        </w:rPr>
      </w:pPr>
      <w:r w:rsidRPr="0038045B">
        <w:rPr>
          <w:lang w:val="en-US"/>
        </w:rPr>
        <w:t>A</w:t>
      </w:r>
      <w:r w:rsidR="00D42F91" w:rsidRPr="0038045B">
        <w:rPr>
          <w:lang w:val="en-US"/>
        </w:rPr>
        <w:t>ccording to a</w:t>
      </w:r>
      <w:r w:rsidRPr="0038045B">
        <w:rPr>
          <w:lang w:val="en-US"/>
        </w:rPr>
        <w:t xml:space="preserve">rticle 16 of the AECH Regulation, participants in this system are categorized into direct and indirect participants. The former send and receive payment files on their behalf and settle through their settlement account in AIPS. This category is currently reserved for commercial banks and the BoA. Indirect participants, on the other hand, can send and receive payment files on their behalf, but settle in AIPS through the account of a settlement agent. To become indirect participants in AECH, entities other than the Ministry of Finance need approval from the Supervisory Council of the BoA. </w:t>
      </w:r>
      <w:r w:rsidR="00D42F91" w:rsidRPr="0038045B">
        <w:rPr>
          <w:lang w:val="en-US"/>
        </w:rPr>
        <w:t xml:space="preserve">The AECH Regulation </w:t>
      </w:r>
      <w:r w:rsidR="00D42F91" w:rsidRPr="0038045B">
        <w:rPr>
          <w:lang w:val="en-US"/>
        </w:rPr>
        <w:lastRenderedPageBreak/>
        <w:t xml:space="preserve">is silent on the criteria that the Supervisory Council would apply in this case. </w:t>
      </w:r>
      <w:r w:rsidRPr="0038045B">
        <w:rPr>
          <w:lang w:val="en-US"/>
        </w:rPr>
        <w:t>The only indirect participant at the moment is the Ministry of Finance.</w:t>
      </w:r>
    </w:p>
    <w:p w14:paraId="604F3A52" w14:textId="77777777" w:rsidR="00A976CD" w:rsidRPr="0038045B" w:rsidRDefault="004538FE" w:rsidP="00C80F30">
      <w:pPr>
        <w:pStyle w:val="Body"/>
        <w:numPr>
          <w:ilvl w:val="0"/>
          <w:numId w:val="15"/>
        </w:numPr>
        <w:spacing w:after="200" w:line="276" w:lineRule="auto"/>
        <w:ind w:left="0" w:firstLine="0"/>
        <w:rPr>
          <w:lang w:val="en-US"/>
        </w:rPr>
      </w:pPr>
      <w:r w:rsidRPr="0038045B">
        <w:rPr>
          <w:lang w:val="en-US"/>
        </w:rPr>
        <w:t xml:space="preserve">Although the AECH is </w:t>
      </w:r>
      <w:r w:rsidR="00D42F91" w:rsidRPr="0038045B">
        <w:rPr>
          <w:lang w:val="en-US"/>
        </w:rPr>
        <w:t xml:space="preserve">in principle </w:t>
      </w:r>
      <w:r w:rsidRPr="0038045B">
        <w:rPr>
          <w:lang w:val="en-US"/>
        </w:rPr>
        <w:t>able to process credit transfers and direct debits, only the former have been implemented t</w:t>
      </w:r>
      <w:r w:rsidR="00D42F91" w:rsidRPr="0038045B">
        <w:rPr>
          <w:lang w:val="en-US"/>
        </w:rPr>
        <w:t>o date. The v</w:t>
      </w:r>
      <w:r w:rsidRPr="0038045B">
        <w:rPr>
          <w:lang w:val="en-US"/>
        </w:rPr>
        <w:t xml:space="preserve">olume of operations in the AECH grew heavily between 2009 and 2011, and since then it has been growing </w:t>
      </w:r>
      <w:r w:rsidR="00143FE2" w:rsidRPr="0038045B">
        <w:rPr>
          <w:lang w:val="en-US"/>
        </w:rPr>
        <w:t xml:space="preserve">only </w:t>
      </w:r>
      <w:r w:rsidRPr="0038045B">
        <w:rPr>
          <w:lang w:val="en-US"/>
        </w:rPr>
        <w:t xml:space="preserve">at an average </w:t>
      </w:r>
      <w:r w:rsidR="00143FE2" w:rsidRPr="0038045B">
        <w:rPr>
          <w:lang w:val="en-US"/>
        </w:rPr>
        <w:t>rate</w:t>
      </w:r>
      <w:r w:rsidRPr="0038045B">
        <w:rPr>
          <w:lang w:val="en-US"/>
        </w:rPr>
        <w:t xml:space="preserve"> of 5% per year. During 2016, the AECH has been processing an average of slightly less than 2000 payments per day, with an average value of ALL 178,000 or USD 1,460 </w:t>
      </w:r>
      <w:r w:rsidR="008B3609" w:rsidRPr="0038045B">
        <w:rPr>
          <w:lang w:val="en-US"/>
        </w:rPr>
        <w:t>(</w:t>
      </w:r>
      <w:r w:rsidRPr="0038045B">
        <w:rPr>
          <w:lang w:val="en-US"/>
        </w:rPr>
        <w:t xml:space="preserve">which is </w:t>
      </w:r>
      <w:r w:rsidR="001A0274" w:rsidRPr="0038045B">
        <w:rPr>
          <w:lang w:val="en-US"/>
        </w:rPr>
        <w:t>a relatively large amount f</w:t>
      </w:r>
      <w:r w:rsidRPr="0038045B">
        <w:rPr>
          <w:lang w:val="en-US"/>
        </w:rPr>
        <w:t>or a low-value payments system</w:t>
      </w:r>
      <w:r w:rsidR="001A0274" w:rsidRPr="0038045B">
        <w:rPr>
          <w:lang w:val="en-US"/>
        </w:rPr>
        <w:t xml:space="preserve"> based on international parameters</w:t>
      </w:r>
      <w:r w:rsidR="008B3609" w:rsidRPr="0038045B">
        <w:rPr>
          <w:lang w:val="en-US"/>
        </w:rPr>
        <w:t>)</w:t>
      </w:r>
      <w:r w:rsidRPr="0038045B">
        <w:rPr>
          <w:lang w:val="en-US"/>
        </w:rPr>
        <w:t>.</w:t>
      </w:r>
    </w:p>
    <w:p w14:paraId="5A7D358D" w14:textId="77777777" w:rsidR="00C1638A" w:rsidRPr="0038045B" w:rsidRDefault="00C1638A" w:rsidP="00C80F30">
      <w:pPr>
        <w:pStyle w:val="Body"/>
        <w:numPr>
          <w:ilvl w:val="0"/>
          <w:numId w:val="15"/>
        </w:numPr>
        <w:spacing w:after="200" w:line="276" w:lineRule="auto"/>
        <w:ind w:left="0" w:firstLine="0"/>
        <w:rPr>
          <w:lang w:val="en-US"/>
        </w:rPr>
      </w:pPr>
      <w:r w:rsidRPr="0038045B">
        <w:rPr>
          <w:lang w:val="en-US"/>
        </w:rPr>
        <w:t xml:space="preserve">While the AECH does not currently provide an “instant payment” service, it does handle three daily clearing sessions, </w:t>
      </w:r>
      <w:r w:rsidR="00CB6F63" w:rsidRPr="0038045B">
        <w:rPr>
          <w:lang w:val="en-US"/>
        </w:rPr>
        <w:t xml:space="preserve">and the AECH regulations state </w:t>
      </w:r>
      <w:r w:rsidRPr="0038045B">
        <w:rPr>
          <w:lang w:val="en-US"/>
        </w:rPr>
        <w:t xml:space="preserve">that </w:t>
      </w:r>
      <w:r w:rsidR="00CB6F63" w:rsidRPr="0038045B">
        <w:rPr>
          <w:lang w:val="en-US"/>
        </w:rPr>
        <w:t xml:space="preserve">a beneficiary bank must credit the </w:t>
      </w:r>
      <w:r w:rsidR="008C16F9" w:rsidRPr="0038045B">
        <w:rPr>
          <w:lang w:val="en-US"/>
        </w:rPr>
        <w:t xml:space="preserve">valid </w:t>
      </w:r>
      <w:r w:rsidR="00CB6F63" w:rsidRPr="0038045B">
        <w:rPr>
          <w:lang w:val="en-US"/>
        </w:rPr>
        <w:t xml:space="preserve">account of the beneficiary customer </w:t>
      </w:r>
      <w:r w:rsidR="008C16F9" w:rsidRPr="0038045B">
        <w:rPr>
          <w:lang w:val="en-US"/>
        </w:rPr>
        <w:t xml:space="preserve">within </w:t>
      </w:r>
      <w:r w:rsidR="00CB6F63" w:rsidRPr="0038045B">
        <w:rPr>
          <w:lang w:val="en-US"/>
        </w:rPr>
        <w:t>the same value date</w:t>
      </w:r>
      <w:r w:rsidR="008C16F9" w:rsidRPr="0038045B">
        <w:rPr>
          <w:lang w:val="en-US"/>
        </w:rPr>
        <w:t>.</w:t>
      </w:r>
      <w:r w:rsidR="008C16F9" w:rsidRPr="0038045B">
        <w:rPr>
          <w:rStyle w:val="FootnoteReference"/>
          <w:lang w:val="en-US"/>
        </w:rPr>
        <w:footnoteReference w:id="44"/>
      </w:r>
      <w:r w:rsidR="008C16F9" w:rsidRPr="0038045B">
        <w:rPr>
          <w:lang w:val="en-US"/>
        </w:rPr>
        <w:t xml:space="preserve"> Hence, individuals holding bank accounts in Albania can make low-value</w:t>
      </w:r>
      <w:r w:rsidR="008B3609" w:rsidRPr="0038045B">
        <w:rPr>
          <w:lang w:val="en-US"/>
        </w:rPr>
        <w:t>,</w:t>
      </w:r>
      <w:r w:rsidR="008C16F9" w:rsidRPr="0038045B">
        <w:rPr>
          <w:lang w:val="en-US"/>
        </w:rPr>
        <w:t xml:space="preserve"> person-to-person, and person-to-business transfers with same-day value</w:t>
      </w:r>
      <w:r w:rsidR="008B3609" w:rsidRPr="0038045B">
        <w:rPr>
          <w:lang w:val="en-US"/>
        </w:rPr>
        <w:t xml:space="preserve"> (as long as the payment was initiated </w:t>
      </w:r>
      <w:r w:rsidR="00D42F91" w:rsidRPr="0038045B">
        <w:rPr>
          <w:lang w:val="en-US"/>
        </w:rPr>
        <w:t xml:space="preserve">no later than </w:t>
      </w:r>
      <w:r w:rsidR="00A94E6F" w:rsidRPr="0038045B">
        <w:rPr>
          <w:lang w:val="en-US"/>
        </w:rPr>
        <w:t xml:space="preserve">approximately </w:t>
      </w:r>
      <w:r w:rsidR="008B3609" w:rsidRPr="0038045B">
        <w:rPr>
          <w:lang w:val="en-US"/>
        </w:rPr>
        <w:t>2:30 pm)</w:t>
      </w:r>
      <w:r w:rsidR="008C16F9" w:rsidRPr="0038045B">
        <w:rPr>
          <w:lang w:val="en-US"/>
        </w:rPr>
        <w:t xml:space="preserve">. </w:t>
      </w:r>
      <w:r w:rsidR="008B3609" w:rsidRPr="0038045B">
        <w:rPr>
          <w:lang w:val="en-US"/>
        </w:rPr>
        <w:t xml:space="preserve">While this could also be done directly through the AIPS, the cost of doing so via the AECH is </w:t>
      </w:r>
      <w:r w:rsidR="00A94E6F" w:rsidRPr="0038045B">
        <w:rPr>
          <w:lang w:val="en-US"/>
        </w:rPr>
        <w:t xml:space="preserve">significantly </w:t>
      </w:r>
      <w:r w:rsidR="008B3609" w:rsidRPr="0038045B">
        <w:rPr>
          <w:lang w:val="en-US"/>
        </w:rPr>
        <w:t>smaller</w:t>
      </w:r>
      <w:r w:rsidR="00D42F91" w:rsidRPr="0038045B">
        <w:rPr>
          <w:lang w:val="en-US"/>
        </w:rPr>
        <w:t xml:space="preserve">, </w:t>
      </w:r>
      <w:r w:rsidR="00895905" w:rsidRPr="0038045B">
        <w:rPr>
          <w:lang w:val="en-US"/>
        </w:rPr>
        <w:t>at least for what regards the fees that the BoA charges to the users of this infrastructure</w:t>
      </w:r>
      <w:r w:rsidR="008B3609" w:rsidRPr="0038045B">
        <w:rPr>
          <w:lang w:val="en-US"/>
        </w:rPr>
        <w:t>.</w:t>
      </w:r>
      <w:r w:rsidR="008B3609" w:rsidRPr="0038045B">
        <w:rPr>
          <w:rStyle w:val="FootnoteReference"/>
          <w:lang w:val="en-US"/>
        </w:rPr>
        <w:footnoteReference w:id="45"/>
      </w:r>
      <w:r w:rsidR="008B3609" w:rsidRPr="0038045B">
        <w:rPr>
          <w:lang w:val="en-US"/>
        </w:rPr>
        <w:t xml:space="preserve"> </w:t>
      </w:r>
    </w:p>
    <w:p w14:paraId="107C534B" w14:textId="77777777" w:rsidR="002F4FDB" w:rsidRPr="0038045B" w:rsidRDefault="002F4FDB" w:rsidP="002F4FDB">
      <w:pPr>
        <w:pStyle w:val="Body"/>
        <w:numPr>
          <w:ilvl w:val="0"/>
          <w:numId w:val="15"/>
        </w:numPr>
        <w:spacing w:after="200" w:line="276" w:lineRule="auto"/>
        <w:ind w:left="0" w:firstLine="0"/>
        <w:rPr>
          <w:lang w:val="en-US"/>
        </w:rPr>
      </w:pPr>
      <w:r w:rsidRPr="0038045B">
        <w:rPr>
          <w:lang w:val="en-US"/>
        </w:rPr>
        <w:t xml:space="preserve">While AECH in general incorporates best practices in its regulation, net debit positions are not collateralized </w:t>
      </w:r>
      <w:r w:rsidRPr="0038045B">
        <w:rPr>
          <w:i/>
          <w:lang w:val="en-US"/>
        </w:rPr>
        <w:t>ex ante</w:t>
      </w:r>
      <w:r w:rsidRPr="0038045B">
        <w:rPr>
          <w:lang w:val="en-US"/>
        </w:rPr>
        <w:t xml:space="preserve">, nor are there limits to the size of debit positions. A participant that does not have sufficient funds in its AIPS account for the settlement of its net debit position in AECH may recur to the intraday liquidity facility of the AIPS. Any intraday credit form the BoA must be collateralized with government securities. </w:t>
      </w:r>
    </w:p>
    <w:p w14:paraId="0C941B66" w14:textId="77777777" w:rsidR="00FA59C7" w:rsidRPr="0038045B" w:rsidRDefault="00FA59C7" w:rsidP="00C80F30">
      <w:pPr>
        <w:pStyle w:val="Body"/>
        <w:numPr>
          <w:ilvl w:val="0"/>
          <w:numId w:val="15"/>
        </w:numPr>
        <w:spacing w:after="200" w:line="276" w:lineRule="auto"/>
        <w:ind w:left="0" w:firstLine="0"/>
        <w:rPr>
          <w:lang w:val="en-US"/>
        </w:rPr>
      </w:pPr>
      <w:r w:rsidRPr="0038045B">
        <w:rPr>
          <w:lang w:val="en-US"/>
        </w:rPr>
        <w:t>At present there is no infrastructure in place in Albania for the exchange of payment card transactions of a bank’s cardholders with another bank’s merchant POS terminal, ATM or another card acceptance device for the purposes of transaction authentication and authorization.</w:t>
      </w:r>
      <w:r w:rsidRPr="0038045B">
        <w:rPr>
          <w:rStyle w:val="FootnoteReference"/>
          <w:lang w:val="en-US"/>
        </w:rPr>
        <w:footnoteReference w:id="46"/>
      </w:r>
      <w:r w:rsidRPr="0038045B">
        <w:rPr>
          <w:lang w:val="en-US"/>
        </w:rPr>
        <w:t xml:space="preserve"> Still, in Albania in most cases it is possible to withdraw cash/pay with a Visa or MasterCard branded card issued by a local bank at the ATM/POS terminal of another local bank as most of these card acceptance devices in the country are “interconnected” via the Visa and MasterCard global processing networks. </w:t>
      </w:r>
    </w:p>
    <w:p w14:paraId="28EBBF8B" w14:textId="77777777" w:rsidR="00BE1181" w:rsidRPr="0038045B" w:rsidRDefault="005D353C" w:rsidP="00C80F30">
      <w:pPr>
        <w:pStyle w:val="Body"/>
        <w:numPr>
          <w:ilvl w:val="0"/>
          <w:numId w:val="15"/>
        </w:numPr>
        <w:spacing w:after="200" w:line="276" w:lineRule="auto"/>
        <w:ind w:left="0" w:firstLine="0"/>
        <w:rPr>
          <w:lang w:val="en-US"/>
        </w:rPr>
      </w:pPr>
      <w:r w:rsidRPr="0038045B">
        <w:rPr>
          <w:lang w:val="en-US"/>
        </w:rPr>
        <w:t>Pay</w:t>
      </w:r>
      <w:r w:rsidR="00EF22BC" w:rsidRPr="0038045B">
        <w:rPr>
          <w:lang w:val="en-US"/>
        </w:rPr>
        <w:t xml:space="preserve"> </w:t>
      </w:r>
      <w:r w:rsidRPr="0038045B">
        <w:rPr>
          <w:lang w:val="en-US"/>
        </w:rPr>
        <w:t xml:space="preserve">Link </w:t>
      </w:r>
      <w:r w:rsidR="00EF22BC" w:rsidRPr="0038045B">
        <w:rPr>
          <w:lang w:val="en-US"/>
        </w:rPr>
        <w:t>is a payment cards processor and manufacturer of payment cards. It has been licensed as a payment system operator by BoA.</w:t>
      </w:r>
      <w:r w:rsidR="00CD480F" w:rsidRPr="0038045B">
        <w:rPr>
          <w:rStyle w:val="FootnoteReference"/>
          <w:lang w:val="en-US"/>
        </w:rPr>
        <w:footnoteReference w:id="47"/>
      </w:r>
      <w:r w:rsidR="00EF22BC" w:rsidRPr="0038045B">
        <w:rPr>
          <w:lang w:val="en-US"/>
        </w:rPr>
        <w:t xml:space="preserve"> </w:t>
      </w:r>
      <w:r w:rsidR="0074042E" w:rsidRPr="0038045B">
        <w:rPr>
          <w:lang w:val="en-US"/>
        </w:rPr>
        <w:t xml:space="preserve">At present, </w:t>
      </w:r>
      <w:r w:rsidR="00EF22BC" w:rsidRPr="0038045B">
        <w:rPr>
          <w:lang w:val="en-US"/>
        </w:rPr>
        <w:t xml:space="preserve">Pay Link </w:t>
      </w:r>
      <w:r w:rsidR="0074042E" w:rsidRPr="0038045B">
        <w:rPr>
          <w:lang w:val="en-US"/>
        </w:rPr>
        <w:t>provides card processing services only to Union Bank, which is also its majority shareholder with a</w:t>
      </w:r>
      <w:r w:rsidR="008C654E" w:rsidRPr="0038045B">
        <w:rPr>
          <w:lang w:val="en-US"/>
        </w:rPr>
        <w:t>n</w:t>
      </w:r>
      <w:r w:rsidR="0074042E" w:rsidRPr="0038045B">
        <w:rPr>
          <w:lang w:val="en-US"/>
        </w:rPr>
        <w:t xml:space="preserve"> 80% stake. Pay Link informed the team that it has already developed a payment card switch </w:t>
      </w:r>
      <w:r w:rsidR="0074042E" w:rsidRPr="0038045B">
        <w:rPr>
          <w:lang w:val="en-US"/>
        </w:rPr>
        <w:lastRenderedPageBreak/>
        <w:t xml:space="preserve">solution which is ready for implementation, including having obtained certifications as a third-party processor from Visa and MasterCard. However, other banks have not yet expressed interest on becoming users of this switch solution. </w:t>
      </w:r>
      <w:r w:rsidR="00DF09C7" w:rsidRPr="0038045B">
        <w:rPr>
          <w:lang w:val="en-US"/>
        </w:rPr>
        <w:t>One reason cited during the interviews held by the team was that Pay Link is owned by a bank which is also a card issuer and, hence, a direct competitor.</w:t>
      </w:r>
    </w:p>
    <w:p w14:paraId="772006C4" w14:textId="77777777" w:rsidR="006322D4" w:rsidRPr="0038045B" w:rsidRDefault="006322D4" w:rsidP="006322D4">
      <w:pPr>
        <w:pStyle w:val="Body"/>
        <w:numPr>
          <w:ilvl w:val="0"/>
          <w:numId w:val="15"/>
        </w:numPr>
        <w:spacing w:after="200" w:line="276" w:lineRule="auto"/>
        <w:ind w:left="0" w:firstLine="0"/>
        <w:rPr>
          <w:lang w:val="en-US"/>
        </w:rPr>
      </w:pPr>
      <w:r w:rsidRPr="0038045B">
        <w:rPr>
          <w:lang w:val="en-US"/>
        </w:rPr>
        <w:t xml:space="preserve">At present, there are some discussions on the timeliness of establishing clearinghouses for euro-denominated transfers to decrease the costs and time associated with the use of correspondent banks abroad. As the focus on this report is on enhancing access to and usage of accounts, this issue is not being analyzed here given the fact that non-cash euro-denominated transactions are relevant almost exclusively for some medium and large businesses and for population segments that already have and use bank accounts. </w:t>
      </w:r>
    </w:p>
    <w:p w14:paraId="22B09427" w14:textId="77777777" w:rsidR="003331D1" w:rsidRPr="0038045B" w:rsidRDefault="003331D1" w:rsidP="003331D1">
      <w:pPr>
        <w:keepNext/>
        <w:spacing w:before="360" w:after="200" w:line="276" w:lineRule="auto"/>
        <w:jc w:val="both"/>
        <w:rPr>
          <w:b/>
          <w:i/>
          <w:szCs w:val="24"/>
          <w:lang w:eastAsia="en-US"/>
        </w:rPr>
      </w:pPr>
      <w:r w:rsidRPr="0038045B">
        <w:rPr>
          <w:b/>
          <w:i/>
          <w:szCs w:val="24"/>
          <w:lang w:eastAsia="en-US"/>
        </w:rPr>
        <w:t xml:space="preserve">Observations and recommendations on the NPS </w:t>
      </w:r>
      <w:r w:rsidRPr="0038045B">
        <w:rPr>
          <w:b/>
          <w:i/>
        </w:rPr>
        <w:t>and its core payment infrastructures</w:t>
      </w:r>
    </w:p>
    <w:p w14:paraId="6B3054E3" w14:textId="77777777" w:rsidR="00914580" w:rsidRPr="0038045B" w:rsidRDefault="00DE2EFB" w:rsidP="00C80F30">
      <w:pPr>
        <w:pStyle w:val="Body"/>
        <w:numPr>
          <w:ilvl w:val="0"/>
          <w:numId w:val="15"/>
        </w:numPr>
        <w:spacing w:after="200" w:line="276" w:lineRule="auto"/>
        <w:ind w:left="0" w:firstLine="0"/>
        <w:rPr>
          <w:i/>
          <w:color w:val="000000" w:themeColor="text1"/>
          <w:szCs w:val="24"/>
          <w:lang w:val="en-US" w:eastAsia="en-US"/>
        </w:rPr>
      </w:pPr>
      <w:r w:rsidRPr="0038045B">
        <w:rPr>
          <w:i/>
          <w:color w:val="000000" w:themeColor="text1"/>
          <w:szCs w:val="24"/>
          <w:lang w:val="en-US" w:eastAsia="en-US"/>
        </w:rPr>
        <w:t>Albania has made important progress in establishing a modern and robust NPS. To a large extent, the c</w:t>
      </w:r>
      <w:r w:rsidR="00B471D8" w:rsidRPr="0038045B">
        <w:rPr>
          <w:i/>
          <w:color w:val="000000" w:themeColor="text1"/>
          <w:szCs w:val="24"/>
          <w:lang w:val="en-US" w:eastAsia="en-US"/>
        </w:rPr>
        <w:t xml:space="preserve">ore payment infrastructures </w:t>
      </w:r>
      <w:r w:rsidR="00C637D6" w:rsidRPr="0038045B">
        <w:rPr>
          <w:i/>
          <w:color w:val="000000" w:themeColor="text1"/>
          <w:szCs w:val="24"/>
          <w:lang w:val="en-US" w:eastAsia="en-US"/>
        </w:rPr>
        <w:t xml:space="preserve">operated by the BoA </w:t>
      </w:r>
      <w:r w:rsidRPr="0038045B">
        <w:rPr>
          <w:i/>
          <w:color w:val="000000" w:themeColor="text1"/>
          <w:szCs w:val="24"/>
          <w:lang w:val="en-US" w:eastAsia="en-US"/>
        </w:rPr>
        <w:t>are safe and efficient.</w:t>
      </w:r>
      <w:r w:rsidR="00895905" w:rsidRPr="0038045B">
        <w:rPr>
          <w:rStyle w:val="FootnoteReference"/>
          <w:i/>
          <w:color w:val="000000" w:themeColor="text1"/>
          <w:szCs w:val="24"/>
          <w:lang w:val="en-US" w:eastAsia="en-US"/>
        </w:rPr>
        <w:footnoteReference w:id="48"/>
      </w:r>
      <w:r w:rsidR="003331D1" w:rsidRPr="0038045B">
        <w:rPr>
          <w:i/>
          <w:color w:val="000000" w:themeColor="text1"/>
          <w:szCs w:val="24"/>
          <w:lang w:val="en-US" w:eastAsia="en-US"/>
        </w:rPr>
        <w:t xml:space="preserve"> </w:t>
      </w:r>
      <w:r w:rsidR="00C637D6" w:rsidRPr="0038045B">
        <w:rPr>
          <w:i/>
          <w:color w:val="000000" w:themeColor="text1"/>
          <w:szCs w:val="24"/>
          <w:lang w:val="en-US" w:eastAsia="en-US"/>
        </w:rPr>
        <w:t xml:space="preserve">However, </w:t>
      </w:r>
      <w:r w:rsidR="00914580" w:rsidRPr="0038045B">
        <w:rPr>
          <w:i/>
          <w:color w:val="000000" w:themeColor="text1"/>
          <w:szCs w:val="24"/>
          <w:lang w:val="en-US" w:eastAsia="en-US"/>
        </w:rPr>
        <w:t>a payment card processing platform or “payment</w:t>
      </w:r>
      <w:r w:rsidRPr="0038045B">
        <w:rPr>
          <w:i/>
          <w:color w:val="000000" w:themeColor="text1"/>
          <w:szCs w:val="24"/>
          <w:lang w:val="en-US" w:eastAsia="en-US"/>
        </w:rPr>
        <w:t xml:space="preserve"> card</w:t>
      </w:r>
      <w:r w:rsidR="00914580" w:rsidRPr="0038045B">
        <w:rPr>
          <w:i/>
          <w:color w:val="000000" w:themeColor="text1"/>
          <w:szCs w:val="24"/>
          <w:lang w:val="en-US" w:eastAsia="en-US"/>
        </w:rPr>
        <w:t>s switch”</w:t>
      </w:r>
      <w:r w:rsidRPr="0038045B">
        <w:rPr>
          <w:i/>
          <w:color w:val="000000" w:themeColor="text1"/>
          <w:szCs w:val="24"/>
          <w:lang w:val="en-US" w:eastAsia="en-US"/>
        </w:rPr>
        <w:t>, which is</w:t>
      </w:r>
      <w:r w:rsidR="00914580" w:rsidRPr="0038045B">
        <w:rPr>
          <w:i/>
          <w:color w:val="000000" w:themeColor="text1"/>
          <w:szCs w:val="24"/>
          <w:lang w:val="en-US" w:eastAsia="en-US"/>
        </w:rPr>
        <w:t xml:space="preserve"> </w:t>
      </w:r>
      <w:r w:rsidRPr="0038045B">
        <w:rPr>
          <w:i/>
          <w:color w:val="000000" w:themeColor="text1"/>
          <w:szCs w:val="24"/>
          <w:lang w:val="en-US" w:eastAsia="en-US"/>
        </w:rPr>
        <w:t xml:space="preserve">another key payment infrastructure to facilitate the interoperability of the various </w:t>
      </w:r>
      <w:r w:rsidR="00DB7E8D" w:rsidRPr="0038045B">
        <w:rPr>
          <w:i/>
          <w:color w:val="000000" w:themeColor="text1"/>
          <w:szCs w:val="24"/>
          <w:lang w:val="en-US" w:eastAsia="en-US"/>
        </w:rPr>
        <w:t xml:space="preserve">providers of payment services </w:t>
      </w:r>
      <w:r w:rsidRPr="0038045B">
        <w:rPr>
          <w:i/>
          <w:color w:val="000000" w:themeColor="text1"/>
          <w:szCs w:val="24"/>
          <w:lang w:val="en-US" w:eastAsia="en-US"/>
        </w:rPr>
        <w:t xml:space="preserve">in the country and the efficient processing of card transactions, </w:t>
      </w:r>
      <w:r w:rsidR="00914580" w:rsidRPr="0038045B">
        <w:rPr>
          <w:i/>
          <w:color w:val="000000" w:themeColor="text1"/>
          <w:szCs w:val="24"/>
          <w:lang w:val="en-US" w:eastAsia="en-US"/>
        </w:rPr>
        <w:t xml:space="preserve">is still missing in Albania. Hence, </w:t>
      </w:r>
      <w:r w:rsidRPr="0038045B">
        <w:rPr>
          <w:i/>
          <w:color w:val="000000" w:themeColor="text1"/>
          <w:szCs w:val="24"/>
          <w:lang w:val="en-US" w:eastAsia="en-US"/>
        </w:rPr>
        <w:t xml:space="preserve">the role of the </w:t>
      </w:r>
      <w:r w:rsidR="00914580" w:rsidRPr="0038045B">
        <w:rPr>
          <w:i/>
          <w:color w:val="000000" w:themeColor="text1"/>
          <w:szCs w:val="24"/>
          <w:lang w:val="en-US" w:eastAsia="en-US"/>
        </w:rPr>
        <w:t xml:space="preserve">Albanian NPS </w:t>
      </w:r>
      <w:r w:rsidRPr="0038045B">
        <w:rPr>
          <w:i/>
          <w:color w:val="000000" w:themeColor="text1"/>
          <w:szCs w:val="24"/>
          <w:lang w:val="en-US" w:eastAsia="en-US"/>
        </w:rPr>
        <w:t xml:space="preserve">in providing </w:t>
      </w:r>
      <w:r w:rsidR="00914580" w:rsidRPr="0038045B">
        <w:rPr>
          <w:i/>
          <w:color w:val="000000" w:themeColor="text1"/>
          <w:szCs w:val="24"/>
          <w:lang w:val="en-US" w:eastAsia="en-US"/>
        </w:rPr>
        <w:t xml:space="preserve">a </w:t>
      </w:r>
      <w:r w:rsidRPr="0038045B">
        <w:rPr>
          <w:i/>
          <w:color w:val="000000" w:themeColor="text1"/>
          <w:szCs w:val="24"/>
          <w:lang w:val="en-US" w:eastAsia="en-US"/>
        </w:rPr>
        <w:t xml:space="preserve">robust </w:t>
      </w:r>
      <w:r w:rsidR="00914580" w:rsidRPr="0038045B">
        <w:rPr>
          <w:i/>
          <w:color w:val="000000" w:themeColor="text1"/>
          <w:szCs w:val="24"/>
          <w:lang w:val="en-US" w:eastAsia="en-US"/>
        </w:rPr>
        <w:t>foundation to the generalized adoption and usage of accounts</w:t>
      </w:r>
      <w:r w:rsidRPr="0038045B">
        <w:rPr>
          <w:i/>
          <w:color w:val="000000" w:themeColor="text1"/>
          <w:szCs w:val="24"/>
          <w:lang w:val="en-US" w:eastAsia="en-US"/>
        </w:rPr>
        <w:t xml:space="preserve"> </w:t>
      </w:r>
      <w:r w:rsidR="00B12A49" w:rsidRPr="0038045B">
        <w:rPr>
          <w:i/>
          <w:color w:val="000000" w:themeColor="text1"/>
          <w:szCs w:val="24"/>
          <w:lang w:val="en-US" w:eastAsia="en-US"/>
        </w:rPr>
        <w:t xml:space="preserve">can </w:t>
      </w:r>
      <w:r w:rsidR="00914580" w:rsidRPr="0038045B">
        <w:rPr>
          <w:i/>
          <w:color w:val="000000" w:themeColor="text1"/>
          <w:szCs w:val="24"/>
          <w:lang w:val="en-US" w:eastAsia="en-US"/>
        </w:rPr>
        <w:t>still be improved.</w:t>
      </w:r>
    </w:p>
    <w:p w14:paraId="38357590" w14:textId="77777777" w:rsidR="00914580" w:rsidRPr="0038045B" w:rsidRDefault="00914580" w:rsidP="00C80F30">
      <w:pPr>
        <w:pStyle w:val="Body"/>
        <w:numPr>
          <w:ilvl w:val="0"/>
          <w:numId w:val="15"/>
        </w:numPr>
        <w:spacing w:after="200" w:line="276" w:lineRule="auto"/>
        <w:ind w:left="0" w:firstLine="0"/>
        <w:rPr>
          <w:i/>
          <w:color w:val="000000" w:themeColor="text1"/>
          <w:szCs w:val="24"/>
          <w:lang w:val="en-US" w:eastAsia="en-US"/>
        </w:rPr>
      </w:pPr>
      <w:r w:rsidRPr="0038045B">
        <w:rPr>
          <w:i/>
          <w:color w:val="000000" w:themeColor="text1"/>
          <w:szCs w:val="24"/>
          <w:lang w:val="en-US" w:eastAsia="en-US"/>
        </w:rPr>
        <w:t xml:space="preserve">Some other important challenges </w:t>
      </w:r>
      <w:r w:rsidR="005D353C" w:rsidRPr="0038045B">
        <w:rPr>
          <w:i/>
          <w:color w:val="000000" w:themeColor="text1"/>
          <w:szCs w:val="24"/>
          <w:lang w:val="en-US" w:eastAsia="en-US"/>
        </w:rPr>
        <w:t>exist</w:t>
      </w:r>
      <w:r w:rsidRPr="0038045B">
        <w:rPr>
          <w:i/>
          <w:color w:val="000000" w:themeColor="text1"/>
          <w:szCs w:val="24"/>
          <w:lang w:val="en-US" w:eastAsia="en-US"/>
        </w:rPr>
        <w:t xml:space="preserve">, the major one being probably that despite the </w:t>
      </w:r>
      <w:r w:rsidR="0057561E" w:rsidRPr="0038045B">
        <w:rPr>
          <w:i/>
          <w:color w:val="000000" w:themeColor="text1"/>
          <w:szCs w:val="24"/>
          <w:lang w:val="en-US" w:eastAsia="en-US"/>
        </w:rPr>
        <w:t xml:space="preserve">availability of modern payment infrastructures </w:t>
      </w:r>
      <w:r w:rsidRPr="0038045B">
        <w:rPr>
          <w:i/>
          <w:lang w:val="en-US"/>
        </w:rPr>
        <w:t xml:space="preserve">cash remains the dominant means of payment for </w:t>
      </w:r>
      <w:r w:rsidR="005D353C" w:rsidRPr="0038045B">
        <w:rPr>
          <w:i/>
          <w:lang w:val="en-US"/>
        </w:rPr>
        <w:t>the vast majority o</w:t>
      </w:r>
      <w:r w:rsidRPr="0038045B">
        <w:rPr>
          <w:i/>
          <w:lang w:val="en-US"/>
        </w:rPr>
        <w:t>f the country’s population – even for those that already have bank accounts.</w:t>
      </w:r>
      <w:r w:rsidRPr="0038045B">
        <w:rPr>
          <w:i/>
          <w:color w:val="000000" w:themeColor="text1"/>
          <w:szCs w:val="24"/>
          <w:lang w:val="en-US" w:eastAsia="en-US"/>
        </w:rPr>
        <w:t xml:space="preserve"> </w:t>
      </w:r>
      <w:r w:rsidR="005D353C" w:rsidRPr="0038045B">
        <w:rPr>
          <w:i/>
          <w:color w:val="000000" w:themeColor="text1"/>
          <w:szCs w:val="24"/>
          <w:lang w:val="en-US" w:eastAsia="en-US"/>
        </w:rPr>
        <w:t xml:space="preserve">Observations </w:t>
      </w:r>
      <w:r w:rsidRPr="0038045B">
        <w:rPr>
          <w:i/>
          <w:color w:val="000000" w:themeColor="text1"/>
          <w:szCs w:val="24"/>
          <w:lang w:val="en-US" w:eastAsia="en-US"/>
        </w:rPr>
        <w:t>below deal specifically with the</w:t>
      </w:r>
      <w:r w:rsidR="005D353C" w:rsidRPr="0038045B">
        <w:rPr>
          <w:i/>
          <w:color w:val="000000" w:themeColor="text1"/>
          <w:szCs w:val="24"/>
          <w:lang w:val="en-US" w:eastAsia="en-US"/>
        </w:rPr>
        <w:t xml:space="preserve"> </w:t>
      </w:r>
      <w:r w:rsidRPr="0038045B">
        <w:rPr>
          <w:i/>
          <w:color w:val="000000" w:themeColor="text1"/>
          <w:szCs w:val="24"/>
          <w:lang w:val="en-US" w:eastAsia="en-US"/>
        </w:rPr>
        <w:t>role that the current organization of the NPS and of the core payment infrastructure</w:t>
      </w:r>
      <w:r w:rsidR="00B66FD0" w:rsidRPr="0038045B">
        <w:rPr>
          <w:i/>
          <w:color w:val="000000" w:themeColor="text1"/>
          <w:szCs w:val="24"/>
          <w:lang w:val="en-US" w:eastAsia="en-US"/>
        </w:rPr>
        <w:t>s</w:t>
      </w:r>
      <w:r w:rsidRPr="0038045B">
        <w:rPr>
          <w:i/>
          <w:color w:val="000000" w:themeColor="text1"/>
          <w:szCs w:val="24"/>
          <w:lang w:val="en-US" w:eastAsia="en-US"/>
        </w:rPr>
        <w:t xml:space="preserve"> may be playing in this regard.</w:t>
      </w:r>
      <w:r w:rsidRPr="0038045B">
        <w:rPr>
          <w:rStyle w:val="FootnoteReference"/>
          <w:i/>
          <w:color w:val="000000" w:themeColor="text1"/>
          <w:szCs w:val="24"/>
          <w:lang w:val="en-US" w:eastAsia="en-US"/>
        </w:rPr>
        <w:footnoteReference w:id="49"/>
      </w:r>
    </w:p>
    <w:p w14:paraId="75EBDAC5" w14:textId="77777777" w:rsidR="006322D4" w:rsidRPr="0038045B" w:rsidRDefault="006322D4" w:rsidP="0069217B">
      <w:pPr>
        <w:pStyle w:val="Body"/>
        <w:numPr>
          <w:ilvl w:val="0"/>
          <w:numId w:val="15"/>
        </w:numPr>
        <w:spacing w:after="200" w:line="276" w:lineRule="auto"/>
        <w:ind w:left="0" w:firstLine="0"/>
        <w:rPr>
          <w:i/>
          <w:color w:val="000000" w:themeColor="text1"/>
          <w:szCs w:val="24"/>
          <w:lang w:val="en-US" w:eastAsia="en-US"/>
        </w:rPr>
      </w:pPr>
      <w:r w:rsidRPr="0038045B">
        <w:rPr>
          <w:i/>
          <w:color w:val="000000" w:themeColor="text1"/>
          <w:szCs w:val="24"/>
          <w:lang w:val="en-US" w:eastAsia="en-US"/>
        </w:rPr>
        <w:t>One of the roles of a payment cards switch is to increase the effective size of the access channel network by interconnecting the ATMs and POS terminals (and any other transaction acceptance devices) of different banks. In Albania</w:t>
      </w:r>
      <w:r w:rsidR="00684717" w:rsidRPr="0038045B">
        <w:rPr>
          <w:i/>
          <w:color w:val="000000" w:themeColor="text1"/>
          <w:szCs w:val="24"/>
          <w:lang w:val="en-US" w:eastAsia="en-US"/>
        </w:rPr>
        <w:t xml:space="preserve">, </w:t>
      </w:r>
      <w:r w:rsidRPr="0038045B">
        <w:rPr>
          <w:i/>
          <w:color w:val="000000" w:themeColor="text1"/>
          <w:szCs w:val="24"/>
          <w:lang w:val="en-US" w:eastAsia="en-US"/>
        </w:rPr>
        <w:t xml:space="preserve">this interconnection is currently achieved to </w:t>
      </w:r>
      <w:r w:rsidR="00684717" w:rsidRPr="0038045B">
        <w:rPr>
          <w:i/>
          <w:color w:val="000000" w:themeColor="text1"/>
          <w:szCs w:val="24"/>
          <w:lang w:val="en-US" w:eastAsia="en-US"/>
        </w:rPr>
        <w:t xml:space="preserve">a limited </w:t>
      </w:r>
      <w:r w:rsidRPr="0038045B">
        <w:rPr>
          <w:i/>
          <w:color w:val="000000" w:themeColor="text1"/>
          <w:szCs w:val="24"/>
          <w:lang w:val="en-US" w:eastAsia="en-US"/>
        </w:rPr>
        <w:t>extent through the international processing networks of Visa and MasterCard</w:t>
      </w:r>
      <w:r w:rsidR="00684717" w:rsidRPr="0038045B">
        <w:rPr>
          <w:i/>
          <w:color w:val="000000" w:themeColor="text1"/>
          <w:szCs w:val="24"/>
          <w:lang w:val="en-US" w:eastAsia="en-US"/>
        </w:rPr>
        <w:t xml:space="preserve">.  </w:t>
      </w:r>
      <w:r w:rsidR="000836AA" w:rsidRPr="0038045B">
        <w:rPr>
          <w:i/>
          <w:color w:val="000000" w:themeColor="text1"/>
          <w:szCs w:val="24"/>
          <w:lang w:val="en-US" w:eastAsia="en-US"/>
        </w:rPr>
        <w:t>The ongoing initiative in Albania to develop a domestic infrastructure for card payments</w:t>
      </w:r>
      <w:r w:rsidR="00136806" w:rsidRPr="0038045B">
        <w:rPr>
          <w:i/>
          <w:color w:val="000000" w:themeColor="text1"/>
          <w:szCs w:val="24"/>
          <w:lang w:val="en-US" w:eastAsia="en-US"/>
        </w:rPr>
        <w:t xml:space="preserve"> (i.e. Pay Link) </w:t>
      </w:r>
      <w:r w:rsidR="000836AA" w:rsidRPr="0038045B">
        <w:rPr>
          <w:i/>
          <w:color w:val="000000" w:themeColor="text1"/>
          <w:szCs w:val="24"/>
          <w:lang w:val="en-US" w:eastAsia="en-US"/>
        </w:rPr>
        <w:t xml:space="preserve">could be </w:t>
      </w:r>
      <w:r w:rsidR="00136806" w:rsidRPr="0038045B">
        <w:rPr>
          <w:i/>
          <w:color w:val="000000" w:themeColor="text1"/>
          <w:szCs w:val="24"/>
          <w:lang w:val="en-US" w:eastAsia="en-US"/>
        </w:rPr>
        <w:t>a</w:t>
      </w:r>
      <w:r w:rsidR="000836AA" w:rsidRPr="0038045B">
        <w:rPr>
          <w:i/>
          <w:color w:val="000000" w:themeColor="text1"/>
          <w:szCs w:val="24"/>
          <w:lang w:val="en-US" w:eastAsia="en-US"/>
        </w:rPr>
        <w:t xml:space="preserve"> solution to achieve increased or even full interoperability. Moreover, a domestic </w:t>
      </w:r>
      <w:r w:rsidRPr="0038045B">
        <w:rPr>
          <w:i/>
          <w:color w:val="000000" w:themeColor="text1"/>
          <w:szCs w:val="24"/>
          <w:lang w:val="en-US" w:eastAsia="en-US"/>
        </w:rPr>
        <w:t xml:space="preserve">payments card switch </w:t>
      </w:r>
      <w:r w:rsidR="00684717" w:rsidRPr="0038045B">
        <w:rPr>
          <w:i/>
          <w:color w:val="000000" w:themeColor="text1"/>
          <w:szCs w:val="24"/>
          <w:lang w:val="en-US" w:eastAsia="en-US"/>
        </w:rPr>
        <w:t>c</w:t>
      </w:r>
      <w:r w:rsidR="00136806" w:rsidRPr="0038045B">
        <w:rPr>
          <w:i/>
          <w:color w:val="000000" w:themeColor="text1"/>
          <w:szCs w:val="24"/>
          <w:lang w:val="en-US" w:eastAsia="en-US"/>
        </w:rPr>
        <w:t>an</w:t>
      </w:r>
      <w:r w:rsidR="00684717" w:rsidRPr="0038045B">
        <w:rPr>
          <w:i/>
          <w:color w:val="000000" w:themeColor="text1"/>
          <w:szCs w:val="24"/>
          <w:lang w:val="en-US" w:eastAsia="en-US"/>
        </w:rPr>
        <w:t xml:space="preserve"> </w:t>
      </w:r>
      <w:r w:rsidRPr="0038045B">
        <w:rPr>
          <w:i/>
          <w:color w:val="000000" w:themeColor="text1"/>
          <w:szCs w:val="24"/>
          <w:lang w:val="en-US" w:eastAsia="en-US"/>
        </w:rPr>
        <w:t>provide a number of additional advantages:</w:t>
      </w:r>
    </w:p>
    <w:p w14:paraId="7434A003" w14:textId="77777777" w:rsidR="0057561E" w:rsidRPr="0038045B" w:rsidRDefault="00136806" w:rsidP="00C80F30">
      <w:pPr>
        <w:pStyle w:val="Body"/>
        <w:numPr>
          <w:ilvl w:val="0"/>
          <w:numId w:val="17"/>
        </w:numPr>
        <w:spacing w:line="276" w:lineRule="auto"/>
        <w:rPr>
          <w:i/>
          <w:color w:val="000000" w:themeColor="text1"/>
          <w:szCs w:val="24"/>
          <w:lang w:val="en-US" w:eastAsia="en-US"/>
        </w:rPr>
      </w:pPr>
      <w:r w:rsidRPr="0038045B">
        <w:rPr>
          <w:i/>
          <w:color w:val="000000" w:themeColor="text1"/>
          <w:szCs w:val="24"/>
          <w:lang w:val="en-US" w:eastAsia="en-US"/>
        </w:rPr>
        <w:t xml:space="preserve">In addition to the domestic processing of existing global brands, a </w:t>
      </w:r>
      <w:r w:rsidR="0057561E" w:rsidRPr="0038045B">
        <w:rPr>
          <w:i/>
          <w:color w:val="000000" w:themeColor="text1"/>
          <w:szCs w:val="24"/>
          <w:lang w:val="en-US" w:eastAsia="en-US"/>
        </w:rPr>
        <w:t xml:space="preserve">local switch can be leveraged </w:t>
      </w:r>
      <w:r w:rsidR="000245FE" w:rsidRPr="0038045B">
        <w:rPr>
          <w:i/>
          <w:color w:val="000000" w:themeColor="text1"/>
          <w:szCs w:val="24"/>
          <w:lang w:val="en-US" w:eastAsia="en-US"/>
        </w:rPr>
        <w:t xml:space="preserve">for </w:t>
      </w:r>
      <w:r w:rsidR="00B12A49" w:rsidRPr="0038045B">
        <w:rPr>
          <w:i/>
          <w:color w:val="000000" w:themeColor="text1"/>
          <w:szCs w:val="24"/>
          <w:lang w:val="en-US" w:eastAsia="en-US"/>
        </w:rPr>
        <w:t xml:space="preserve">developing </w:t>
      </w:r>
      <w:r w:rsidR="000245FE" w:rsidRPr="0038045B">
        <w:rPr>
          <w:i/>
          <w:color w:val="000000" w:themeColor="text1"/>
          <w:szCs w:val="24"/>
          <w:lang w:val="en-US" w:eastAsia="en-US"/>
        </w:rPr>
        <w:t xml:space="preserve">one or more domestic card </w:t>
      </w:r>
      <w:r w:rsidR="000836AA" w:rsidRPr="0038045B">
        <w:rPr>
          <w:i/>
          <w:color w:val="000000" w:themeColor="text1"/>
          <w:szCs w:val="24"/>
          <w:lang w:val="en-US" w:eastAsia="en-US"/>
        </w:rPr>
        <w:t xml:space="preserve">brands, which could spur </w:t>
      </w:r>
      <w:r w:rsidR="000836AA" w:rsidRPr="0038045B">
        <w:rPr>
          <w:i/>
          <w:color w:val="000000" w:themeColor="text1"/>
          <w:szCs w:val="24"/>
          <w:lang w:val="en-US" w:eastAsia="en-US"/>
        </w:rPr>
        <w:lastRenderedPageBreak/>
        <w:t>competition with existing global brands</w:t>
      </w:r>
      <w:r w:rsidRPr="0038045B">
        <w:rPr>
          <w:i/>
          <w:color w:val="000000" w:themeColor="text1"/>
          <w:szCs w:val="24"/>
          <w:lang w:val="en-US" w:eastAsia="en-US"/>
        </w:rPr>
        <w:t xml:space="preserve">. This could </w:t>
      </w:r>
      <w:r w:rsidR="000245FE" w:rsidRPr="0038045B">
        <w:rPr>
          <w:i/>
          <w:color w:val="000000" w:themeColor="text1"/>
          <w:szCs w:val="24"/>
          <w:lang w:val="en-US" w:eastAsia="en-US"/>
        </w:rPr>
        <w:t>help reduce cost</w:t>
      </w:r>
      <w:r w:rsidR="000836AA" w:rsidRPr="0038045B">
        <w:rPr>
          <w:i/>
          <w:color w:val="000000" w:themeColor="text1"/>
          <w:szCs w:val="24"/>
          <w:lang w:val="en-US" w:eastAsia="en-US"/>
        </w:rPr>
        <w:t>s</w:t>
      </w:r>
      <w:r w:rsidR="000245FE" w:rsidRPr="0038045B">
        <w:rPr>
          <w:i/>
          <w:color w:val="000000" w:themeColor="text1"/>
          <w:szCs w:val="24"/>
          <w:lang w:val="en-US" w:eastAsia="en-US"/>
        </w:rPr>
        <w:t xml:space="preserve"> </w:t>
      </w:r>
      <w:r w:rsidR="000836AA" w:rsidRPr="0038045B">
        <w:rPr>
          <w:i/>
          <w:color w:val="000000" w:themeColor="text1"/>
          <w:szCs w:val="24"/>
          <w:lang w:val="en-US" w:eastAsia="en-US"/>
        </w:rPr>
        <w:t xml:space="preserve">throughout the </w:t>
      </w:r>
      <w:r w:rsidRPr="0038045B">
        <w:rPr>
          <w:i/>
          <w:color w:val="000000" w:themeColor="text1"/>
          <w:szCs w:val="24"/>
          <w:lang w:val="en-US" w:eastAsia="en-US"/>
        </w:rPr>
        <w:t xml:space="preserve">local </w:t>
      </w:r>
      <w:r w:rsidR="000836AA" w:rsidRPr="0038045B">
        <w:rPr>
          <w:i/>
          <w:color w:val="000000" w:themeColor="text1"/>
          <w:szCs w:val="24"/>
          <w:lang w:val="en-US" w:eastAsia="en-US"/>
        </w:rPr>
        <w:t xml:space="preserve">payment cards market, including </w:t>
      </w:r>
      <w:r w:rsidR="000245FE" w:rsidRPr="0038045B">
        <w:rPr>
          <w:i/>
          <w:color w:val="000000" w:themeColor="text1"/>
          <w:szCs w:val="24"/>
          <w:lang w:val="en-US" w:eastAsia="en-US"/>
        </w:rPr>
        <w:t>for cardholders and merchant</w:t>
      </w:r>
      <w:r w:rsidR="002F6DC8" w:rsidRPr="0038045B">
        <w:rPr>
          <w:i/>
          <w:color w:val="000000" w:themeColor="text1"/>
          <w:szCs w:val="24"/>
          <w:lang w:val="en-US" w:eastAsia="en-US"/>
        </w:rPr>
        <w:t>s</w:t>
      </w:r>
      <w:r w:rsidRPr="0038045B">
        <w:rPr>
          <w:rStyle w:val="FootnoteReference"/>
          <w:i/>
          <w:color w:val="000000" w:themeColor="text1"/>
          <w:szCs w:val="24"/>
          <w:lang w:val="en-US" w:eastAsia="en-US"/>
        </w:rPr>
        <w:footnoteReference w:id="50"/>
      </w:r>
    </w:p>
    <w:p w14:paraId="21EB9B63" w14:textId="77777777" w:rsidR="00A716E5" w:rsidRPr="0038045B" w:rsidRDefault="00A716E5" w:rsidP="00C80F30">
      <w:pPr>
        <w:pStyle w:val="Body"/>
        <w:numPr>
          <w:ilvl w:val="0"/>
          <w:numId w:val="17"/>
        </w:numPr>
        <w:spacing w:line="276" w:lineRule="auto"/>
        <w:rPr>
          <w:i/>
          <w:color w:val="000000" w:themeColor="text1"/>
          <w:szCs w:val="24"/>
          <w:lang w:val="en-US" w:eastAsia="en-US"/>
        </w:rPr>
      </w:pPr>
      <w:r w:rsidRPr="0038045B">
        <w:rPr>
          <w:i/>
          <w:color w:val="000000" w:themeColor="text1"/>
          <w:szCs w:val="24"/>
          <w:lang w:val="en-US" w:eastAsia="en-US"/>
        </w:rPr>
        <w:t>Improved ability to meet local market needs. For example, at some point the domestic switch can also be used for switching other paymen</w:t>
      </w:r>
      <w:r w:rsidR="002F6DC8" w:rsidRPr="0038045B">
        <w:rPr>
          <w:i/>
          <w:color w:val="000000" w:themeColor="text1"/>
          <w:szCs w:val="24"/>
          <w:lang w:val="en-US" w:eastAsia="en-US"/>
        </w:rPr>
        <w:t>t streams, like mobile payments</w:t>
      </w:r>
    </w:p>
    <w:p w14:paraId="66B4E806" w14:textId="77777777" w:rsidR="00A716E5" w:rsidRPr="0038045B" w:rsidRDefault="00A716E5" w:rsidP="00C80F30">
      <w:pPr>
        <w:pStyle w:val="Body"/>
        <w:numPr>
          <w:ilvl w:val="0"/>
          <w:numId w:val="17"/>
        </w:numPr>
        <w:spacing w:after="240" w:line="276" w:lineRule="auto"/>
        <w:rPr>
          <w:i/>
          <w:color w:val="000000" w:themeColor="text1"/>
          <w:szCs w:val="24"/>
          <w:lang w:val="en-US" w:eastAsia="en-US"/>
        </w:rPr>
      </w:pPr>
      <w:r w:rsidRPr="0038045B">
        <w:rPr>
          <w:i/>
          <w:color w:val="000000" w:themeColor="text1"/>
          <w:szCs w:val="24"/>
          <w:lang w:val="en-US" w:eastAsia="en-US"/>
        </w:rPr>
        <w:t>Local decision-making and governance benefits.</w:t>
      </w:r>
    </w:p>
    <w:p w14:paraId="45361DD3" w14:textId="77777777" w:rsidR="00A716E5" w:rsidRPr="0038045B" w:rsidRDefault="00136806" w:rsidP="00C80F30">
      <w:pPr>
        <w:pStyle w:val="Body"/>
        <w:numPr>
          <w:ilvl w:val="0"/>
          <w:numId w:val="15"/>
        </w:numPr>
        <w:spacing w:after="200" w:line="276" w:lineRule="auto"/>
        <w:ind w:left="0" w:firstLine="0"/>
        <w:rPr>
          <w:i/>
          <w:color w:val="000000" w:themeColor="text1"/>
          <w:szCs w:val="24"/>
          <w:lang w:val="en-US" w:eastAsia="en-US"/>
        </w:rPr>
      </w:pPr>
      <w:r w:rsidRPr="0038045B">
        <w:rPr>
          <w:i/>
          <w:color w:val="000000" w:themeColor="text1"/>
          <w:szCs w:val="24"/>
          <w:lang w:val="en-US" w:eastAsia="en-US"/>
        </w:rPr>
        <w:t>G</w:t>
      </w:r>
      <w:r w:rsidR="000836AA" w:rsidRPr="0038045B">
        <w:rPr>
          <w:i/>
          <w:color w:val="000000" w:themeColor="text1"/>
          <w:szCs w:val="24"/>
          <w:lang w:val="en-US" w:eastAsia="en-US"/>
        </w:rPr>
        <w:t xml:space="preserve">iven the current ownership structure </w:t>
      </w:r>
      <w:r w:rsidRPr="0038045B">
        <w:rPr>
          <w:i/>
          <w:color w:val="000000" w:themeColor="text1"/>
          <w:szCs w:val="24"/>
          <w:lang w:val="en-US" w:eastAsia="en-US"/>
        </w:rPr>
        <w:t>o</w:t>
      </w:r>
      <w:r w:rsidR="000836AA" w:rsidRPr="0038045B">
        <w:rPr>
          <w:i/>
          <w:color w:val="000000" w:themeColor="text1"/>
          <w:szCs w:val="24"/>
          <w:lang w:val="en-US" w:eastAsia="en-US"/>
        </w:rPr>
        <w:t xml:space="preserve">f Pay Link, relevant governance aspects </w:t>
      </w:r>
      <w:r w:rsidRPr="0038045B">
        <w:rPr>
          <w:i/>
          <w:color w:val="000000" w:themeColor="text1"/>
          <w:szCs w:val="24"/>
          <w:lang w:val="en-US" w:eastAsia="en-US"/>
        </w:rPr>
        <w:t xml:space="preserve">will </w:t>
      </w:r>
      <w:r w:rsidR="000836AA" w:rsidRPr="0038045B">
        <w:rPr>
          <w:i/>
          <w:color w:val="000000" w:themeColor="text1"/>
          <w:szCs w:val="24"/>
          <w:lang w:val="en-US" w:eastAsia="en-US"/>
        </w:rPr>
        <w:t>need to be addressed</w:t>
      </w:r>
      <w:r w:rsidRPr="0038045B">
        <w:rPr>
          <w:i/>
          <w:color w:val="000000" w:themeColor="text1"/>
          <w:szCs w:val="24"/>
          <w:lang w:val="en-US" w:eastAsia="en-US"/>
        </w:rPr>
        <w:t>, however.</w:t>
      </w:r>
      <w:r w:rsidR="000836AA" w:rsidRPr="0038045B">
        <w:rPr>
          <w:i/>
          <w:color w:val="000000" w:themeColor="text1"/>
          <w:szCs w:val="24"/>
          <w:lang w:val="en-US" w:eastAsia="en-US"/>
        </w:rPr>
        <w:t xml:space="preserve"> </w:t>
      </w:r>
      <w:r w:rsidR="00B66FD0" w:rsidRPr="0038045B">
        <w:rPr>
          <w:i/>
          <w:color w:val="000000" w:themeColor="text1"/>
          <w:szCs w:val="24"/>
          <w:lang w:val="en-US" w:eastAsia="en-US"/>
        </w:rPr>
        <w:t>In order to become successful, a p</w:t>
      </w:r>
      <w:r w:rsidR="00A716E5" w:rsidRPr="0038045B">
        <w:rPr>
          <w:i/>
          <w:color w:val="000000" w:themeColor="text1"/>
          <w:szCs w:val="24"/>
          <w:lang w:val="en-US" w:eastAsia="en-US"/>
        </w:rPr>
        <w:t xml:space="preserve">ayment cards switch </w:t>
      </w:r>
      <w:r w:rsidR="002401EB" w:rsidRPr="0038045B">
        <w:rPr>
          <w:i/>
          <w:color w:val="000000" w:themeColor="text1"/>
          <w:szCs w:val="24"/>
          <w:lang w:val="en-US" w:eastAsia="en-US"/>
        </w:rPr>
        <w:t xml:space="preserve">must </w:t>
      </w:r>
      <w:r w:rsidR="00B66FD0" w:rsidRPr="0038045B">
        <w:rPr>
          <w:i/>
          <w:color w:val="000000" w:themeColor="text1"/>
          <w:szCs w:val="24"/>
          <w:lang w:val="en-US" w:eastAsia="en-US"/>
        </w:rPr>
        <w:t>achieve broad participation from card issuers in the country</w:t>
      </w:r>
      <w:r w:rsidR="008D5E0F" w:rsidRPr="0038045B">
        <w:rPr>
          <w:rStyle w:val="FootnoteReference"/>
          <w:i/>
          <w:color w:val="000000" w:themeColor="text1"/>
          <w:szCs w:val="24"/>
          <w:lang w:val="en-US" w:eastAsia="en-US"/>
        </w:rPr>
        <w:footnoteReference w:id="51"/>
      </w:r>
      <w:r w:rsidR="00B66FD0" w:rsidRPr="0038045B">
        <w:rPr>
          <w:i/>
          <w:color w:val="000000" w:themeColor="text1"/>
          <w:szCs w:val="24"/>
          <w:lang w:val="en-US" w:eastAsia="en-US"/>
        </w:rPr>
        <w:t xml:space="preserve"> (</w:t>
      </w:r>
      <w:r w:rsidR="008D5E0F" w:rsidRPr="0038045B">
        <w:rPr>
          <w:i/>
          <w:color w:val="000000" w:themeColor="text1"/>
          <w:szCs w:val="24"/>
          <w:lang w:val="en-US" w:eastAsia="en-US"/>
        </w:rPr>
        <w:t xml:space="preserve">and eventually </w:t>
      </w:r>
      <w:r w:rsidR="005E1979" w:rsidRPr="0038045B">
        <w:rPr>
          <w:i/>
          <w:color w:val="000000" w:themeColor="text1"/>
          <w:szCs w:val="24"/>
          <w:lang w:val="en-US" w:eastAsia="en-US"/>
        </w:rPr>
        <w:t xml:space="preserve">also </w:t>
      </w:r>
      <w:r w:rsidR="008D5E0F" w:rsidRPr="0038045B">
        <w:rPr>
          <w:i/>
          <w:color w:val="000000" w:themeColor="text1"/>
          <w:szCs w:val="24"/>
          <w:lang w:val="en-US" w:eastAsia="en-US"/>
        </w:rPr>
        <w:t xml:space="preserve">from </w:t>
      </w:r>
      <w:r w:rsidR="005E1979" w:rsidRPr="0038045B">
        <w:rPr>
          <w:i/>
          <w:color w:val="000000" w:themeColor="text1"/>
          <w:szCs w:val="24"/>
          <w:lang w:val="en-US" w:eastAsia="en-US"/>
        </w:rPr>
        <w:t>issuers of o</w:t>
      </w:r>
      <w:r w:rsidR="008D5E0F" w:rsidRPr="0038045B">
        <w:rPr>
          <w:i/>
          <w:color w:val="000000" w:themeColor="text1"/>
          <w:szCs w:val="24"/>
          <w:lang w:val="en-US" w:eastAsia="en-US"/>
        </w:rPr>
        <w:t xml:space="preserve">ther </w:t>
      </w:r>
      <w:r w:rsidR="005E1979" w:rsidRPr="0038045B">
        <w:rPr>
          <w:i/>
          <w:color w:val="000000" w:themeColor="text1"/>
          <w:szCs w:val="24"/>
          <w:lang w:val="en-US" w:eastAsia="en-US"/>
        </w:rPr>
        <w:t>payment instruments that could also be switched</w:t>
      </w:r>
      <w:r w:rsidR="008D5E0F" w:rsidRPr="0038045B">
        <w:rPr>
          <w:i/>
          <w:color w:val="000000" w:themeColor="text1"/>
          <w:szCs w:val="24"/>
          <w:lang w:val="en-US" w:eastAsia="en-US"/>
        </w:rPr>
        <w:t>)</w:t>
      </w:r>
      <w:r w:rsidR="00B66FD0" w:rsidRPr="0038045B">
        <w:rPr>
          <w:i/>
          <w:color w:val="000000" w:themeColor="text1"/>
          <w:szCs w:val="24"/>
          <w:lang w:val="en-US" w:eastAsia="en-US"/>
        </w:rPr>
        <w:t xml:space="preserve">. Hence, its ownership and governance structures should not deter participation, but rather promote it. In particular, all participants should be able to influence decision-making, and the organization should be able to </w:t>
      </w:r>
      <w:r w:rsidR="00C80F30" w:rsidRPr="0038045B">
        <w:rPr>
          <w:i/>
          <w:color w:val="000000" w:themeColor="text1"/>
          <w:szCs w:val="24"/>
          <w:lang w:val="en-US" w:eastAsia="en-US"/>
        </w:rPr>
        <w:t xml:space="preserve">strike and </w:t>
      </w:r>
      <w:r w:rsidR="00B66FD0" w:rsidRPr="0038045B">
        <w:rPr>
          <w:i/>
          <w:color w:val="000000" w:themeColor="text1"/>
          <w:szCs w:val="24"/>
          <w:lang w:val="en-US" w:eastAsia="en-US"/>
        </w:rPr>
        <w:t xml:space="preserve">maintain a healthy balance between cooperative and competitive aspects. Successful models in this regard include </w:t>
      </w:r>
      <w:r w:rsidR="00C80F30" w:rsidRPr="0038045B">
        <w:rPr>
          <w:i/>
          <w:color w:val="000000" w:themeColor="text1"/>
          <w:szCs w:val="24"/>
          <w:lang w:val="en-US" w:eastAsia="en-US"/>
        </w:rPr>
        <w:t xml:space="preserve">the payments switch being organized (essentially) as a cooperative in which </w:t>
      </w:r>
      <w:r w:rsidR="00A9214C" w:rsidRPr="0038045B">
        <w:rPr>
          <w:i/>
          <w:color w:val="000000" w:themeColor="text1"/>
          <w:szCs w:val="24"/>
          <w:lang w:val="en-US" w:eastAsia="en-US"/>
        </w:rPr>
        <w:t xml:space="preserve">the users </w:t>
      </w:r>
      <w:r w:rsidR="00C80F30" w:rsidRPr="0038045B">
        <w:rPr>
          <w:i/>
          <w:color w:val="000000" w:themeColor="text1"/>
          <w:szCs w:val="24"/>
          <w:lang w:val="en-US" w:eastAsia="en-US"/>
        </w:rPr>
        <w:t xml:space="preserve">have representation in both the ownership and governance structure, or the payments card switch ownership and governance structures being totally </w:t>
      </w:r>
      <w:r w:rsidR="00A9214C" w:rsidRPr="0038045B">
        <w:rPr>
          <w:i/>
          <w:color w:val="000000" w:themeColor="text1"/>
          <w:szCs w:val="24"/>
          <w:lang w:val="en-US" w:eastAsia="en-US"/>
        </w:rPr>
        <w:t xml:space="preserve">(or at least largely) </w:t>
      </w:r>
      <w:r w:rsidR="00C80F30" w:rsidRPr="0038045B">
        <w:rPr>
          <w:i/>
          <w:color w:val="000000" w:themeColor="text1"/>
          <w:szCs w:val="24"/>
          <w:lang w:val="en-US" w:eastAsia="en-US"/>
        </w:rPr>
        <w:t xml:space="preserve">independent from its users/participants. </w:t>
      </w:r>
    </w:p>
    <w:p w14:paraId="4822F3DB" w14:textId="77777777" w:rsidR="000E1F53" w:rsidRPr="0038045B" w:rsidRDefault="000E1F53" w:rsidP="000E1F53">
      <w:pPr>
        <w:pStyle w:val="Body"/>
        <w:numPr>
          <w:ilvl w:val="0"/>
          <w:numId w:val="15"/>
        </w:numPr>
        <w:spacing w:after="200" w:line="276" w:lineRule="auto"/>
        <w:ind w:left="0" w:firstLine="0"/>
        <w:rPr>
          <w:i/>
          <w:color w:val="000000" w:themeColor="text1"/>
          <w:szCs w:val="24"/>
          <w:lang w:val="en-US" w:eastAsia="en-US"/>
        </w:rPr>
      </w:pPr>
      <w:r w:rsidRPr="0038045B">
        <w:rPr>
          <w:i/>
          <w:color w:val="000000" w:themeColor="text1"/>
          <w:szCs w:val="24"/>
          <w:lang w:val="en-US" w:eastAsia="en-US"/>
        </w:rPr>
        <w:t>In many countries it has been observed that some non-bank PSPs are able to cater to the specific needs of population segments that still do not use electronic payment services (e.g. many low-income individuals and/or people living in small towns or isolated communities), and at the same time can exert competitive pressures on traditional players for the latter to improve their service offering. In this regard, a general consideration in the case of Albania is that the current organization of the NPS still limits the involvement of non-bank players in the electronic payments value chain</w:t>
      </w:r>
      <w:r w:rsidRPr="0038045B">
        <w:rPr>
          <w:i/>
          <w:szCs w:val="24"/>
          <w:lang w:val="en-US" w:eastAsia="en-US"/>
        </w:rPr>
        <w:t>. For example, non-banks have no access to the settlement or clearing layers of the NPS, nor can they issue well-</w:t>
      </w:r>
      <w:r w:rsidR="00721CB6" w:rsidRPr="0038045B">
        <w:rPr>
          <w:i/>
          <w:szCs w:val="24"/>
          <w:lang w:val="en-US" w:eastAsia="en-US"/>
        </w:rPr>
        <w:t xml:space="preserve">known </w:t>
      </w:r>
      <w:r w:rsidRPr="0038045B">
        <w:rPr>
          <w:i/>
          <w:szCs w:val="24"/>
          <w:lang w:val="en-US" w:eastAsia="en-US"/>
        </w:rPr>
        <w:t xml:space="preserve">payment instruments such as payment cards. Partly because of this, the two licensed e-money issuers and </w:t>
      </w:r>
      <w:r w:rsidR="00E84ADE" w:rsidRPr="0038045B">
        <w:rPr>
          <w:i/>
          <w:szCs w:val="24"/>
          <w:lang w:val="en-US" w:eastAsia="en-US"/>
        </w:rPr>
        <w:t xml:space="preserve">the </w:t>
      </w:r>
      <w:r w:rsidRPr="0038045B">
        <w:rPr>
          <w:i/>
          <w:szCs w:val="24"/>
          <w:lang w:val="en-US" w:eastAsia="en-US"/>
        </w:rPr>
        <w:t xml:space="preserve">other </w:t>
      </w:r>
      <w:r w:rsidR="00E84ADE" w:rsidRPr="0038045B">
        <w:rPr>
          <w:i/>
          <w:szCs w:val="24"/>
          <w:lang w:val="en-US" w:eastAsia="en-US"/>
        </w:rPr>
        <w:t>NBFIs licensed to provide payment services</w:t>
      </w:r>
      <w:r w:rsidRPr="0038045B">
        <w:rPr>
          <w:i/>
          <w:szCs w:val="24"/>
          <w:lang w:val="en-US" w:eastAsia="en-US"/>
        </w:rPr>
        <w:t xml:space="preserve"> focus almost exclusively on bill payments (and where applicable </w:t>
      </w:r>
      <w:r w:rsidR="00721CB6" w:rsidRPr="0038045B">
        <w:rPr>
          <w:i/>
          <w:szCs w:val="24"/>
          <w:lang w:val="en-US" w:eastAsia="en-US"/>
        </w:rPr>
        <w:t xml:space="preserve">also on </w:t>
      </w:r>
      <w:r w:rsidRPr="0038045B">
        <w:rPr>
          <w:i/>
          <w:szCs w:val="24"/>
          <w:lang w:val="en-US" w:eastAsia="en-US"/>
        </w:rPr>
        <w:t xml:space="preserve">cross-border remittances, solely on a cash basis). Hence, there is room for the provision of a wider range of front-end, electronic payment services to the general public by non-banks (e.g. including person-to-person payments, etc.). </w:t>
      </w:r>
    </w:p>
    <w:p w14:paraId="7FF1E7FB" w14:textId="77777777" w:rsidR="00A558D2" w:rsidRPr="0038045B" w:rsidRDefault="002F6DC8" w:rsidP="00C80F30">
      <w:pPr>
        <w:pStyle w:val="Body"/>
        <w:numPr>
          <w:ilvl w:val="0"/>
          <w:numId w:val="15"/>
        </w:numPr>
        <w:spacing w:after="200" w:line="276" w:lineRule="auto"/>
        <w:ind w:left="0" w:firstLine="0"/>
        <w:rPr>
          <w:i/>
          <w:color w:val="000000" w:themeColor="text1"/>
          <w:szCs w:val="24"/>
          <w:lang w:val="en-US" w:eastAsia="en-US"/>
        </w:rPr>
      </w:pPr>
      <w:r w:rsidRPr="0038045B">
        <w:rPr>
          <w:i/>
          <w:color w:val="000000" w:themeColor="text1"/>
          <w:szCs w:val="24"/>
          <w:lang w:val="en-US" w:eastAsia="en-US"/>
        </w:rPr>
        <w:t xml:space="preserve">In this regard, an initial action item has to do with </w:t>
      </w:r>
      <w:r w:rsidR="00395C7D" w:rsidRPr="0038045B">
        <w:rPr>
          <w:i/>
          <w:color w:val="000000" w:themeColor="text1"/>
          <w:szCs w:val="24"/>
          <w:lang w:val="en-US" w:eastAsia="en-US"/>
        </w:rPr>
        <w:t>the composition of the NPSC</w:t>
      </w:r>
      <w:r w:rsidRPr="0038045B">
        <w:rPr>
          <w:i/>
          <w:color w:val="000000" w:themeColor="text1"/>
          <w:szCs w:val="24"/>
          <w:lang w:val="en-US" w:eastAsia="en-US"/>
        </w:rPr>
        <w:t>, which</w:t>
      </w:r>
      <w:r w:rsidR="00395C7D" w:rsidRPr="0038045B">
        <w:rPr>
          <w:i/>
          <w:color w:val="000000" w:themeColor="text1"/>
          <w:szCs w:val="24"/>
          <w:lang w:val="en-US" w:eastAsia="en-US"/>
        </w:rPr>
        <w:t xml:space="preserve"> could be broadened to also include non-bank </w:t>
      </w:r>
      <w:r w:rsidR="00293E31" w:rsidRPr="0038045B">
        <w:rPr>
          <w:i/>
          <w:color w:val="000000" w:themeColor="text1"/>
          <w:szCs w:val="24"/>
          <w:lang w:val="en-US" w:eastAsia="en-US"/>
        </w:rPr>
        <w:t xml:space="preserve">providers of payment services </w:t>
      </w:r>
      <w:r w:rsidR="00395C7D" w:rsidRPr="0038045B">
        <w:rPr>
          <w:i/>
          <w:color w:val="000000" w:themeColor="text1"/>
          <w:szCs w:val="24"/>
          <w:lang w:val="en-US" w:eastAsia="en-US"/>
        </w:rPr>
        <w:t>as voting members. Currently, a</w:t>
      </w:r>
      <w:r w:rsidR="00A558D2" w:rsidRPr="0038045B">
        <w:rPr>
          <w:i/>
          <w:color w:val="000000" w:themeColor="text1"/>
          <w:szCs w:val="24"/>
          <w:lang w:val="en-US" w:eastAsia="en-US"/>
        </w:rPr>
        <w:t>ccording to the NPSC Regulation</w:t>
      </w:r>
      <w:r w:rsidR="00395C7D" w:rsidRPr="0038045B">
        <w:rPr>
          <w:i/>
          <w:color w:val="000000" w:themeColor="text1"/>
          <w:szCs w:val="24"/>
          <w:lang w:val="en-US" w:eastAsia="en-US"/>
        </w:rPr>
        <w:t xml:space="preserve"> NBFIs that operate in the field of payments or money transfers may participate as observers in some committee meetings, </w:t>
      </w:r>
      <w:r w:rsidR="00A558D2" w:rsidRPr="0038045B">
        <w:rPr>
          <w:i/>
          <w:color w:val="000000" w:themeColor="text1"/>
          <w:szCs w:val="24"/>
          <w:lang w:val="en-US" w:eastAsia="en-US"/>
        </w:rPr>
        <w:t>depending on the agenda items</w:t>
      </w:r>
      <w:r w:rsidR="00395C7D" w:rsidRPr="0038045B">
        <w:rPr>
          <w:i/>
          <w:color w:val="000000" w:themeColor="text1"/>
          <w:szCs w:val="24"/>
          <w:lang w:val="en-US" w:eastAsia="en-US"/>
        </w:rPr>
        <w:t xml:space="preserve">. The World Bank </w:t>
      </w:r>
      <w:r w:rsidRPr="0038045B">
        <w:rPr>
          <w:i/>
          <w:color w:val="000000" w:themeColor="text1"/>
          <w:szCs w:val="24"/>
          <w:lang w:val="en-US" w:eastAsia="en-US"/>
        </w:rPr>
        <w:t xml:space="preserve">PSDG </w:t>
      </w:r>
      <w:r w:rsidR="00395C7D" w:rsidRPr="0038045B">
        <w:rPr>
          <w:i/>
          <w:color w:val="000000" w:themeColor="text1"/>
          <w:szCs w:val="24"/>
          <w:lang w:val="en-US" w:eastAsia="en-US"/>
        </w:rPr>
        <w:t xml:space="preserve">team believes that non-bank </w:t>
      </w:r>
      <w:r w:rsidR="00293E31" w:rsidRPr="0038045B">
        <w:rPr>
          <w:i/>
          <w:color w:val="000000" w:themeColor="text1"/>
          <w:szCs w:val="24"/>
          <w:lang w:val="en-US" w:eastAsia="en-US"/>
        </w:rPr>
        <w:t>providers of payment services</w:t>
      </w:r>
      <w:r w:rsidR="00395C7D" w:rsidRPr="0038045B">
        <w:rPr>
          <w:i/>
          <w:color w:val="000000" w:themeColor="text1"/>
          <w:szCs w:val="24"/>
          <w:lang w:val="en-US" w:eastAsia="en-US"/>
        </w:rPr>
        <w:t xml:space="preserve"> should also </w:t>
      </w:r>
      <w:r w:rsidR="00895905" w:rsidRPr="0038045B">
        <w:rPr>
          <w:i/>
          <w:color w:val="000000" w:themeColor="text1"/>
          <w:szCs w:val="24"/>
          <w:lang w:val="en-US" w:eastAsia="en-US"/>
        </w:rPr>
        <w:t xml:space="preserve">have a direct bearing </w:t>
      </w:r>
      <w:r w:rsidR="005C250E" w:rsidRPr="0038045B">
        <w:rPr>
          <w:i/>
          <w:color w:val="000000" w:themeColor="text1"/>
          <w:szCs w:val="24"/>
          <w:lang w:val="en-US" w:eastAsia="en-US"/>
        </w:rPr>
        <w:t>i</w:t>
      </w:r>
      <w:r w:rsidR="00895905" w:rsidRPr="0038045B">
        <w:rPr>
          <w:i/>
          <w:color w:val="000000" w:themeColor="text1"/>
          <w:szCs w:val="24"/>
          <w:lang w:val="en-US" w:eastAsia="en-US"/>
        </w:rPr>
        <w:t xml:space="preserve">n the </w:t>
      </w:r>
      <w:r w:rsidR="005C250E" w:rsidRPr="0038045B">
        <w:rPr>
          <w:i/>
          <w:color w:val="000000" w:themeColor="text1"/>
          <w:szCs w:val="24"/>
          <w:lang w:val="en-US" w:eastAsia="en-US"/>
        </w:rPr>
        <w:t xml:space="preserve">high-level discussions regarding </w:t>
      </w:r>
      <w:r w:rsidR="00895905" w:rsidRPr="0038045B">
        <w:rPr>
          <w:i/>
          <w:color w:val="000000" w:themeColor="text1"/>
          <w:szCs w:val="24"/>
          <w:lang w:val="en-US" w:eastAsia="en-US"/>
        </w:rPr>
        <w:t xml:space="preserve">the future direction of the NPS in Albania. Similar to the </w:t>
      </w:r>
      <w:r w:rsidR="005C250E" w:rsidRPr="0038045B">
        <w:rPr>
          <w:i/>
          <w:color w:val="000000" w:themeColor="text1"/>
          <w:szCs w:val="24"/>
          <w:lang w:val="en-US" w:eastAsia="en-US"/>
        </w:rPr>
        <w:t xml:space="preserve">voting </w:t>
      </w:r>
      <w:r w:rsidR="00895905" w:rsidRPr="0038045B">
        <w:rPr>
          <w:i/>
          <w:color w:val="000000" w:themeColor="text1"/>
          <w:szCs w:val="24"/>
          <w:lang w:val="en-US" w:eastAsia="en-US"/>
        </w:rPr>
        <w:t xml:space="preserve">representation </w:t>
      </w:r>
      <w:r w:rsidR="005C250E" w:rsidRPr="0038045B">
        <w:rPr>
          <w:i/>
          <w:color w:val="000000" w:themeColor="text1"/>
          <w:szCs w:val="24"/>
          <w:lang w:val="en-US" w:eastAsia="en-US"/>
        </w:rPr>
        <w:lastRenderedPageBreak/>
        <w:t>currently given to</w:t>
      </w:r>
      <w:r w:rsidR="00895905" w:rsidRPr="0038045B">
        <w:rPr>
          <w:i/>
          <w:color w:val="000000" w:themeColor="text1"/>
          <w:szCs w:val="24"/>
          <w:lang w:val="en-US" w:eastAsia="en-US"/>
        </w:rPr>
        <w:t xml:space="preserve"> banks, non-bank </w:t>
      </w:r>
      <w:r w:rsidR="00293E31" w:rsidRPr="0038045B">
        <w:rPr>
          <w:i/>
          <w:color w:val="000000" w:themeColor="text1"/>
          <w:szCs w:val="24"/>
          <w:lang w:val="en-US" w:eastAsia="en-US"/>
        </w:rPr>
        <w:t>providers</w:t>
      </w:r>
      <w:r w:rsidR="00895905" w:rsidRPr="0038045B">
        <w:rPr>
          <w:i/>
          <w:color w:val="000000" w:themeColor="text1"/>
          <w:szCs w:val="24"/>
          <w:lang w:val="en-US" w:eastAsia="en-US"/>
        </w:rPr>
        <w:t xml:space="preserve"> could be represented </w:t>
      </w:r>
      <w:r w:rsidR="005C250E" w:rsidRPr="0038045B">
        <w:rPr>
          <w:i/>
          <w:color w:val="000000" w:themeColor="text1"/>
          <w:szCs w:val="24"/>
          <w:lang w:val="en-US" w:eastAsia="en-US"/>
        </w:rPr>
        <w:t xml:space="preserve">through </w:t>
      </w:r>
      <w:r w:rsidR="00895905" w:rsidRPr="0038045B">
        <w:rPr>
          <w:i/>
          <w:color w:val="000000" w:themeColor="text1"/>
          <w:szCs w:val="24"/>
          <w:lang w:val="en-US" w:eastAsia="en-US"/>
        </w:rPr>
        <w:t xml:space="preserve">1-2 </w:t>
      </w:r>
      <w:r w:rsidR="005C250E" w:rsidRPr="0038045B">
        <w:rPr>
          <w:i/>
          <w:color w:val="000000" w:themeColor="text1"/>
          <w:szCs w:val="24"/>
          <w:lang w:val="en-US" w:eastAsia="en-US"/>
        </w:rPr>
        <w:t xml:space="preserve">voting </w:t>
      </w:r>
      <w:r w:rsidR="00895905" w:rsidRPr="0038045B">
        <w:rPr>
          <w:i/>
          <w:color w:val="000000" w:themeColor="text1"/>
          <w:szCs w:val="24"/>
          <w:lang w:val="en-US" w:eastAsia="en-US"/>
        </w:rPr>
        <w:t>members elected/designated by these entities.</w:t>
      </w:r>
    </w:p>
    <w:p w14:paraId="7E5D76B3" w14:textId="77777777" w:rsidR="00132448" w:rsidRPr="0038045B" w:rsidRDefault="00132448" w:rsidP="00132448">
      <w:pPr>
        <w:pStyle w:val="Body"/>
        <w:numPr>
          <w:ilvl w:val="0"/>
          <w:numId w:val="15"/>
        </w:numPr>
        <w:spacing w:after="200" w:line="276" w:lineRule="auto"/>
        <w:ind w:left="0" w:firstLine="0"/>
        <w:rPr>
          <w:i/>
          <w:color w:val="000000" w:themeColor="text1"/>
          <w:szCs w:val="24"/>
          <w:lang w:val="en-US" w:eastAsia="en-US"/>
        </w:rPr>
      </w:pPr>
      <w:r w:rsidRPr="0038045B">
        <w:rPr>
          <w:i/>
          <w:color w:val="000000" w:themeColor="text1"/>
          <w:szCs w:val="24"/>
          <w:lang w:val="en-US" w:eastAsia="en-US"/>
        </w:rPr>
        <w:t xml:space="preserve">As </w:t>
      </w:r>
      <w:r w:rsidRPr="0038045B">
        <w:rPr>
          <w:i/>
          <w:color w:val="000000" w:themeColor="text1"/>
          <w:lang w:val="en-US"/>
        </w:rPr>
        <w:t xml:space="preserve">regards </w:t>
      </w:r>
      <w:r w:rsidRPr="0038045B">
        <w:rPr>
          <w:i/>
          <w:color w:val="000000" w:themeColor="text1"/>
          <w:szCs w:val="24"/>
          <w:lang w:val="en-US" w:eastAsia="en-US"/>
        </w:rPr>
        <w:t>access to AIPS and the AECH, the BoA should adhere strictly to Principle 18 of the CPSS-IOSCO P</w:t>
      </w:r>
      <w:r w:rsidR="00FA69D5" w:rsidRPr="0038045B">
        <w:rPr>
          <w:i/>
          <w:color w:val="000000" w:themeColor="text1"/>
          <w:szCs w:val="24"/>
          <w:lang w:val="en-US" w:eastAsia="en-US"/>
        </w:rPr>
        <w:t xml:space="preserve">rinciples for Financial </w:t>
      </w:r>
      <w:r w:rsidRPr="0038045B">
        <w:rPr>
          <w:i/>
          <w:color w:val="000000" w:themeColor="text1"/>
          <w:szCs w:val="24"/>
          <w:lang w:val="en-US" w:eastAsia="en-US"/>
        </w:rPr>
        <w:t>M</w:t>
      </w:r>
      <w:r w:rsidR="00FA69D5" w:rsidRPr="0038045B">
        <w:rPr>
          <w:i/>
          <w:color w:val="000000" w:themeColor="text1"/>
          <w:szCs w:val="24"/>
          <w:lang w:val="en-US" w:eastAsia="en-US"/>
        </w:rPr>
        <w:t>arket Infrastructures</w:t>
      </w:r>
      <w:r w:rsidRPr="0038045B">
        <w:rPr>
          <w:i/>
          <w:color w:val="000000" w:themeColor="text1"/>
          <w:szCs w:val="24"/>
          <w:lang w:val="en-US" w:eastAsia="en-US"/>
        </w:rPr>
        <w:t xml:space="preserve"> (i.e. </w:t>
      </w:r>
      <w:r w:rsidR="00FA69D5" w:rsidRPr="0038045B">
        <w:rPr>
          <w:i/>
          <w:color w:val="000000" w:themeColor="text1"/>
          <w:szCs w:val="24"/>
          <w:lang w:val="en-US" w:eastAsia="en-US"/>
        </w:rPr>
        <w:t>A financial market infrastructure</w:t>
      </w:r>
      <w:r w:rsidRPr="0038045B">
        <w:rPr>
          <w:i/>
          <w:color w:val="000000" w:themeColor="text1"/>
          <w:szCs w:val="24"/>
          <w:lang w:val="en-US" w:eastAsia="en-US"/>
        </w:rPr>
        <w:t xml:space="preserve"> should have objective, risk-based, and publicly disclosed criteria for participation, which permit fair and open access</w:t>
      </w:r>
      <w:r w:rsidR="00E24180" w:rsidRPr="0038045B">
        <w:rPr>
          <w:i/>
          <w:color w:val="000000" w:themeColor="text1"/>
          <w:szCs w:val="24"/>
          <w:lang w:val="en-US" w:eastAsia="en-US"/>
        </w:rPr>
        <w:t>)</w:t>
      </w:r>
      <w:r w:rsidRPr="0038045B">
        <w:rPr>
          <w:i/>
          <w:color w:val="000000" w:themeColor="text1"/>
          <w:szCs w:val="24"/>
          <w:lang w:val="en-US" w:eastAsia="en-US"/>
        </w:rPr>
        <w:t>.</w:t>
      </w:r>
      <w:r w:rsidRPr="0038045B">
        <w:rPr>
          <w:rStyle w:val="FootnoteReference"/>
          <w:i/>
          <w:color w:val="000000" w:themeColor="text1"/>
          <w:szCs w:val="24"/>
          <w:lang w:val="en-US" w:eastAsia="en-US"/>
        </w:rPr>
        <w:t xml:space="preserve"> </w:t>
      </w:r>
      <w:r w:rsidRPr="0038045B">
        <w:rPr>
          <w:rStyle w:val="FootnoteReference"/>
          <w:i/>
          <w:color w:val="000000" w:themeColor="text1"/>
          <w:szCs w:val="24"/>
          <w:lang w:val="en-US" w:eastAsia="en-US"/>
        </w:rPr>
        <w:footnoteReference w:id="52"/>
      </w:r>
      <w:r w:rsidRPr="0038045B">
        <w:rPr>
          <w:i/>
          <w:color w:val="000000" w:themeColor="text1"/>
          <w:szCs w:val="24"/>
          <w:lang w:val="en-US" w:eastAsia="en-US"/>
        </w:rPr>
        <w:t xml:space="preserve"> At present there are legal restrictions that do not allow participation of non-banks, including operators of other payment systems and clearinghouses, in the payment systems operated by the BoA. The BoA has mentioned that it is currently working on the transposition of the EU’s PSD 2. This effort could be used as an opportunity to introduce legal changes to this end, provided that </w:t>
      </w:r>
      <w:r w:rsidR="003221AA" w:rsidRPr="0038045B">
        <w:rPr>
          <w:i/>
          <w:color w:val="000000" w:themeColor="text1"/>
          <w:szCs w:val="24"/>
          <w:lang w:val="en-US" w:eastAsia="en-US"/>
        </w:rPr>
        <w:t xml:space="preserve">interested </w:t>
      </w:r>
      <w:r w:rsidR="006236E6" w:rsidRPr="0038045B">
        <w:rPr>
          <w:i/>
          <w:color w:val="000000" w:themeColor="text1"/>
          <w:szCs w:val="24"/>
          <w:lang w:val="en-US" w:eastAsia="en-US"/>
        </w:rPr>
        <w:t>non-bank</w:t>
      </w:r>
      <w:r w:rsidR="00721CB6" w:rsidRPr="0038045B">
        <w:rPr>
          <w:i/>
          <w:color w:val="000000" w:themeColor="text1"/>
          <w:szCs w:val="24"/>
          <w:lang w:val="en-US" w:eastAsia="en-US"/>
        </w:rPr>
        <w:t>s</w:t>
      </w:r>
      <w:r w:rsidRPr="0038045B">
        <w:rPr>
          <w:i/>
          <w:color w:val="000000" w:themeColor="text1"/>
          <w:szCs w:val="24"/>
          <w:lang w:val="en-US" w:eastAsia="en-US"/>
        </w:rPr>
        <w:t xml:space="preserve"> are able to manage settlement risks adequately (see al</w:t>
      </w:r>
      <w:r w:rsidR="006236E6" w:rsidRPr="0038045B">
        <w:rPr>
          <w:i/>
          <w:color w:val="000000" w:themeColor="text1"/>
          <w:szCs w:val="24"/>
          <w:lang w:val="en-US" w:eastAsia="en-US"/>
        </w:rPr>
        <w:t>so recommendation 12</w:t>
      </w:r>
      <w:r w:rsidR="00B279F4" w:rsidRPr="0038045B">
        <w:rPr>
          <w:i/>
          <w:color w:val="000000" w:themeColor="text1"/>
          <w:szCs w:val="24"/>
          <w:lang w:val="en-US" w:eastAsia="en-US"/>
        </w:rPr>
        <w:t>8</w:t>
      </w:r>
      <w:r w:rsidR="006236E6" w:rsidRPr="0038045B">
        <w:rPr>
          <w:i/>
          <w:color w:val="000000" w:themeColor="text1"/>
          <w:szCs w:val="24"/>
          <w:lang w:val="en-US" w:eastAsia="en-US"/>
        </w:rPr>
        <w:t xml:space="preserve"> and footnote 4</w:t>
      </w:r>
      <w:r w:rsidR="00B279F4" w:rsidRPr="0038045B">
        <w:rPr>
          <w:i/>
          <w:color w:val="000000" w:themeColor="text1"/>
          <w:szCs w:val="24"/>
          <w:lang w:val="en-US" w:eastAsia="en-US"/>
        </w:rPr>
        <w:t>3</w:t>
      </w:r>
      <w:r w:rsidR="006236E6" w:rsidRPr="0038045B">
        <w:rPr>
          <w:i/>
          <w:color w:val="000000" w:themeColor="text1"/>
          <w:szCs w:val="24"/>
          <w:lang w:val="en-US" w:eastAsia="en-US"/>
        </w:rPr>
        <w:t>)</w:t>
      </w:r>
      <w:r w:rsidRPr="0038045B">
        <w:rPr>
          <w:i/>
          <w:color w:val="000000" w:themeColor="text1"/>
          <w:szCs w:val="24"/>
          <w:lang w:val="en-US" w:eastAsia="en-US"/>
        </w:rPr>
        <w:t>.</w:t>
      </w:r>
    </w:p>
    <w:p w14:paraId="629FAE3B" w14:textId="77777777" w:rsidR="00022565" w:rsidRPr="0038045B" w:rsidRDefault="00022565" w:rsidP="00C80F30">
      <w:pPr>
        <w:pStyle w:val="Body"/>
        <w:numPr>
          <w:ilvl w:val="0"/>
          <w:numId w:val="15"/>
        </w:numPr>
        <w:spacing w:after="200" w:line="276" w:lineRule="auto"/>
        <w:ind w:left="0" w:firstLine="0"/>
        <w:rPr>
          <w:i/>
          <w:color w:val="000000" w:themeColor="text1"/>
          <w:szCs w:val="24"/>
          <w:lang w:val="en-US" w:eastAsia="en-US"/>
        </w:rPr>
      </w:pPr>
      <w:r w:rsidRPr="0038045B">
        <w:rPr>
          <w:i/>
          <w:color w:val="000000" w:themeColor="text1"/>
          <w:szCs w:val="24"/>
          <w:lang w:val="en-US" w:eastAsia="en-US"/>
        </w:rPr>
        <w:t xml:space="preserve">In </w:t>
      </w:r>
      <w:r w:rsidR="002A465D" w:rsidRPr="0038045B">
        <w:rPr>
          <w:i/>
          <w:color w:val="000000" w:themeColor="text1"/>
          <w:szCs w:val="24"/>
          <w:lang w:val="en-US" w:eastAsia="en-US"/>
        </w:rPr>
        <w:t xml:space="preserve">the immediate term, </w:t>
      </w:r>
      <w:r w:rsidR="0054490E" w:rsidRPr="0038045B">
        <w:rPr>
          <w:i/>
          <w:color w:val="000000" w:themeColor="text1"/>
          <w:szCs w:val="24"/>
          <w:lang w:val="en-US" w:eastAsia="en-US"/>
        </w:rPr>
        <w:t xml:space="preserve">the </w:t>
      </w:r>
      <w:r w:rsidRPr="0038045B">
        <w:rPr>
          <w:i/>
          <w:color w:val="000000" w:themeColor="text1"/>
          <w:szCs w:val="24"/>
          <w:lang w:val="en-US" w:eastAsia="en-US"/>
        </w:rPr>
        <w:t xml:space="preserve">category </w:t>
      </w:r>
      <w:r w:rsidR="002A465D" w:rsidRPr="0038045B">
        <w:rPr>
          <w:i/>
          <w:color w:val="000000" w:themeColor="text1"/>
          <w:szCs w:val="24"/>
          <w:lang w:val="en-US" w:eastAsia="en-US"/>
        </w:rPr>
        <w:t xml:space="preserve">of “indirect access” </w:t>
      </w:r>
      <w:r w:rsidRPr="0038045B">
        <w:rPr>
          <w:i/>
          <w:color w:val="000000" w:themeColor="text1"/>
          <w:szCs w:val="24"/>
          <w:lang w:val="en-US" w:eastAsia="en-US"/>
        </w:rPr>
        <w:t xml:space="preserve">as </w:t>
      </w:r>
      <w:r w:rsidR="002A465D" w:rsidRPr="0038045B">
        <w:rPr>
          <w:i/>
          <w:color w:val="000000" w:themeColor="text1"/>
          <w:szCs w:val="24"/>
          <w:lang w:val="en-US" w:eastAsia="en-US"/>
        </w:rPr>
        <w:t xml:space="preserve">described in article </w:t>
      </w:r>
      <w:r w:rsidRPr="0038045B">
        <w:rPr>
          <w:i/>
          <w:color w:val="000000" w:themeColor="text1"/>
          <w:szCs w:val="24"/>
          <w:lang w:val="en-US" w:eastAsia="en-US"/>
        </w:rPr>
        <w:t xml:space="preserve">16 of the AECH Regulation (i.e. </w:t>
      </w:r>
      <w:r w:rsidR="0054490E" w:rsidRPr="0038045B">
        <w:rPr>
          <w:i/>
          <w:color w:val="000000" w:themeColor="text1"/>
          <w:szCs w:val="24"/>
          <w:lang w:val="en-US" w:eastAsia="en-US"/>
        </w:rPr>
        <w:t>“</w:t>
      </w:r>
      <w:r w:rsidRPr="0038045B">
        <w:rPr>
          <w:i/>
          <w:color w:val="000000" w:themeColor="text1"/>
          <w:szCs w:val="24"/>
          <w:lang w:val="en-US" w:eastAsia="en-US"/>
        </w:rPr>
        <w:t xml:space="preserve">being able to </w:t>
      </w:r>
      <w:r w:rsidR="002A465D" w:rsidRPr="0038045B">
        <w:rPr>
          <w:i/>
          <w:color w:val="000000" w:themeColor="text1"/>
          <w:szCs w:val="24"/>
          <w:lang w:val="en-US" w:eastAsia="en-US"/>
        </w:rPr>
        <w:t>send and receive payment files on their behalf, but settle in AIPS through the account of a settlement agent</w:t>
      </w:r>
      <w:r w:rsidR="0054490E" w:rsidRPr="0038045B">
        <w:rPr>
          <w:i/>
          <w:color w:val="000000" w:themeColor="text1"/>
          <w:szCs w:val="24"/>
          <w:lang w:val="en-US" w:eastAsia="en-US"/>
        </w:rPr>
        <w:t>”</w:t>
      </w:r>
      <w:r w:rsidRPr="0038045B">
        <w:rPr>
          <w:i/>
          <w:color w:val="000000" w:themeColor="text1"/>
          <w:szCs w:val="24"/>
          <w:lang w:val="en-US" w:eastAsia="en-US"/>
        </w:rPr>
        <w:t>) could prove useful to some</w:t>
      </w:r>
      <w:r w:rsidR="00DB7E8D" w:rsidRPr="0038045B">
        <w:rPr>
          <w:i/>
          <w:color w:val="000000" w:themeColor="text1"/>
          <w:szCs w:val="24"/>
          <w:lang w:val="en-US" w:eastAsia="en-US"/>
        </w:rPr>
        <w:t xml:space="preserve"> NBFIs</w:t>
      </w:r>
      <w:r w:rsidRPr="0038045B">
        <w:rPr>
          <w:i/>
          <w:color w:val="000000" w:themeColor="text1"/>
          <w:szCs w:val="24"/>
          <w:lang w:val="en-US" w:eastAsia="en-US"/>
        </w:rPr>
        <w:t xml:space="preserve"> licensed </w:t>
      </w:r>
      <w:r w:rsidR="00DB7E8D" w:rsidRPr="0038045B">
        <w:rPr>
          <w:i/>
          <w:color w:val="000000" w:themeColor="text1"/>
          <w:szCs w:val="24"/>
          <w:lang w:val="en-US" w:eastAsia="en-US"/>
        </w:rPr>
        <w:t>to provide payment services and/or issue e-money</w:t>
      </w:r>
      <w:r w:rsidRPr="0038045B">
        <w:rPr>
          <w:i/>
          <w:color w:val="000000" w:themeColor="text1"/>
          <w:szCs w:val="24"/>
          <w:lang w:val="en-US" w:eastAsia="en-US"/>
        </w:rPr>
        <w:t xml:space="preserve">. </w:t>
      </w:r>
      <w:r w:rsidR="002A465D" w:rsidRPr="0038045B">
        <w:rPr>
          <w:i/>
          <w:color w:val="000000" w:themeColor="text1"/>
          <w:szCs w:val="24"/>
          <w:lang w:val="en-US" w:eastAsia="en-US"/>
        </w:rPr>
        <w:t xml:space="preserve">To </w:t>
      </w:r>
      <w:r w:rsidRPr="0038045B">
        <w:rPr>
          <w:i/>
          <w:color w:val="000000" w:themeColor="text1"/>
          <w:szCs w:val="24"/>
          <w:lang w:val="en-US" w:eastAsia="en-US"/>
        </w:rPr>
        <w:t xml:space="preserve">this end, the BoA should </w:t>
      </w:r>
      <w:r w:rsidR="0054490E" w:rsidRPr="0038045B">
        <w:rPr>
          <w:i/>
          <w:color w:val="000000" w:themeColor="text1"/>
          <w:szCs w:val="24"/>
          <w:lang w:val="en-US" w:eastAsia="en-US"/>
        </w:rPr>
        <w:t xml:space="preserve">develop and </w:t>
      </w:r>
      <w:r w:rsidRPr="0038045B">
        <w:rPr>
          <w:i/>
          <w:color w:val="000000" w:themeColor="text1"/>
          <w:szCs w:val="24"/>
          <w:lang w:val="en-US" w:eastAsia="en-US"/>
        </w:rPr>
        <w:t xml:space="preserve">include in the </w:t>
      </w:r>
      <w:r w:rsidR="0054490E" w:rsidRPr="0038045B">
        <w:rPr>
          <w:i/>
          <w:color w:val="000000" w:themeColor="text1"/>
          <w:szCs w:val="24"/>
          <w:lang w:val="en-US" w:eastAsia="en-US"/>
        </w:rPr>
        <w:t xml:space="preserve">AECH </w:t>
      </w:r>
      <w:r w:rsidRPr="0038045B">
        <w:rPr>
          <w:i/>
          <w:color w:val="000000" w:themeColor="text1"/>
          <w:szCs w:val="24"/>
          <w:lang w:val="en-US" w:eastAsia="en-US"/>
        </w:rPr>
        <w:t xml:space="preserve">regulation objective, risk-based and transparent criteria for obtaining this </w:t>
      </w:r>
      <w:r w:rsidR="00F92071" w:rsidRPr="0038045B">
        <w:rPr>
          <w:i/>
          <w:color w:val="000000" w:themeColor="text1"/>
          <w:szCs w:val="24"/>
          <w:lang w:val="en-US" w:eastAsia="en-US"/>
        </w:rPr>
        <w:t>kind of</w:t>
      </w:r>
      <w:r w:rsidRPr="0038045B">
        <w:rPr>
          <w:i/>
          <w:color w:val="000000" w:themeColor="text1"/>
          <w:szCs w:val="24"/>
          <w:lang w:val="en-US" w:eastAsia="en-US"/>
        </w:rPr>
        <w:t xml:space="preserve"> access</w:t>
      </w:r>
      <w:r w:rsidR="00F92071" w:rsidRPr="0038045B">
        <w:rPr>
          <w:i/>
          <w:color w:val="000000" w:themeColor="text1"/>
          <w:szCs w:val="24"/>
          <w:lang w:val="en-US" w:eastAsia="en-US"/>
        </w:rPr>
        <w:t xml:space="preserve"> to the AECH.</w:t>
      </w:r>
      <w:r w:rsidRPr="0038045B">
        <w:rPr>
          <w:i/>
          <w:color w:val="000000" w:themeColor="text1"/>
          <w:szCs w:val="24"/>
          <w:lang w:val="en-US" w:eastAsia="en-US"/>
        </w:rPr>
        <w:t xml:space="preserve"> </w:t>
      </w:r>
    </w:p>
    <w:p w14:paraId="22EBFB5B" w14:textId="77777777" w:rsidR="000F72EC" w:rsidRPr="0038045B" w:rsidRDefault="00022565" w:rsidP="005A4EDB">
      <w:pPr>
        <w:pStyle w:val="Body"/>
        <w:numPr>
          <w:ilvl w:val="0"/>
          <w:numId w:val="15"/>
        </w:numPr>
        <w:spacing w:after="200" w:line="276" w:lineRule="auto"/>
        <w:ind w:left="0" w:firstLine="0"/>
        <w:rPr>
          <w:i/>
          <w:color w:val="000000" w:themeColor="text1"/>
          <w:szCs w:val="24"/>
          <w:lang w:val="en-US" w:eastAsia="en-US"/>
        </w:rPr>
      </w:pPr>
      <w:r w:rsidRPr="0038045B">
        <w:rPr>
          <w:i/>
          <w:color w:val="000000" w:themeColor="text1"/>
          <w:szCs w:val="24"/>
          <w:lang w:val="en-US" w:eastAsia="en-US"/>
        </w:rPr>
        <w:t>In any case, it should be noted that settling in AIPS through a commercial bank acting as settlement agent poses some challenges</w:t>
      </w:r>
      <w:r w:rsidR="0054490E" w:rsidRPr="0038045B">
        <w:rPr>
          <w:i/>
          <w:color w:val="000000" w:themeColor="text1"/>
          <w:szCs w:val="24"/>
          <w:lang w:val="en-US" w:eastAsia="en-US"/>
        </w:rPr>
        <w:t>,</w:t>
      </w:r>
      <w:r w:rsidRPr="0038045B">
        <w:rPr>
          <w:i/>
          <w:color w:val="000000" w:themeColor="text1"/>
          <w:szCs w:val="24"/>
          <w:lang w:val="en-US" w:eastAsia="en-US"/>
        </w:rPr>
        <w:t xml:space="preserve"> as banks are also competitors in the payments business</w:t>
      </w:r>
      <w:r w:rsidR="009715C3" w:rsidRPr="0038045B">
        <w:rPr>
          <w:i/>
          <w:color w:val="000000" w:themeColor="text1"/>
          <w:szCs w:val="24"/>
          <w:lang w:val="en-US" w:eastAsia="en-US"/>
        </w:rPr>
        <w:t xml:space="preserve">. This </w:t>
      </w:r>
      <w:r w:rsidRPr="0038045B">
        <w:rPr>
          <w:i/>
          <w:color w:val="000000" w:themeColor="text1"/>
          <w:szCs w:val="24"/>
          <w:lang w:val="en-US" w:eastAsia="en-US"/>
        </w:rPr>
        <w:t xml:space="preserve">may lead to </w:t>
      </w:r>
      <w:r w:rsidR="009715C3" w:rsidRPr="0038045B">
        <w:rPr>
          <w:i/>
          <w:color w:val="000000" w:themeColor="text1"/>
          <w:szCs w:val="24"/>
          <w:lang w:val="en-US" w:eastAsia="en-US"/>
        </w:rPr>
        <w:t xml:space="preserve">undue market behavior from the latter or even </w:t>
      </w:r>
      <w:r w:rsidRPr="0038045B">
        <w:rPr>
          <w:i/>
          <w:color w:val="000000" w:themeColor="text1"/>
          <w:szCs w:val="24"/>
          <w:lang w:val="en-US" w:eastAsia="en-US"/>
        </w:rPr>
        <w:t xml:space="preserve">confidentiality concerns (e.g. </w:t>
      </w:r>
      <w:r w:rsidR="009715C3" w:rsidRPr="0038045B">
        <w:rPr>
          <w:i/>
          <w:color w:val="000000" w:themeColor="text1"/>
          <w:szCs w:val="24"/>
          <w:lang w:val="en-US" w:eastAsia="en-US"/>
        </w:rPr>
        <w:t>non-banks that cannot send and receive payment files in the AECH may need to expose the details of their settlement files to their settlement agent</w:t>
      </w:r>
      <w:r w:rsidRPr="0038045B">
        <w:rPr>
          <w:i/>
          <w:color w:val="000000" w:themeColor="text1"/>
          <w:szCs w:val="24"/>
          <w:lang w:val="en-US" w:eastAsia="en-US"/>
        </w:rPr>
        <w:t xml:space="preserve">). </w:t>
      </w:r>
      <w:r w:rsidR="009715C3" w:rsidRPr="0038045B">
        <w:rPr>
          <w:i/>
          <w:color w:val="000000" w:themeColor="text1"/>
          <w:szCs w:val="24"/>
          <w:lang w:val="en-US" w:eastAsia="en-US"/>
        </w:rPr>
        <w:t>Hence, a</w:t>
      </w:r>
      <w:r w:rsidR="006A4515" w:rsidRPr="0038045B">
        <w:rPr>
          <w:i/>
          <w:color w:val="000000" w:themeColor="text1"/>
          <w:szCs w:val="24"/>
          <w:lang w:val="en-US" w:eastAsia="en-US"/>
        </w:rPr>
        <w:t xml:space="preserve">s the overseer of the NPS, the BoA </w:t>
      </w:r>
      <w:r w:rsidR="000F72EC" w:rsidRPr="0038045B">
        <w:rPr>
          <w:i/>
          <w:color w:val="000000" w:themeColor="text1"/>
          <w:szCs w:val="24"/>
          <w:lang w:val="en-US" w:eastAsia="en-US"/>
        </w:rPr>
        <w:t xml:space="preserve">should </w:t>
      </w:r>
      <w:r w:rsidR="006A4515" w:rsidRPr="0038045B">
        <w:rPr>
          <w:i/>
          <w:color w:val="000000" w:themeColor="text1"/>
          <w:szCs w:val="24"/>
          <w:lang w:val="en-US" w:eastAsia="en-US"/>
        </w:rPr>
        <w:t xml:space="preserve">ensure </w:t>
      </w:r>
      <w:r w:rsidR="000F72EC" w:rsidRPr="0038045B">
        <w:rPr>
          <w:i/>
          <w:color w:val="000000" w:themeColor="text1"/>
          <w:szCs w:val="24"/>
          <w:lang w:val="en-US" w:eastAsia="en-US"/>
        </w:rPr>
        <w:t xml:space="preserve">that </w:t>
      </w:r>
      <w:r w:rsidR="009715C3" w:rsidRPr="0038045B">
        <w:rPr>
          <w:i/>
          <w:color w:val="000000" w:themeColor="text1"/>
          <w:szCs w:val="24"/>
          <w:lang w:val="en-US" w:eastAsia="en-US"/>
        </w:rPr>
        <w:t xml:space="preserve">non-bank </w:t>
      </w:r>
      <w:r w:rsidR="00DB7E8D" w:rsidRPr="0038045B">
        <w:rPr>
          <w:i/>
          <w:color w:val="000000" w:themeColor="text1"/>
          <w:szCs w:val="24"/>
          <w:lang w:val="en-US" w:eastAsia="en-US"/>
        </w:rPr>
        <w:t xml:space="preserve">providers of payment services </w:t>
      </w:r>
      <w:r w:rsidR="000F72EC" w:rsidRPr="0038045B">
        <w:rPr>
          <w:i/>
          <w:color w:val="000000" w:themeColor="text1"/>
          <w:szCs w:val="24"/>
          <w:lang w:val="en-US" w:eastAsia="en-US"/>
        </w:rPr>
        <w:t xml:space="preserve">that are not able to become direct participants </w:t>
      </w:r>
      <w:r w:rsidR="006A4515" w:rsidRPr="0038045B">
        <w:rPr>
          <w:i/>
          <w:color w:val="000000" w:themeColor="text1"/>
          <w:szCs w:val="24"/>
          <w:lang w:val="en-US" w:eastAsia="en-US"/>
        </w:rPr>
        <w:t xml:space="preserve">of AIPS and/or AECH and </w:t>
      </w:r>
      <w:r w:rsidR="0054490E" w:rsidRPr="0038045B">
        <w:rPr>
          <w:i/>
          <w:color w:val="000000" w:themeColor="text1"/>
          <w:szCs w:val="24"/>
          <w:lang w:val="en-US" w:eastAsia="en-US"/>
        </w:rPr>
        <w:t xml:space="preserve">as a result </w:t>
      </w:r>
      <w:r w:rsidR="006A4515" w:rsidRPr="0038045B">
        <w:rPr>
          <w:i/>
          <w:color w:val="000000" w:themeColor="text1"/>
          <w:szCs w:val="24"/>
          <w:lang w:val="en-US" w:eastAsia="en-US"/>
        </w:rPr>
        <w:t>need to use a commercial bank for accessing these infrastructures</w:t>
      </w:r>
      <w:r w:rsidR="0054490E" w:rsidRPr="0038045B">
        <w:rPr>
          <w:i/>
          <w:color w:val="000000" w:themeColor="text1"/>
          <w:szCs w:val="24"/>
          <w:lang w:val="en-US" w:eastAsia="en-US"/>
        </w:rPr>
        <w:t>,</w:t>
      </w:r>
      <w:r w:rsidR="006A4515" w:rsidRPr="0038045B">
        <w:rPr>
          <w:i/>
          <w:color w:val="000000" w:themeColor="text1"/>
          <w:szCs w:val="24"/>
          <w:lang w:val="en-US" w:eastAsia="en-US"/>
        </w:rPr>
        <w:t xml:space="preserve"> are still able to obtain the payment services </w:t>
      </w:r>
      <w:r w:rsidR="009715C3" w:rsidRPr="0038045B">
        <w:rPr>
          <w:i/>
          <w:color w:val="000000" w:themeColor="text1"/>
          <w:szCs w:val="24"/>
          <w:lang w:val="en-US" w:eastAsia="en-US"/>
        </w:rPr>
        <w:t xml:space="preserve">they need </w:t>
      </w:r>
      <w:r w:rsidR="006A4515" w:rsidRPr="0038045B">
        <w:rPr>
          <w:i/>
          <w:color w:val="000000" w:themeColor="text1"/>
          <w:szCs w:val="24"/>
          <w:lang w:val="en-US" w:eastAsia="en-US"/>
        </w:rPr>
        <w:t xml:space="preserve">on a non-discriminatory basis and under reasonable terms and conditions. </w:t>
      </w:r>
    </w:p>
    <w:p w14:paraId="52169771" w14:textId="77777777" w:rsidR="00A94E6F" w:rsidRPr="0038045B" w:rsidRDefault="00A94E6F" w:rsidP="00C80F30">
      <w:pPr>
        <w:pStyle w:val="Body"/>
        <w:numPr>
          <w:ilvl w:val="0"/>
          <w:numId w:val="15"/>
        </w:numPr>
        <w:spacing w:after="200" w:line="276" w:lineRule="auto"/>
        <w:ind w:left="0" w:firstLine="0"/>
        <w:rPr>
          <w:i/>
          <w:color w:val="000000" w:themeColor="text1"/>
          <w:szCs w:val="24"/>
          <w:lang w:val="en-US" w:eastAsia="en-US"/>
        </w:rPr>
      </w:pPr>
      <w:r w:rsidRPr="0038045B">
        <w:rPr>
          <w:i/>
          <w:color w:val="000000" w:themeColor="text1"/>
          <w:szCs w:val="24"/>
          <w:lang w:val="en-US" w:eastAsia="en-US"/>
        </w:rPr>
        <w:t xml:space="preserve">Risk management in the AECH could be improved, specifically with regard to credit and liquidity risks. Net debit positions are not collateralized, nor are there limits to the size of these positions. </w:t>
      </w:r>
      <w:r w:rsidR="005E71E8" w:rsidRPr="0038045B">
        <w:rPr>
          <w:i/>
          <w:color w:val="000000" w:themeColor="text1"/>
          <w:szCs w:val="24"/>
          <w:lang w:val="en-US" w:eastAsia="en-US"/>
        </w:rPr>
        <w:t xml:space="preserve">In case of a liquidity shortage that does not allow a participant to settle its corresponding net obligation in AIPS, it may resort to </w:t>
      </w:r>
      <w:r w:rsidRPr="0038045B">
        <w:rPr>
          <w:i/>
          <w:color w:val="000000" w:themeColor="text1"/>
          <w:szCs w:val="24"/>
          <w:lang w:val="en-US" w:eastAsia="en-US"/>
        </w:rPr>
        <w:t xml:space="preserve">the </w:t>
      </w:r>
      <w:r w:rsidR="00105467" w:rsidRPr="0038045B">
        <w:rPr>
          <w:i/>
          <w:color w:val="000000" w:themeColor="text1"/>
          <w:szCs w:val="24"/>
          <w:lang w:val="en-US" w:eastAsia="en-US"/>
        </w:rPr>
        <w:t>intraday liquidity facility (</w:t>
      </w:r>
      <w:r w:rsidRPr="0038045B">
        <w:rPr>
          <w:i/>
          <w:color w:val="000000" w:themeColor="text1"/>
          <w:szCs w:val="24"/>
          <w:lang w:val="en-US" w:eastAsia="en-US"/>
        </w:rPr>
        <w:t>ILF</w:t>
      </w:r>
      <w:r w:rsidR="00105467" w:rsidRPr="0038045B">
        <w:rPr>
          <w:i/>
          <w:color w:val="000000" w:themeColor="text1"/>
          <w:szCs w:val="24"/>
          <w:lang w:val="en-US" w:eastAsia="en-US"/>
        </w:rPr>
        <w:t>)</w:t>
      </w:r>
      <w:r w:rsidRPr="0038045B">
        <w:rPr>
          <w:i/>
          <w:color w:val="000000" w:themeColor="text1"/>
          <w:szCs w:val="24"/>
          <w:lang w:val="en-US" w:eastAsia="en-US"/>
        </w:rPr>
        <w:t xml:space="preserve"> offered by the BoA</w:t>
      </w:r>
      <w:r w:rsidR="00096200" w:rsidRPr="0038045B">
        <w:rPr>
          <w:i/>
          <w:color w:val="000000" w:themeColor="text1"/>
          <w:szCs w:val="24"/>
          <w:lang w:val="en-US" w:eastAsia="en-US"/>
        </w:rPr>
        <w:t>. However</w:t>
      </w:r>
      <w:r w:rsidRPr="0038045B">
        <w:rPr>
          <w:i/>
          <w:color w:val="000000" w:themeColor="text1"/>
          <w:szCs w:val="24"/>
          <w:lang w:val="en-US" w:eastAsia="en-US"/>
        </w:rPr>
        <w:t xml:space="preserve">, this does not guarantee the availability of </w:t>
      </w:r>
      <w:r w:rsidR="00096200" w:rsidRPr="0038045B">
        <w:rPr>
          <w:i/>
          <w:color w:val="000000" w:themeColor="text1"/>
          <w:szCs w:val="24"/>
          <w:lang w:val="en-US" w:eastAsia="en-US"/>
        </w:rPr>
        <w:t xml:space="preserve">the necessary </w:t>
      </w:r>
      <w:r w:rsidRPr="0038045B">
        <w:rPr>
          <w:i/>
          <w:color w:val="000000" w:themeColor="text1"/>
          <w:szCs w:val="24"/>
          <w:lang w:val="en-US" w:eastAsia="en-US"/>
        </w:rPr>
        <w:t xml:space="preserve">funds </w:t>
      </w:r>
      <w:r w:rsidR="00105467" w:rsidRPr="0038045B">
        <w:rPr>
          <w:i/>
          <w:color w:val="000000" w:themeColor="text1"/>
          <w:szCs w:val="24"/>
          <w:lang w:val="en-US" w:eastAsia="en-US"/>
        </w:rPr>
        <w:t xml:space="preserve">as </w:t>
      </w:r>
      <w:r w:rsidRPr="0038045B">
        <w:rPr>
          <w:i/>
          <w:color w:val="000000" w:themeColor="text1"/>
          <w:szCs w:val="24"/>
          <w:lang w:val="en-US" w:eastAsia="en-US"/>
        </w:rPr>
        <w:t xml:space="preserve">the ILF must be collateralized with government securities and the participant may not have </w:t>
      </w:r>
      <w:r w:rsidR="00096200" w:rsidRPr="0038045B">
        <w:rPr>
          <w:i/>
          <w:color w:val="000000" w:themeColor="text1"/>
          <w:szCs w:val="24"/>
          <w:lang w:val="en-US" w:eastAsia="en-US"/>
        </w:rPr>
        <w:t>the required amount of s</w:t>
      </w:r>
      <w:r w:rsidRPr="0038045B">
        <w:rPr>
          <w:i/>
          <w:color w:val="000000" w:themeColor="text1"/>
          <w:szCs w:val="24"/>
          <w:lang w:val="en-US" w:eastAsia="en-US"/>
        </w:rPr>
        <w:t xml:space="preserve">ecurities available. </w:t>
      </w:r>
      <w:r w:rsidR="005E71E8" w:rsidRPr="0038045B">
        <w:rPr>
          <w:i/>
          <w:color w:val="000000" w:themeColor="text1"/>
          <w:szCs w:val="24"/>
          <w:lang w:val="en-US" w:eastAsia="en-US"/>
        </w:rPr>
        <w:t xml:space="preserve">Hence, it is recommended that net debit positions </w:t>
      </w:r>
      <w:r w:rsidR="005E71E8" w:rsidRPr="0038045B">
        <w:rPr>
          <w:i/>
          <w:color w:val="000000" w:themeColor="text1"/>
          <w:szCs w:val="24"/>
          <w:lang w:val="en-US" w:eastAsia="en-US"/>
        </w:rPr>
        <w:lastRenderedPageBreak/>
        <w:t xml:space="preserve">be collateralized “ex ante”. </w:t>
      </w:r>
      <w:r w:rsidR="00105467" w:rsidRPr="0038045B">
        <w:rPr>
          <w:i/>
          <w:color w:val="000000" w:themeColor="text1"/>
          <w:szCs w:val="24"/>
          <w:lang w:val="en-US" w:eastAsia="en-US"/>
        </w:rPr>
        <w:t>L</w:t>
      </w:r>
      <w:r w:rsidR="005E71E8" w:rsidRPr="0038045B">
        <w:rPr>
          <w:i/>
          <w:color w:val="000000" w:themeColor="text1"/>
          <w:szCs w:val="24"/>
          <w:lang w:val="en-US" w:eastAsia="en-US"/>
        </w:rPr>
        <w:t>imits to those positions could als</w:t>
      </w:r>
      <w:r w:rsidR="00096200" w:rsidRPr="0038045B">
        <w:rPr>
          <w:i/>
          <w:color w:val="000000" w:themeColor="text1"/>
          <w:szCs w:val="24"/>
          <w:lang w:val="en-US" w:eastAsia="en-US"/>
        </w:rPr>
        <w:t>o be established.</w:t>
      </w:r>
      <w:r w:rsidR="005A4EDB" w:rsidRPr="0038045B">
        <w:rPr>
          <w:rStyle w:val="FootnoteReference"/>
          <w:i/>
          <w:color w:val="000000" w:themeColor="text1"/>
          <w:szCs w:val="24"/>
          <w:lang w:val="en-US" w:eastAsia="en-US"/>
        </w:rPr>
        <w:footnoteReference w:id="53"/>
      </w:r>
    </w:p>
    <w:p w14:paraId="47BCAB88" w14:textId="77777777" w:rsidR="00ED07CA" w:rsidRPr="0038045B" w:rsidRDefault="00F613D3" w:rsidP="00F87749">
      <w:pPr>
        <w:pStyle w:val="Body"/>
        <w:numPr>
          <w:ilvl w:val="0"/>
          <w:numId w:val="15"/>
        </w:numPr>
        <w:spacing w:after="200" w:line="276" w:lineRule="auto"/>
        <w:ind w:left="0" w:firstLine="0"/>
        <w:rPr>
          <w:i/>
          <w:color w:val="000000" w:themeColor="text1"/>
          <w:szCs w:val="24"/>
          <w:lang w:val="en-US" w:eastAsia="en-US"/>
        </w:rPr>
      </w:pPr>
      <w:r w:rsidRPr="0038045B">
        <w:rPr>
          <w:i/>
          <w:color w:val="000000" w:themeColor="text1"/>
          <w:szCs w:val="24"/>
          <w:lang w:val="en-US" w:eastAsia="en-US"/>
        </w:rPr>
        <w:t>Even if banks are already offering direct debit services within their respective networks (i.e. at the intrabank level), t</w:t>
      </w:r>
      <w:r w:rsidR="00316EC6" w:rsidRPr="0038045B">
        <w:rPr>
          <w:i/>
          <w:color w:val="000000" w:themeColor="text1"/>
          <w:szCs w:val="24"/>
          <w:lang w:val="en-US" w:eastAsia="en-US"/>
        </w:rPr>
        <w:t xml:space="preserve">he BoA and AECH participants should strive to implement </w:t>
      </w:r>
      <w:r w:rsidRPr="0038045B">
        <w:rPr>
          <w:i/>
          <w:color w:val="000000" w:themeColor="text1"/>
          <w:szCs w:val="24"/>
          <w:lang w:val="en-US" w:eastAsia="en-US"/>
        </w:rPr>
        <w:t xml:space="preserve">interbank </w:t>
      </w:r>
      <w:r w:rsidR="00316EC6" w:rsidRPr="0038045B">
        <w:rPr>
          <w:i/>
          <w:color w:val="000000" w:themeColor="text1"/>
          <w:szCs w:val="24"/>
          <w:lang w:val="en-US" w:eastAsia="en-US"/>
        </w:rPr>
        <w:t xml:space="preserve">direct debits in the AECH. </w:t>
      </w:r>
      <w:r w:rsidR="00ED07CA" w:rsidRPr="0038045B">
        <w:rPr>
          <w:i/>
          <w:color w:val="000000" w:themeColor="text1"/>
          <w:szCs w:val="24"/>
          <w:lang w:val="en-US" w:eastAsia="en-US"/>
        </w:rPr>
        <w:t xml:space="preserve"> </w:t>
      </w:r>
      <w:r w:rsidRPr="0038045B">
        <w:rPr>
          <w:i/>
          <w:color w:val="000000" w:themeColor="text1"/>
          <w:szCs w:val="24"/>
          <w:lang w:val="en-US" w:eastAsia="en-US"/>
        </w:rPr>
        <w:t xml:space="preserve">It is widely recognized that </w:t>
      </w:r>
      <w:r w:rsidR="00ED07CA" w:rsidRPr="0038045B">
        <w:rPr>
          <w:i/>
          <w:color w:val="000000" w:themeColor="text1"/>
          <w:szCs w:val="24"/>
          <w:lang w:val="en-US" w:eastAsia="en-US"/>
        </w:rPr>
        <w:t>for all types of billers there can be relevant efficiency gains in being able to debit any account in the financial system from a single point</w:t>
      </w:r>
      <w:r w:rsidRPr="0038045B">
        <w:rPr>
          <w:i/>
          <w:color w:val="000000" w:themeColor="text1"/>
          <w:szCs w:val="24"/>
          <w:lang w:val="en-US" w:eastAsia="en-US"/>
        </w:rPr>
        <w:t>/</w:t>
      </w:r>
      <w:r w:rsidR="00ED07CA" w:rsidRPr="0038045B">
        <w:rPr>
          <w:i/>
          <w:color w:val="000000" w:themeColor="text1"/>
          <w:szCs w:val="24"/>
          <w:lang w:val="en-US" w:eastAsia="en-US"/>
        </w:rPr>
        <w:t>account.</w:t>
      </w:r>
      <w:bookmarkStart w:id="74" w:name="x__ftnref1"/>
      <w:bookmarkEnd w:id="74"/>
      <w:r w:rsidR="00ED07CA" w:rsidRPr="0038045B">
        <w:rPr>
          <w:i/>
          <w:color w:val="000000" w:themeColor="text1"/>
          <w:szCs w:val="24"/>
          <w:lang w:val="en-US" w:eastAsia="en-US"/>
        </w:rPr>
        <w:t xml:space="preserve"> Furthermore, interbank direct debits increase the ability of smaller banks </w:t>
      </w:r>
      <w:r w:rsidRPr="0038045B">
        <w:rPr>
          <w:i/>
          <w:color w:val="000000" w:themeColor="text1"/>
          <w:szCs w:val="24"/>
          <w:lang w:val="en-US" w:eastAsia="en-US"/>
        </w:rPr>
        <w:t xml:space="preserve">that do not have a large physical network </w:t>
      </w:r>
      <w:r w:rsidR="00ED07CA" w:rsidRPr="0038045B">
        <w:rPr>
          <w:i/>
          <w:color w:val="000000" w:themeColor="text1"/>
          <w:szCs w:val="24"/>
          <w:lang w:val="en-US" w:eastAsia="en-US"/>
        </w:rPr>
        <w:t xml:space="preserve">to attract billers and final customers. </w:t>
      </w:r>
      <w:r w:rsidRPr="0038045B">
        <w:rPr>
          <w:i/>
          <w:color w:val="000000" w:themeColor="text1"/>
          <w:szCs w:val="24"/>
          <w:lang w:val="en-US" w:eastAsia="en-US"/>
        </w:rPr>
        <w:t>Enabling direct debits at the interbank level can therefore also assist in having a</w:t>
      </w:r>
      <w:r w:rsidR="00ED07CA" w:rsidRPr="0038045B">
        <w:rPr>
          <w:i/>
          <w:color w:val="000000" w:themeColor="text1"/>
          <w:szCs w:val="24"/>
          <w:lang w:val="en-US" w:eastAsia="en-US"/>
        </w:rPr>
        <w:t xml:space="preserve"> </w:t>
      </w:r>
      <w:r w:rsidRPr="0038045B">
        <w:rPr>
          <w:i/>
          <w:color w:val="000000" w:themeColor="text1"/>
          <w:szCs w:val="24"/>
          <w:lang w:val="en-US" w:eastAsia="en-US"/>
        </w:rPr>
        <w:t xml:space="preserve">more </w:t>
      </w:r>
      <w:r w:rsidR="00ED07CA" w:rsidRPr="0038045B">
        <w:rPr>
          <w:i/>
          <w:color w:val="000000" w:themeColor="text1"/>
          <w:szCs w:val="24"/>
          <w:lang w:val="en-US" w:eastAsia="en-US"/>
        </w:rPr>
        <w:t xml:space="preserve">level playing field in the </w:t>
      </w:r>
      <w:r w:rsidRPr="0038045B">
        <w:rPr>
          <w:i/>
          <w:color w:val="000000" w:themeColor="text1"/>
          <w:szCs w:val="24"/>
          <w:lang w:val="en-US" w:eastAsia="en-US"/>
        </w:rPr>
        <w:t xml:space="preserve">payments </w:t>
      </w:r>
      <w:r w:rsidR="00ED07CA" w:rsidRPr="0038045B">
        <w:rPr>
          <w:i/>
          <w:color w:val="000000" w:themeColor="text1"/>
          <w:szCs w:val="24"/>
          <w:lang w:val="en-US" w:eastAsia="en-US"/>
        </w:rPr>
        <w:t>market</w:t>
      </w:r>
      <w:r w:rsidR="002B62CF" w:rsidRPr="0038045B">
        <w:rPr>
          <w:i/>
          <w:color w:val="000000" w:themeColor="text1"/>
          <w:szCs w:val="24"/>
          <w:lang w:val="en-US" w:eastAsia="en-US"/>
        </w:rPr>
        <w:t xml:space="preserve"> (</w:t>
      </w:r>
      <w:r w:rsidRPr="0038045B">
        <w:rPr>
          <w:i/>
          <w:color w:val="000000" w:themeColor="text1"/>
          <w:szCs w:val="24"/>
          <w:lang w:val="en-US" w:eastAsia="en-US"/>
        </w:rPr>
        <w:t xml:space="preserve">in which the participants </w:t>
      </w:r>
      <w:r w:rsidR="002B62CF" w:rsidRPr="0038045B">
        <w:rPr>
          <w:i/>
          <w:color w:val="000000" w:themeColor="text1"/>
          <w:szCs w:val="24"/>
          <w:lang w:val="en-US" w:eastAsia="en-US"/>
        </w:rPr>
        <w:t xml:space="preserve">compete in the provision of better services, while they largely </w:t>
      </w:r>
      <w:r w:rsidRPr="0038045B">
        <w:rPr>
          <w:i/>
          <w:color w:val="000000" w:themeColor="text1"/>
          <w:szCs w:val="24"/>
          <w:lang w:val="en-US" w:eastAsia="en-US"/>
        </w:rPr>
        <w:t>cooperate when it comes to infrastructure</w:t>
      </w:r>
      <w:r w:rsidR="002B62CF" w:rsidRPr="0038045B">
        <w:rPr>
          <w:i/>
          <w:color w:val="000000" w:themeColor="text1"/>
          <w:szCs w:val="24"/>
          <w:lang w:val="en-US" w:eastAsia="en-US"/>
        </w:rPr>
        <w:t>).</w:t>
      </w:r>
    </w:p>
    <w:p w14:paraId="2C0D664F" w14:textId="77777777" w:rsidR="002A0411" w:rsidRPr="0038045B" w:rsidRDefault="004B3AF8" w:rsidP="00E346FA">
      <w:pPr>
        <w:pStyle w:val="Heading3"/>
        <w:spacing w:before="480" w:after="240"/>
        <w:rPr>
          <w:b w:val="0"/>
          <w:i/>
        </w:rPr>
      </w:pPr>
      <w:bookmarkStart w:id="75" w:name="_Toc476239718"/>
      <w:r w:rsidRPr="0038045B">
        <w:rPr>
          <w:b w:val="0"/>
          <w:i/>
        </w:rPr>
        <w:t>Other relevant i</w:t>
      </w:r>
      <w:r w:rsidR="002A0411" w:rsidRPr="0038045B">
        <w:rPr>
          <w:b w:val="0"/>
          <w:i/>
        </w:rPr>
        <w:t>nfrastructure</w:t>
      </w:r>
      <w:r w:rsidRPr="0038045B">
        <w:rPr>
          <w:b w:val="0"/>
          <w:i/>
        </w:rPr>
        <w:t>s that support financial inclusion</w:t>
      </w:r>
      <w:bookmarkEnd w:id="75"/>
    </w:p>
    <w:p w14:paraId="191ABFBD" w14:textId="77777777" w:rsidR="004B3AF8" w:rsidRPr="0038045B" w:rsidRDefault="001146E5" w:rsidP="00C80F30">
      <w:pPr>
        <w:pStyle w:val="Body"/>
        <w:numPr>
          <w:ilvl w:val="0"/>
          <w:numId w:val="15"/>
        </w:numPr>
        <w:spacing w:after="200" w:line="276" w:lineRule="auto"/>
        <w:ind w:left="0" w:firstLine="0"/>
        <w:rPr>
          <w:lang w:val="en-US"/>
        </w:rPr>
      </w:pPr>
      <w:r w:rsidRPr="0038045B">
        <w:rPr>
          <w:lang w:val="en-US"/>
        </w:rPr>
        <w:t>As mentioned earlier, t</w:t>
      </w:r>
      <w:r w:rsidR="004B3AF8" w:rsidRPr="0038045B">
        <w:rPr>
          <w:lang w:val="en-US"/>
        </w:rPr>
        <w:t xml:space="preserve">here are other infrastructures that, while not being part of the </w:t>
      </w:r>
      <w:r w:rsidR="007E6DB8" w:rsidRPr="0038045B">
        <w:rPr>
          <w:lang w:val="en-US"/>
        </w:rPr>
        <w:t>NPS</w:t>
      </w:r>
      <w:r w:rsidR="004B3AF8" w:rsidRPr="0038045B">
        <w:rPr>
          <w:lang w:val="en-US"/>
        </w:rPr>
        <w:t xml:space="preserve">, are also of major relevance for financial inclusion as they provide critical information to </w:t>
      </w:r>
      <w:r w:rsidR="007E6DB8" w:rsidRPr="0038045B">
        <w:rPr>
          <w:lang w:val="en-US"/>
        </w:rPr>
        <w:t xml:space="preserve">payment service providers </w:t>
      </w:r>
      <w:r w:rsidR="004B3AF8" w:rsidRPr="0038045B">
        <w:rPr>
          <w:lang w:val="en-US"/>
        </w:rPr>
        <w:t>and other financial service providers. These include</w:t>
      </w:r>
      <w:r w:rsidR="0011753D" w:rsidRPr="0038045B">
        <w:rPr>
          <w:lang w:val="en-US"/>
        </w:rPr>
        <w:t xml:space="preserve"> national </w:t>
      </w:r>
      <w:r w:rsidR="004B3AF8" w:rsidRPr="0038045B">
        <w:rPr>
          <w:lang w:val="en-US"/>
        </w:rPr>
        <w:t xml:space="preserve">ID </w:t>
      </w:r>
      <w:r w:rsidR="0011753D" w:rsidRPr="0038045B">
        <w:rPr>
          <w:lang w:val="en-US"/>
        </w:rPr>
        <w:t>systems a</w:t>
      </w:r>
      <w:r w:rsidR="004B3AF8" w:rsidRPr="0038045B">
        <w:rPr>
          <w:lang w:val="en-US"/>
        </w:rPr>
        <w:t>nd credit reporting an</w:t>
      </w:r>
      <w:r w:rsidR="004A346A" w:rsidRPr="0038045B">
        <w:rPr>
          <w:lang w:val="en-US"/>
        </w:rPr>
        <w:t>d other data-sharing platforms.</w:t>
      </w:r>
      <w:r w:rsidR="004A346A" w:rsidRPr="0038045B">
        <w:rPr>
          <w:rStyle w:val="FootnoteReference"/>
          <w:lang w:val="en-US"/>
        </w:rPr>
        <w:footnoteReference w:id="54"/>
      </w:r>
      <w:r w:rsidRPr="0038045B">
        <w:rPr>
          <w:lang w:val="en-US"/>
        </w:rPr>
        <w:t xml:space="preserve"> </w:t>
      </w:r>
    </w:p>
    <w:p w14:paraId="323A83BD" w14:textId="77777777" w:rsidR="00B71C6F" w:rsidRPr="0038045B" w:rsidRDefault="00B71C6F" w:rsidP="00B71C6F">
      <w:pPr>
        <w:pStyle w:val="Body"/>
        <w:spacing w:after="200" w:line="276" w:lineRule="auto"/>
        <w:ind w:firstLine="0"/>
        <w:rPr>
          <w:u w:val="single"/>
          <w:lang w:val="en-US"/>
        </w:rPr>
      </w:pPr>
      <w:r w:rsidRPr="0038045B">
        <w:rPr>
          <w:u w:val="single"/>
          <w:lang w:val="en-US"/>
        </w:rPr>
        <w:t>ID system in Albania</w:t>
      </w:r>
    </w:p>
    <w:p w14:paraId="09DCA77B" w14:textId="77777777" w:rsidR="00DE3A78" w:rsidRPr="0038045B" w:rsidRDefault="007E6DB8" w:rsidP="00C80F30">
      <w:pPr>
        <w:pStyle w:val="Body"/>
        <w:numPr>
          <w:ilvl w:val="0"/>
          <w:numId w:val="15"/>
        </w:numPr>
        <w:spacing w:after="200" w:line="276" w:lineRule="auto"/>
        <w:ind w:left="0" w:firstLine="0"/>
        <w:rPr>
          <w:color w:val="000000" w:themeColor="text1"/>
          <w:szCs w:val="24"/>
          <w:lang w:val="en-US" w:eastAsia="en-US"/>
        </w:rPr>
      </w:pPr>
      <w:r w:rsidRPr="0038045B">
        <w:rPr>
          <w:lang w:val="en-US"/>
        </w:rPr>
        <w:t xml:space="preserve">In </w:t>
      </w:r>
      <w:r w:rsidR="001146E5" w:rsidRPr="0038045B">
        <w:rPr>
          <w:lang w:val="en-US"/>
        </w:rPr>
        <w:t xml:space="preserve">Albania, </w:t>
      </w:r>
      <w:r w:rsidRPr="0038045B">
        <w:rPr>
          <w:lang w:val="en-US"/>
        </w:rPr>
        <w:t xml:space="preserve">the </w:t>
      </w:r>
      <w:r w:rsidR="00627D5C" w:rsidRPr="0038045B">
        <w:rPr>
          <w:lang w:val="en-US"/>
        </w:rPr>
        <w:t>Ministry of Inter</w:t>
      </w:r>
      <w:r w:rsidR="00DE3A78" w:rsidRPr="0038045B">
        <w:rPr>
          <w:lang w:val="en-US"/>
        </w:rPr>
        <w:t>nal Affairs o</w:t>
      </w:r>
      <w:r w:rsidR="00627D5C" w:rsidRPr="0038045B">
        <w:rPr>
          <w:lang w:val="en-US"/>
        </w:rPr>
        <w:t>perates the National Civil Status Registry</w:t>
      </w:r>
      <w:r w:rsidR="00BE03EC" w:rsidRPr="0038045B">
        <w:rPr>
          <w:lang w:val="en-US"/>
        </w:rPr>
        <w:t xml:space="preserve">, which </w:t>
      </w:r>
      <w:r w:rsidR="00DE3A78" w:rsidRPr="0038045B">
        <w:rPr>
          <w:lang w:val="en-US"/>
        </w:rPr>
        <w:t>is a centralized database where</w:t>
      </w:r>
      <w:r w:rsidR="00441367" w:rsidRPr="0038045B">
        <w:rPr>
          <w:lang w:val="en-US"/>
        </w:rPr>
        <w:t xml:space="preserve"> vital </w:t>
      </w:r>
      <w:r w:rsidR="00DE3A78" w:rsidRPr="0038045B">
        <w:rPr>
          <w:lang w:val="en-US"/>
        </w:rPr>
        <w:t xml:space="preserve">life </w:t>
      </w:r>
      <w:r w:rsidR="00BE03EC" w:rsidRPr="0038045B">
        <w:rPr>
          <w:lang w:val="en-US"/>
        </w:rPr>
        <w:t xml:space="preserve">events </w:t>
      </w:r>
      <w:r w:rsidR="00441367" w:rsidRPr="0038045B">
        <w:rPr>
          <w:lang w:val="en-US"/>
        </w:rPr>
        <w:t xml:space="preserve">of the population </w:t>
      </w:r>
      <w:r w:rsidR="00DE3A78" w:rsidRPr="0038045B">
        <w:rPr>
          <w:lang w:val="en-US"/>
        </w:rPr>
        <w:t>are recorded (e.g. birth</w:t>
      </w:r>
      <w:r w:rsidR="00441367" w:rsidRPr="0038045B">
        <w:rPr>
          <w:lang w:val="en-US"/>
        </w:rPr>
        <w:t>s</w:t>
      </w:r>
      <w:r w:rsidR="00DE3A78" w:rsidRPr="0038045B">
        <w:rPr>
          <w:lang w:val="en-US"/>
        </w:rPr>
        <w:t xml:space="preserve">, </w:t>
      </w:r>
      <w:r w:rsidR="00441367" w:rsidRPr="0038045B">
        <w:rPr>
          <w:lang w:val="en-US"/>
        </w:rPr>
        <w:t xml:space="preserve">deaths, </w:t>
      </w:r>
      <w:r w:rsidR="00DE3A78" w:rsidRPr="0038045B">
        <w:rPr>
          <w:lang w:val="en-US"/>
        </w:rPr>
        <w:t xml:space="preserve">etc.) and through which </w:t>
      </w:r>
      <w:r w:rsidR="00BE03EC" w:rsidRPr="0038045B">
        <w:rPr>
          <w:lang w:val="en-US"/>
        </w:rPr>
        <w:t xml:space="preserve">identity number </w:t>
      </w:r>
      <w:r w:rsidR="00DE3A78" w:rsidRPr="0038045B">
        <w:rPr>
          <w:lang w:val="en-US"/>
        </w:rPr>
        <w:t xml:space="preserve">are assigned </w:t>
      </w:r>
      <w:r w:rsidR="00BE03EC" w:rsidRPr="0038045B">
        <w:rPr>
          <w:lang w:val="en-US"/>
        </w:rPr>
        <w:t>to each citizen</w:t>
      </w:r>
      <w:r w:rsidR="00DE3A78" w:rsidRPr="0038045B">
        <w:rPr>
          <w:lang w:val="en-US"/>
        </w:rPr>
        <w:t xml:space="preserve">. The </w:t>
      </w:r>
      <w:r w:rsidR="009874F8" w:rsidRPr="0038045B">
        <w:rPr>
          <w:lang w:val="en-US"/>
        </w:rPr>
        <w:t xml:space="preserve">national </w:t>
      </w:r>
      <w:r w:rsidR="00DE3A78" w:rsidRPr="0038045B">
        <w:rPr>
          <w:lang w:val="en-US"/>
        </w:rPr>
        <w:t>identity number (NID) is al alphanumerical 10-digit algorithm</w:t>
      </w:r>
      <w:r w:rsidR="00BE03EC" w:rsidRPr="0038045B">
        <w:rPr>
          <w:lang w:val="en-US"/>
        </w:rPr>
        <w:t xml:space="preserve"> </w:t>
      </w:r>
      <w:r w:rsidR="00DE3A78" w:rsidRPr="0038045B">
        <w:rPr>
          <w:lang w:val="en-US"/>
        </w:rPr>
        <w:t xml:space="preserve">that guarantees a unique number. </w:t>
      </w:r>
      <w:r w:rsidR="00B01598" w:rsidRPr="0038045B">
        <w:rPr>
          <w:lang w:val="en-US"/>
        </w:rPr>
        <w:t xml:space="preserve">This Registry is connected online with the National Agency for Information Society (NAIS) in order to provide authentication for citizens </w:t>
      </w:r>
      <w:r w:rsidR="00090F5F" w:rsidRPr="0038045B">
        <w:rPr>
          <w:lang w:val="en-US"/>
        </w:rPr>
        <w:t>using</w:t>
      </w:r>
      <w:r w:rsidR="00B01598" w:rsidRPr="0038045B">
        <w:rPr>
          <w:lang w:val="en-US"/>
        </w:rPr>
        <w:t xml:space="preserve"> e-government services. </w:t>
      </w:r>
    </w:p>
    <w:p w14:paraId="7111C789" w14:textId="77777777" w:rsidR="00441367" w:rsidRPr="0038045B" w:rsidRDefault="00DE3A78" w:rsidP="00C80F30">
      <w:pPr>
        <w:pStyle w:val="Body"/>
        <w:numPr>
          <w:ilvl w:val="0"/>
          <w:numId w:val="15"/>
        </w:numPr>
        <w:spacing w:after="200" w:line="276" w:lineRule="auto"/>
        <w:ind w:left="0" w:firstLine="0"/>
        <w:rPr>
          <w:color w:val="000000" w:themeColor="text1"/>
          <w:szCs w:val="24"/>
          <w:lang w:val="en-US" w:eastAsia="en-US"/>
        </w:rPr>
      </w:pPr>
      <w:r w:rsidRPr="0038045B">
        <w:rPr>
          <w:lang w:val="en-US"/>
        </w:rPr>
        <w:t>Starting</w:t>
      </w:r>
      <w:r w:rsidR="006236E6" w:rsidRPr="0038045B">
        <w:rPr>
          <w:lang w:val="en-US"/>
        </w:rPr>
        <w:t xml:space="preserve"> in</w:t>
      </w:r>
      <w:r w:rsidRPr="0038045B">
        <w:rPr>
          <w:lang w:val="en-US"/>
        </w:rPr>
        <w:t xml:space="preserve"> 2009, Albania </w:t>
      </w:r>
      <w:r w:rsidR="006236E6" w:rsidRPr="0038045B">
        <w:rPr>
          <w:lang w:val="en-US"/>
        </w:rPr>
        <w:t xml:space="preserve">has been </w:t>
      </w:r>
      <w:r w:rsidRPr="0038045B">
        <w:rPr>
          <w:lang w:val="en-US"/>
        </w:rPr>
        <w:t>issuing smart ID cards to its citizens in Albania and abroad</w:t>
      </w:r>
      <w:r w:rsidR="002F5406" w:rsidRPr="0038045B">
        <w:rPr>
          <w:lang w:val="en-US"/>
        </w:rPr>
        <w:t xml:space="preserve"> that have reached 16 year of age </w:t>
      </w:r>
      <w:r w:rsidR="00441367" w:rsidRPr="0038045B">
        <w:rPr>
          <w:lang w:val="en-US"/>
        </w:rPr>
        <w:t xml:space="preserve">The chip in the smart ID card contains the data shown in the card (including the NID), biometric data (in particular fingerprints) and an electronic certificate based on </w:t>
      </w:r>
      <w:r w:rsidR="00F70D2A" w:rsidRPr="0038045B">
        <w:rPr>
          <w:lang w:val="en-US"/>
        </w:rPr>
        <w:t>Public Key Infrastructure (</w:t>
      </w:r>
      <w:r w:rsidR="00441367" w:rsidRPr="0038045B">
        <w:rPr>
          <w:lang w:val="en-US"/>
        </w:rPr>
        <w:t>PKI</w:t>
      </w:r>
      <w:r w:rsidR="00F70D2A" w:rsidRPr="0038045B">
        <w:rPr>
          <w:lang w:val="en-US"/>
        </w:rPr>
        <w:t>)</w:t>
      </w:r>
      <w:r w:rsidR="00441367" w:rsidRPr="0038045B">
        <w:rPr>
          <w:lang w:val="en-US"/>
        </w:rPr>
        <w:t xml:space="preserve"> which also requires usage of a PIN.</w:t>
      </w:r>
      <w:r w:rsidR="002F5406" w:rsidRPr="0038045B">
        <w:rPr>
          <w:lang w:val="en-US"/>
        </w:rPr>
        <w:t xml:space="preserve"> Through the usage of electronic certificates and the usage of public and private keys, Albanian citizens can</w:t>
      </w:r>
      <w:r w:rsidR="008B346C" w:rsidRPr="0038045B">
        <w:rPr>
          <w:lang w:val="en-US"/>
        </w:rPr>
        <w:t xml:space="preserve"> submit applications, register and </w:t>
      </w:r>
      <w:r w:rsidR="002F5406" w:rsidRPr="0038045B">
        <w:rPr>
          <w:lang w:val="en-US"/>
        </w:rPr>
        <w:t xml:space="preserve">sign electronically when using e-government services and/or when performing certain transactions with private sector entities. </w:t>
      </w:r>
      <w:r w:rsidR="008B346C" w:rsidRPr="0038045B">
        <w:rPr>
          <w:lang w:val="en-US"/>
        </w:rPr>
        <w:t xml:space="preserve">Implementation of this feature of the smart ID card is still </w:t>
      </w:r>
      <w:r w:rsidR="002F5406" w:rsidRPr="0038045B">
        <w:rPr>
          <w:lang w:val="en-US"/>
        </w:rPr>
        <w:t>not widespread at present.</w:t>
      </w:r>
    </w:p>
    <w:p w14:paraId="5220D944" w14:textId="77777777" w:rsidR="00ED07CA" w:rsidRPr="0038045B" w:rsidRDefault="00DE3A78" w:rsidP="00F87749">
      <w:pPr>
        <w:pStyle w:val="Body"/>
        <w:numPr>
          <w:ilvl w:val="0"/>
          <w:numId w:val="15"/>
        </w:numPr>
        <w:spacing w:after="200" w:line="276" w:lineRule="auto"/>
        <w:ind w:left="0" w:firstLine="0"/>
        <w:rPr>
          <w:lang w:val="en-US"/>
        </w:rPr>
      </w:pPr>
      <w:r w:rsidRPr="0038045B">
        <w:rPr>
          <w:lang w:val="en-US"/>
        </w:rPr>
        <w:lastRenderedPageBreak/>
        <w:t xml:space="preserve">In order to obtain the smart ID card, citizen need first to go one of the 350+ offices of the National Civil Status Registry to have their personal data verified. </w:t>
      </w:r>
      <w:r w:rsidR="00ED07CA" w:rsidRPr="0038045B">
        <w:rPr>
          <w:lang w:val="en-US"/>
        </w:rPr>
        <w:t xml:space="preserve">All these offices have an online connection to the database of the Registry. </w:t>
      </w:r>
      <w:r w:rsidR="00441367" w:rsidRPr="0038045B">
        <w:rPr>
          <w:lang w:val="en-US"/>
        </w:rPr>
        <w:t xml:space="preserve">After this step, </w:t>
      </w:r>
      <w:r w:rsidR="007B2426" w:rsidRPr="0038045B">
        <w:rPr>
          <w:lang w:val="en-US"/>
        </w:rPr>
        <w:t xml:space="preserve">and once an issuance fee of ALL 1,500 </w:t>
      </w:r>
      <w:r w:rsidR="00090F5F" w:rsidRPr="0038045B">
        <w:rPr>
          <w:lang w:val="en-US"/>
        </w:rPr>
        <w:t xml:space="preserve">(USD 12) </w:t>
      </w:r>
      <w:r w:rsidR="007B2426" w:rsidRPr="0038045B">
        <w:rPr>
          <w:lang w:val="en-US"/>
        </w:rPr>
        <w:t xml:space="preserve">has been paid, the applicant </w:t>
      </w:r>
      <w:r w:rsidR="00441367" w:rsidRPr="0038045B">
        <w:rPr>
          <w:lang w:val="en-US"/>
        </w:rPr>
        <w:t xml:space="preserve">can apply for the smart ID card at any Municipality/Administrative Unit or Commune which has an application office where the citizen is registered. The </w:t>
      </w:r>
      <w:r w:rsidR="00ED07CA" w:rsidRPr="0038045B">
        <w:rPr>
          <w:lang w:val="en-US"/>
        </w:rPr>
        <w:t xml:space="preserve">smart ID card issuance </w:t>
      </w:r>
      <w:r w:rsidR="00441367" w:rsidRPr="0038045B">
        <w:rPr>
          <w:lang w:val="en-US"/>
        </w:rPr>
        <w:t>service is provid</w:t>
      </w:r>
      <w:r w:rsidR="00ED07CA" w:rsidRPr="0038045B">
        <w:rPr>
          <w:lang w:val="en-US"/>
        </w:rPr>
        <w:t>ed by a private company, Aleat</w:t>
      </w:r>
      <w:r w:rsidR="00C21BD7" w:rsidRPr="0038045B">
        <w:rPr>
          <w:lang w:val="en-US"/>
        </w:rPr>
        <w:t xml:space="preserve">, which </w:t>
      </w:r>
      <w:r w:rsidR="00B01598" w:rsidRPr="0038045B">
        <w:rPr>
          <w:lang w:val="en-US"/>
        </w:rPr>
        <w:t xml:space="preserve">also </w:t>
      </w:r>
      <w:r w:rsidR="00C21BD7" w:rsidRPr="0038045B">
        <w:rPr>
          <w:lang w:val="en-US"/>
        </w:rPr>
        <w:t>has an online connection with the National Civil Status Registry for this purpose</w:t>
      </w:r>
      <w:r w:rsidR="00ED07CA" w:rsidRPr="0038045B">
        <w:rPr>
          <w:lang w:val="en-US"/>
        </w:rPr>
        <w:t>. Fingerprint verification is performed for the retrieval of a new smart ID card, i.e. only the applicant can retrieve his/her new smart ID card.</w:t>
      </w:r>
    </w:p>
    <w:p w14:paraId="513BE157" w14:textId="77777777" w:rsidR="007B2426" w:rsidRPr="0038045B" w:rsidRDefault="00D27F5D" w:rsidP="00F87749">
      <w:pPr>
        <w:pStyle w:val="Body"/>
        <w:numPr>
          <w:ilvl w:val="0"/>
          <w:numId w:val="15"/>
        </w:numPr>
        <w:spacing w:after="200" w:line="276" w:lineRule="auto"/>
        <w:ind w:left="0" w:firstLine="0"/>
        <w:rPr>
          <w:lang w:val="en-US"/>
        </w:rPr>
      </w:pPr>
      <w:r w:rsidRPr="0038045B">
        <w:rPr>
          <w:lang w:val="en-US"/>
        </w:rPr>
        <w:t xml:space="preserve">The smart ID card is required for various important services </w:t>
      </w:r>
      <w:r w:rsidR="00C21BD7" w:rsidRPr="0038045B">
        <w:rPr>
          <w:lang w:val="en-US"/>
        </w:rPr>
        <w:t>provided by both government entities and the private sector (e.g. opening a bank account)</w:t>
      </w:r>
      <w:r w:rsidRPr="0038045B">
        <w:rPr>
          <w:lang w:val="en-US"/>
        </w:rPr>
        <w:t>. Hence, despite there is a cost to obtain this card, by 201</w:t>
      </w:r>
      <w:r w:rsidR="007D23A9" w:rsidRPr="0038045B">
        <w:rPr>
          <w:lang w:val="en-US"/>
        </w:rPr>
        <w:t>5</w:t>
      </w:r>
      <w:r w:rsidRPr="0038045B">
        <w:rPr>
          <w:lang w:val="en-US"/>
        </w:rPr>
        <w:t xml:space="preserve"> </w:t>
      </w:r>
      <w:r w:rsidR="007B2426" w:rsidRPr="0038045B">
        <w:rPr>
          <w:lang w:val="en-US"/>
        </w:rPr>
        <w:t>smart ID card</w:t>
      </w:r>
      <w:r w:rsidRPr="0038045B">
        <w:rPr>
          <w:lang w:val="en-US"/>
        </w:rPr>
        <w:t>s</w:t>
      </w:r>
      <w:r w:rsidR="007B2426" w:rsidRPr="0038045B">
        <w:rPr>
          <w:lang w:val="en-US"/>
        </w:rPr>
        <w:t xml:space="preserve"> ha</w:t>
      </w:r>
      <w:r w:rsidRPr="0038045B">
        <w:rPr>
          <w:lang w:val="en-US"/>
        </w:rPr>
        <w:t>d</w:t>
      </w:r>
      <w:r w:rsidR="007B2426" w:rsidRPr="0038045B">
        <w:rPr>
          <w:lang w:val="en-US"/>
        </w:rPr>
        <w:t xml:space="preserve"> been issued</w:t>
      </w:r>
      <w:r w:rsidR="00090F5F" w:rsidRPr="0038045B">
        <w:rPr>
          <w:lang w:val="en-US"/>
        </w:rPr>
        <w:t xml:space="preserve"> to </w:t>
      </w:r>
      <w:r w:rsidRPr="0038045B">
        <w:rPr>
          <w:lang w:val="en-US"/>
        </w:rPr>
        <w:t xml:space="preserve">practically all Albanian citizens residing in the country and abroad that are 16 years old and </w:t>
      </w:r>
      <w:r w:rsidR="00090F5F" w:rsidRPr="0038045B">
        <w:rPr>
          <w:lang w:val="en-US"/>
        </w:rPr>
        <w:t>above.</w:t>
      </w:r>
      <w:r w:rsidRPr="0038045B">
        <w:rPr>
          <w:lang w:val="en-US"/>
        </w:rPr>
        <w:t xml:space="preserve"> </w:t>
      </w:r>
      <w:r w:rsidR="00090F5F" w:rsidRPr="0038045B">
        <w:rPr>
          <w:lang w:val="en-US"/>
        </w:rPr>
        <w:t xml:space="preserve">At the same time, </w:t>
      </w:r>
      <w:r w:rsidR="00C21BD7" w:rsidRPr="0038045B">
        <w:rPr>
          <w:lang w:val="en-US"/>
        </w:rPr>
        <w:t xml:space="preserve">issuance of the smart ID cards provided the government with an important opportunity to </w:t>
      </w:r>
      <w:r w:rsidR="00D82B3D" w:rsidRPr="0038045B">
        <w:rPr>
          <w:lang w:val="en-US"/>
        </w:rPr>
        <w:t>“</w:t>
      </w:r>
      <w:r w:rsidR="00C21BD7" w:rsidRPr="0038045B">
        <w:rPr>
          <w:lang w:val="en-US"/>
        </w:rPr>
        <w:t>clean</w:t>
      </w:r>
      <w:r w:rsidR="00090F5F" w:rsidRPr="0038045B">
        <w:rPr>
          <w:lang w:val="en-US"/>
        </w:rPr>
        <w:t xml:space="preserve"> up</w:t>
      </w:r>
      <w:r w:rsidR="00D82B3D" w:rsidRPr="0038045B">
        <w:rPr>
          <w:lang w:val="en-US"/>
        </w:rPr>
        <w:t>”</w:t>
      </w:r>
      <w:r w:rsidR="00C21BD7" w:rsidRPr="0038045B">
        <w:rPr>
          <w:lang w:val="en-US"/>
        </w:rPr>
        <w:t xml:space="preserve"> the database of the National Civil Status Registry.</w:t>
      </w:r>
    </w:p>
    <w:p w14:paraId="0140A611" w14:textId="77777777" w:rsidR="00D27F5D" w:rsidRPr="0038045B" w:rsidRDefault="00D27F5D" w:rsidP="00F87749">
      <w:pPr>
        <w:pStyle w:val="Body"/>
        <w:numPr>
          <w:ilvl w:val="0"/>
          <w:numId w:val="15"/>
        </w:numPr>
        <w:spacing w:after="200" w:line="276" w:lineRule="auto"/>
        <w:ind w:left="0" w:firstLine="0"/>
        <w:rPr>
          <w:lang w:val="en-US"/>
        </w:rPr>
      </w:pPr>
      <w:r w:rsidRPr="0038045B">
        <w:rPr>
          <w:lang w:val="en-US"/>
        </w:rPr>
        <w:t>Government and businesses entities can verify an individual’s identity online through a web service provided by Aleat</w:t>
      </w:r>
      <w:r w:rsidR="00C21BD7" w:rsidRPr="0038045B">
        <w:rPr>
          <w:lang w:val="en-US"/>
        </w:rPr>
        <w:t xml:space="preserve"> (the actual service is known as “eAleat</w:t>
      </w:r>
      <w:r w:rsidR="00E35C1A" w:rsidRPr="0038045B">
        <w:rPr>
          <w:lang w:val="en-US"/>
        </w:rPr>
        <w:t xml:space="preserve"> Identity Services</w:t>
      </w:r>
      <w:r w:rsidR="00C21BD7" w:rsidRPr="0038045B">
        <w:rPr>
          <w:lang w:val="en-US"/>
        </w:rPr>
        <w:t>”)</w:t>
      </w:r>
      <w:r w:rsidRPr="0038045B">
        <w:rPr>
          <w:lang w:val="en-US"/>
        </w:rPr>
        <w:t xml:space="preserve">. </w:t>
      </w:r>
      <w:r w:rsidR="002F668D" w:rsidRPr="0038045B">
        <w:rPr>
          <w:lang w:val="en-US"/>
        </w:rPr>
        <w:t>For example, at the time of application for an account, the applicant needs to present his/her smart ID card. Banks that are using eAleat have smart ID card r</w:t>
      </w:r>
      <w:r w:rsidRPr="0038045B">
        <w:rPr>
          <w:lang w:val="en-US"/>
        </w:rPr>
        <w:t>eader</w:t>
      </w:r>
      <w:r w:rsidR="002F668D" w:rsidRPr="0038045B">
        <w:rPr>
          <w:lang w:val="en-US"/>
        </w:rPr>
        <w:t>s</w:t>
      </w:r>
      <w:r w:rsidRPr="0038045B">
        <w:rPr>
          <w:lang w:val="en-US"/>
        </w:rPr>
        <w:t xml:space="preserve"> in which t</w:t>
      </w:r>
      <w:r w:rsidR="003E314D" w:rsidRPr="0038045B">
        <w:rPr>
          <w:lang w:val="en-US"/>
        </w:rPr>
        <w:t>he ID holder enters h</w:t>
      </w:r>
      <w:r w:rsidRPr="0038045B">
        <w:rPr>
          <w:lang w:val="en-US"/>
        </w:rPr>
        <w:t xml:space="preserve">is PIN or fingerprints for authentication. The information then </w:t>
      </w:r>
      <w:r w:rsidR="00E35C1A" w:rsidRPr="0038045B">
        <w:rPr>
          <w:lang w:val="en-US"/>
        </w:rPr>
        <w:t>travels</w:t>
      </w:r>
      <w:r w:rsidRPr="0038045B">
        <w:rPr>
          <w:lang w:val="en-US"/>
        </w:rPr>
        <w:t xml:space="preserve"> via the web service</w:t>
      </w:r>
      <w:r w:rsidR="00C21BD7" w:rsidRPr="0038045B">
        <w:rPr>
          <w:lang w:val="en-US"/>
        </w:rPr>
        <w:t xml:space="preserve"> to Aleat</w:t>
      </w:r>
      <w:r w:rsidRPr="0038045B">
        <w:rPr>
          <w:lang w:val="en-US"/>
        </w:rPr>
        <w:t xml:space="preserve">, which verifies the data stored in the chip with its </w:t>
      </w:r>
      <w:r w:rsidR="00C21BD7" w:rsidRPr="0038045B">
        <w:rPr>
          <w:lang w:val="en-US"/>
        </w:rPr>
        <w:t xml:space="preserve">own </w:t>
      </w:r>
      <w:r w:rsidRPr="0038045B">
        <w:rPr>
          <w:lang w:val="en-US"/>
        </w:rPr>
        <w:t xml:space="preserve">database (which holds all necessary identification information as Aleat </w:t>
      </w:r>
      <w:r w:rsidR="00C21BD7" w:rsidRPr="0038045B">
        <w:rPr>
          <w:lang w:val="en-US"/>
        </w:rPr>
        <w:t>is the issue</w:t>
      </w:r>
      <w:r w:rsidR="00D82B3D" w:rsidRPr="0038045B">
        <w:rPr>
          <w:lang w:val="en-US"/>
        </w:rPr>
        <w:t>r</w:t>
      </w:r>
      <w:r w:rsidR="00C21BD7" w:rsidRPr="0038045B">
        <w:rPr>
          <w:lang w:val="en-US"/>
        </w:rPr>
        <w:t xml:space="preserve"> of </w:t>
      </w:r>
      <w:r w:rsidRPr="0038045B">
        <w:rPr>
          <w:lang w:val="en-US"/>
        </w:rPr>
        <w:t xml:space="preserve">the smart ID cards). </w:t>
      </w:r>
      <w:r w:rsidR="003E314D" w:rsidRPr="0038045B">
        <w:rPr>
          <w:lang w:val="en-US"/>
        </w:rPr>
        <w:t>However, according to users of this service, in order for it to be actually usable online it is necessary that smart ID cards be previously “activated” in Aleat’s database, for which the ID holder needs to physically present his/her ID at one of Aleat’s outlets (a one-time event).</w:t>
      </w:r>
    </w:p>
    <w:p w14:paraId="282F9D63" w14:textId="77777777" w:rsidR="00B71C6F" w:rsidRPr="0038045B" w:rsidRDefault="00B71C6F" w:rsidP="00B71C6F">
      <w:pPr>
        <w:pStyle w:val="Body"/>
        <w:spacing w:after="200" w:line="276" w:lineRule="auto"/>
        <w:ind w:firstLine="0"/>
        <w:rPr>
          <w:u w:val="single"/>
          <w:lang w:val="en-US"/>
        </w:rPr>
      </w:pPr>
      <w:r w:rsidRPr="0038045B">
        <w:rPr>
          <w:u w:val="single"/>
          <w:lang w:val="en-US"/>
        </w:rPr>
        <w:t>Credit reporting in Albania</w:t>
      </w:r>
    </w:p>
    <w:p w14:paraId="45B5B62F" w14:textId="77777777" w:rsidR="006E6A0C" w:rsidRPr="0038045B" w:rsidRDefault="004B6371" w:rsidP="00C80F30">
      <w:pPr>
        <w:pStyle w:val="Body"/>
        <w:numPr>
          <w:ilvl w:val="0"/>
          <w:numId w:val="15"/>
        </w:numPr>
        <w:spacing w:after="200" w:line="276" w:lineRule="auto"/>
        <w:ind w:left="0" w:firstLine="0"/>
        <w:rPr>
          <w:lang w:val="en-US"/>
        </w:rPr>
      </w:pPr>
      <w:r w:rsidRPr="0038045B">
        <w:rPr>
          <w:lang w:val="en-US"/>
        </w:rPr>
        <w:t xml:space="preserve">In </w:t>
      </w:r>
      <w:r w:rsidR="00B71C6F" w:rsidRPr="0038045B">
        <w:rPr>
          <w:lang w:val="en-US"/>
        </w:rPr>
        <w:t>Albania, at present there is only one credit reporting service provider, the Credit Registry operated by BoA</w:t>
      </w:r>
      <w:r w:rsidR="002256C9" w:rsidRPr="0038045B">
        <w:rPr>
          <w:lang w:val="en-US"/>
        </w:rPr>
        <w:t xml:space="preserve"> since 2008</w:t>
      </w:r>
      <w:r w:rsidR="00B71C6F" w:rsidRPr="0038045B">
        <w:rPr>
          <w:lang w:val="en-US"/>
        </w:rPr>
        <w:t xml:space="preserve">. </w:t>
      </w:r>
      <w:r w:rsidR="002256C9" w:rsidRPr="0038045B">
        <w:rPr>
          <w:lang w:val="en-US"/>
        </w:rPr>
        <w:t xml:space="preserve">The main purpose of the Credit Registry is to support banking supervisory responsibilities from BoA, although it also provides a feedback loop to the entities that report data to the registry (i.e. to assist the latter in assessing the creditworthiness of loan applicants). Currently there are 38 reporting entities, including all 16 commercial banks and the NBIFs that are involved in lending and leasing. </w:t>
      </w:r>
      <w:r w:rsidR="006671E9" w:rsidRPr="0038045B">
        <w:rPr>
          <w:lang w:val="en-US"/>
        </w:rPr>
        <w:t>As at end-June 2016 the</w:t>
      </w:r>
      <w:r w:rsidR="007D23A9" w:rsidRPr="0038045B">
        <w:rPr>
          <w:lang w:val="en-US"/>
        </w:rPr>
        <w:t xml:space="preserve"> Credit Registry held </w:t>
      </w:r>
      <w:r w:rsidR="006671E9" w:rsidRPr="0038045B">
        <w:rPr>
          <w:lang w:val="en-US"/>
        </w:rPr>
        <w:t xml:space="preserve">credit </w:t>
      </w:r>
      <w:r w:rsidR="007D23A9" w:rsidRPr="0038045B">
        <w:rPr>
          <w:lang w:val="en-US"/>
        </w:rPr>
        <w:t>data and other related information</w:t>
      </w:r>
      <w:r w:rsidR="006671E9" w:rsidRPr="0038045B">
        <w:rPr>
          <w:lang w:val="en-US"/>
        </w:rPr>
        <w:t xml:space="preserve"> on 625,658 individuals and 18,851 firms. Individuals are identified via the</w:t>
      </w:r>
      <w:r w:rsidR="007D23A9" w:rsidRPr="0038045B">
        <w:rPr>
          <w:lang w:val="en-US"/>
        </w:rPr>
        <w:t>ir</w:t>
      </w:r>
      <w:r w:rsidR="006671E9" w:rsidRPr="0038045B">
        <w:rPr>
          <w:lang w:val="en-US"/>
        </w:rPr>
        <w:t xml:space="preserve"> NID, while for firms the number assigned by the National Registration Center is used. </w:t>
      </w:r>
    </w:p>
    <w:p w14:paraId="671AF889" w14:textId="77777777" w:rsidR="00EA5751" w:rsidRPr="0038045B" w:rsidRDefault="007D23A9" w:rsidP="006671E9">
      <w:pPr>
        <w:pStyle w:val="Body"/>
        <w:numPr>
          <w:ilvl w:val="0"/>
          <w:numId w:val="15"/>
        </w:numPr>
        <w:spacing w:after="200" w:line="276" w:lineRule="auto"/>
        <w:ind w:left="0" w:firstLine="0"/>
        <w:rPr>
          <w:lang w:val="en-US"/>
        </w:rPr>
      </w:pPr>
      <w:r w:rsidRPr="0038045B">
        <w:rPr>
          <w:lang w:val="en-US"/>
        </w:rPr>
        <w:t xml:space="preserve">Information </w:t>
      </w:r>
      <w:r w:rsidR="006671E9" w:rsidRPr="0038045B">
        <w:rPr>
          <w:lang w:val="en-US"/>
        </w:rPr>
        <w:t xml:space="preserve">reported to the Credit Registry refers to </w:t>
      </w:r>
      <w:r w:rsidR="004F5B13" w:rsidRPr="0038045B">
        <w:rPr>
          <w:lang w:val="en-US"/>
        </w:rPr>
        <w:t>lending</w:t>
      </w:r>
      <w:r w:rsidR="00896DAB" w:rsidRPr="0038045B">
        <w:rPr>
          <w:lang w:val="en-US"/>
        </w:rPr>
        <w:t>, leasing</w:t>
      </w:r>
      <w:r w:rsidR="004F5B13" w:rsidRPr="0038045B">
        <w:rPr>
          <w:lang w:val="en-US"/>
        </w:rPr>
        <w:t xml:space="preserve"> and related products only (including off-balance sheet items)</w:t>
      </w:r>
      <w:r w:rsidR="006671E9" w:rsidRPr="0038045B">
        <w:rPr>
          <w:lang w:val="en-US"/>
        </w:rPr>
        <w:t xml:space="preserve"> and covers only licensed financial </w:t>
      </w:r>
      <w:r w:rsidR="006671E9" w:rsidRPr="0038045B">
        <w:rPr>
          <w:lang w:val="en-US"/>
        </w:rPr>
        <w:lastRenderedPageBreak/>
        <w:t xml:space="preserve">institutions. </w:t>
      </w:r>
      <w:r w:rsidRPr="0038045B">
        <w:rPr>
          <w:lang w:val="en-US"/>
        </w:rPr>
        <w:t>Reported items</w:t>
      </w:r>
      <w:r w:rsidR="006671E9" w:rsidRPr="0038045B">
        <w:rPr>
          <w:lang w:val="en-US"/>
        </w:rPr>
        <w:t xml:space="preserve"> include personal</w:t>
      </w:r>
      <w:r w:rsidRPr="0038045B">
        <w:rPr>
          <w:lang w:val="en-US"/>
        </w:rPr>
        <w:t xml:space="preserve"> information </w:t>
      </w:r>
      <w:r w:rsidR="006671E9" w:rsidRPr="0038045B">
        <w:rPr>
          <w:lang w:val="en-US"/>
        </w:rPr>
        <w:t xml:space="preserve">and positive and negative credit data, with no minimum reporting threshold. Data updating is event-based (i.e. whenever there is a change in </w:t>
      </w:r>
      <w:r w:rsidRPr="0038045B">
        <w:rPr>
          <w:lang w:val="en-US"/>
        </w:rPr>
        <w:t>any of the loan attributes that need to be reported</w:t>
      </w:r>
      <w:r w:rsidR="006671E9" w:rsidRPr="0038045B">
        <w:rPr>
          <w:lang w:val="en-US"/>
        </w:rPr>
        <w:t xml:space="preserve">), and also the whole portfolio </w:t>
      </w:r>
      <w:r w:rsidRPr="0038045B">
        <w:rPr>
          <w:lang w:val="en-US"/>
        </w:rPr>
        <w:t xml:space="preserve">information </w:t>
      </w:r>
      <w:r w:rsidR="006671E9" w:rsidRPr="0038045B">
        <w:rPr>
          <w:lang w:val="en-US"/>
        </w:rPr>
        <w:t xml:space="preserve">is updated on a monthly basis. </w:t>
      </w:r>
    </w:p>
    <w:p w14:paraId="10BD7EA2" w14:textId="77777777" w:rsidR="006671E9" w:rsidRPr="0038045B" w:rsidRDefault="004F5B13" w:rsidP="00F87749">
      <w:pPr>
        <w:pStyle w:val="Body"/>
        <w:numPr>
          <w:ilvl w:val="0"/>
          <w:numId w:val="15"/>
        </w:numPr>
        <w:spacing w:after="200" w:line="276" w:lineRule="auto"/>
        <w:ind w:left="0" w:firstLine="0"/>
        <w:rPr>
          <w:lang w:val="en-US"/>
        </w:rPr>
      </w:pPr>
      <w:r w:rsidRPr="0038045B">
        <w:rPr>
          <w:lang w:val="en-US"/>
        </w:rPr>
        <w:t xml:space="preserve">At present, </w:t>
      </w:r>
      <w:r w:rsidR="00EA5751" w:rsidRPr="0038045B">
        <w:rPr>
          <w:lang w:val="en-US"/>
        </w:rPr>
        <w:t xml:space="preserve">there is an initiative within the private sector </w:t>
      </w:r>
      <w:r w:rsidRPr="0038045B">
        <w:rPr>
          <w:lang w:val="en-US"/>
        </w:rPr>
        <w:t xml:space="preserve">(with support from the EBRD) </w:t>
      </w:r>
      <w:r w:rsidR="00EA5751" w:rsidRPr="0038045B">
        <w:rPr>
          <w:lang w:val="en-US"/>
        </w:rPr>
        <w:t xml:space="preserve">for the creation of a credit reference center/credit bureau that </w:t>
      </w:r>
      <w:r w:rsidRPr="0038045B">
        <w:rPr>
          <w:lang w:val="en-US"/>
        </w:rPr>
        <w:t>could eventually cover the reporting of credit obligations from non-financial institutions (e.g. commercial shops) and fulfillment of payment obligations with utilities companies, mobile phone companies, etc.</w:t>
      </w:r>
    </w:p>
    <w:p w14:paraId="50AFBEAE" w14:textId="77777777" w:rsidR="003B768E" w:rsidRPr="0038045B" w:rsidRDefault="003B768E" w:rsidP="001203F3">
      <w:pPr>
        <w:pStyle w:val="Heading3"/>
        <w:spacing w:before="480" w:after="240"/>
        <w:rPr>
          <w:b w:val="0"/>
          <w:i/>
        </w:rPr>
      </w:pPr>
      <w:bookmarkStart w:id="76" w:name="_Toc476239719"/>
      <w:r w:rsidRPr="0038045B">
        <w:rPr>
          <w:b w:val="0"/>
          <w:i/>
        </w:rPr>
        <w:t>ICT infrastructure</w:t>
      </w:r>
      <w:bookmarkEnd w:id="76"/>
    </w:p>
    <w:p w14:paraId="0132EB09" w14:textId="77777777" w:rsidR="003B768E" w:rsidRPr="0038045B" w:rsidRDefault="009F70E7" w:rsidP="00C80F30">
      <w:pPr>
        <w:pStyle w:val="Body"/>
        <w:numPr>
          <w:ilvl w:val="0"/>
          <w:numId w:val="15"/>
        </w:numPr>
        <w:spacing w:after="200" w:line="276" w:lineRule="auto"/>
        <w:ind w:left="0" w:firstLine="0"/>
        <w:rPr>
          <w:lang w:val="en-US"/>
        </w:rPr>
      </w:pPr>
      <w:r w:rsidRPr="0038045B">
        <w:rPr>
          <w:lang w:val="en-US"/>
        </w:rPr>
        <w:t xml:space="preserve">According to </w:t>
      </w:r>
      <w:r w:rsidR="0065612F" w:rsidRPr="0038045B">
        <w:rPr>
          <w:lang w:val="en-US"/>
        </w:rPr>
        <w:t>World Bank data, by 2012, 100% of the population residing in Albania, including urban and rural, had access to electricity</w:t>
      </w:r>
      <w:r w:rsidRPr="0038045B">
        <w:rPr>
          <w:lang w:val="en-US"/>
        </w:rPr>
        <w:t>.</w:t>
      </w:r>
      <w:r w:rsidR="0065612F" w:rsidRPr="0038045B">
        <w:rPr>
          <w:rStyle w:val="FootnoteReference"/>
          <w:lang w:val="en-US"/>
        </w:rPr>
        <w:footnoteReference w:id="55"/>
      </w:r>
    </w:p>
    <w:p w14:paraId="196F793C" w14:textId="77777777" w:rsidR="00926C10" w:rsidRPr="0038045B" w:rsidRDefault="00926C10" w:rsidP="00F87749">
      <w:pPr>
        <w:pStyle w:val="Body"/>
        <w:numPr>
          <w:ilvl w:val="0"/>
          <w:numId w:val="15"/>
        </w:numPr>
        <w:spacing w:after="200" w:line="276" w:lineRule="auto"/>
        <w:ind w:left="0" w:firstLine="0"/>
        <w:rPr>
          <w:lang w:val="en-US"/>
        </w:rPr>
      </w:pPr>
      <w:r w:rsidRPr="0038045B">
        <w:rPr>
          <w:lang w:val="en-US"/>
        </w:rPr>
        <w:t xml:space="preserve">There are </w:t>
      </w:r>
      <w:r w:rsidR="006236E6" w:rsidRPr="0038045B">
        <w:rPr>
          <w:lang w:val="en-US"/>
        </w:rPr>
        <w:t>four</w:t>
      </w:r>
      <w:r w:rsidRPr="0038045B">
        <w:rPr>
          <w:lang w:val="en-US"/>
        </w:rPr>
        <w:t xml:space="preserve"> market players that provide </w:t>
      </w:r>
      <w:r w:rsidR="0065612F" w:rsidRPr="0038045B">
        <w:rPr>
          <w:lang w:val="en-US"/>
        </w:rPr>
        <w:t xml:space="preserve">mobile </w:t>
      </w:r>
      <w:r w:rsidR="001203F3" w:rsidRPr="0038045B">
        <w:rPr>
          <w:lang w:val="en-US"/>
        </w:rPr>
        <w:t>tele</w:t>
      </w:r>
      <w:r w:rsidR="0065612F" w:rsidRPr="0038045B">
        <w:rPr>
          <w:lang w:val="en-US"/>
        </w:rPr>
        <w:t>phon</w:t>
      </w:r>
      <w:r w:rsidR="001203F3" w:rsidRPr="0038045B">
        <w:rPr>
          <w:lang w:val="en-US"/>
        </w:rPr>
        <w:t>y</w:t>
      </w:r>
      <w:r w:rsidR="0065612F" w:rsidRPr="0038045B">
        <w:rPr>
          <w:lang w:val="en-US"/>
        </w:rPr>
        <w:t xml:space="preserve"> and network </w:t>
      </w:r>
      <w:r w:rsidRPr="0038045B">
        <w:rPr>
          <w:lang w:val="en-US"/>
        </w:rPr>
        <w:t xml:space="preserve">services </w:t>
      </w:r>
      <w:r w:rsidR="0065612F" w:rsidRPr="0038045B">
        <w:rPr>
          <w:lang w:val="en-US"/>
        </w:rPr>
        <w:t xml:space="preserve">in Albania. </w:t>
      </w:r>
      <w:r w:rsidRPr="0038045B">
        <w:rPr>
          <w:lang w:val="en-US"/>
        </w:rPr>
        <w:t xml:space="preserve"> The number of active mobile users by the end of 2015 reached about 3.4 million</w:t>
      </w:r>
      <w:r w:rsidR="00C80949" w:rsidRPr="0038045B">
        <w:rPr>
          <w:lang w:val="en-US"/>
        </w:rPr>
        <w:t>, 94% of which is prepaid</w:t>
      </w:r>
      <w:r w:rsidRPr="0038045B">
        <w:rPr>
          <w:lang w:val="en-US"/>
        </w:rPr>
        <w:t xml:space="preserve">. The penetration rate by the end of 2015 was 120% according to active users and 167% according to the number of </w:t>
      </w:r>
      <w:r w:rsidR="001203F3" w:rsidRPr="0038045B">
        <w:rPr>
          <w:lang w:val="en-US"/>
        </w:rPr>
        <w:t>connections/</w:t>
      </w:r>
      <w:r w:rsidRPr="0038045B">
        <w:rPr>
          <w:lang w:val="en-US"/>
        </w:rPr>
        <w:t xml:space="preserve">SIM cards. </w:t>
      </w:r>
      <w:r w:rsidR="00F94A32" w:rsidRPr="0038045B">
        <w:rPr>
          <w:lang w:val="en-US"/>
        </w:rPr>
        <w:t xml:space="preserve">Table 3 shows comparable data for some of the countries in the Balkans. </w:t>
      </w:r>
      <w:r w:rsidR="00BE568F" w:rsidRPr="0038045B">
        <w:rPr>
          <w:lang w:val="en-US"/>
        </w:rPr>
        <w:t>P</w:t>
      </w:r>
      <w:r w:rsidR="00F94A32" w:rsidRPr="0038045B">
        <w:rPr>
          <w:lang w:val="en-US"/>
        </w:rPr>
        <w:t xml:space="preserve">enetration of mobile telephony on the basis of </w:t>
      </w:r>
      <w:r w:rsidR="00D5154F" w:rsidRPr="0038045B">
        <w:rPr>
          <w:lang w:val="en-US"/>
        </w:rPr>
        <w:t xml:space="preserve">the number of </w:t>
      </w:r>
      <w:r w:rsidR="00BE568F" w:rsidRPr="0038045B">
        <w:rPr>
          <w:lang w:val="en-US"/>
        </w:rPr>
        <w:t>connections/</w:t>
      </w:r>
      <w:r w:rsidR="00F94A32" w:rsidRPr="0038045B">
        <w:rPr>
          <w:lang w:val="en-US"/>
        </w:rPr>
        <w:t xml:space="preserve">SIM cards is highest in Albania. </w:t>
      </w:r>
      <w:r w:rsidR="00D5154F" w:rsidRPr="0038045B">
        <w:rPr>
          <w:lang w:val="en-US"/>
        </w:rPr>
        <w:t>On this same basis, a</w:t>
      </w:r>
      <w:r w:rsidR="00F94A32" w:rsidRPr="0038045B">
        <w:rPr>
          <w:lang w:val="en-US"/>
        </w:rPr>
        <w:t>vailability of mobile broadband (including G3 and G4 mobile technologies</w:t>
      </w:r>
      <w:r w:rsidR="00BE568F" w:rsidRPr="0038045B">
        <w:rPr>
          <w:lang w:val="en-US"/>
        </w:rPr>
        <w:t>,</w:t>
      </w:r>
      <w:r w:rsidR="00F94A32" w:rsidRPr="0038045B">
        <w:rPr>
          <w:lang w:val="en-US"/>
        </w:rPr>
        <w:t xml:space="preserve"> as per GSMA’s definition) is in contrast the lowest, together with Kosovo. </w:t>
      </w:r>
      <w:r w:rsidR="00D5154F" w:rsidRPr="0038045B">
        <w:rPr>
          <w:lang w:val="en-US"/>
        </w:rPr>
        <w:t xml:space="preserve">However, when access to mobile broad band is measured </w:t>
      </w:r>
      <w:r w:rsidR="00D5154F" w:rsidRPr="0038045B">
        <w:rPr>
          <w:i/>
          <w:lang w:val="en-US"/>
        </w:rPr>
        <w:t>on the basis of active users</w:t>
      </w:r>
      <w:r w:rsidR="00D5154F" w:rsidRPr="0038045B">
        <w:rPr>
          <w:lang w:val="en-US"/>
        </w:rPr>
        <w:t xml:space="preserve"> and also including access via USB/modem cards, in Albania this percentage reached 46% by the end of 2015.</w:t>
      </w:r>
    </w:p>
    <w:p w14:paraId="648AB8C7" w14:textId="77777777" w:rsidR="00F94A32" w:rsidRPr="0038045B" w:rsidRDefault="00F94A32" w:rsidP="00F94A32">
      <w:pPr>
        <w:pStyle w:val="Body"/>
        <w:spacing w:before="120" w:line="276" w:lineRule="auto"/>
        <w:jc w:val="center"/>
        <w:rPr>
          <w:b/>
          <w:lang w:val="en-US"/>
        </w:rPr>
      </w:pPr>
      <w:r w:rsidRPr="0038045B">
        <w:rPr>
          <w:b/>
          <w:lang w:val="en-US"/>
        </w:rPr>
        <w:t xml:space="preserve">Table 3: Selected data on </w:t>
      </w:r>
      <w:r w:rsidR="00BE568F" w:rsidRPr="0038045B">
        <w:rPr>
          <w:b/>
          <w:lang w:val="en-US"/>
        </w:rPr>
        <w:t xml:space="preserve">the </w:t>
      </w:r>
      <w:r w:rsidRPr="0038045B">
        <w:rPr>
          <w:b/>
          <w:lang w:val="en-US"/>
        </w:rPr>
        <w:t xml:space="preserve">mobile industry </w:t>
      </w:r>
      <w:r w:rsidR="00BE568F" w:rsidRPr="0038045B">
        <w:rPr>
          <w:b/>
          <w:lang w:val="en-US"/>
        </w:rPr>
        <w:t xml:space="preserve">throughout </w:t>
      </w:r>
      <w:r w:rsidRPr="0038045B">
        <w:rPr>
          <w:b/>
          <w:lang w:val="en-US"/>
        </w:rPr>
        <w:t>the Balkans</w:t>
      </w:r>
    </w:p>
    <w:p w14:paraId="38DFA8A9" w14:textId="77777777" w:rsidR="001203F3" w:rsidRPr="0038045B" w:rsidRDefault="001203F3" w:rsidP="001203F3">
      <w:pPr>
        <w:pStyle w:val="Body"/>
        <w:spacing w:after="120" w:line="276" w:lineRule="auto"/>
        <w:jc w:val="center"/>
        <w:rPr>
          <w:sz w:val="22"/>
          <w:szCs w:val="22"/>
          <w:lang w:val="en-US"/>
        </w:rPr>
      </w:pPr>
      <w:r w:rsidRPr="0038045B">
        <w:rPr>
          <w:sz w:val="22"/>
          <w:szCs w:val="22"/>
          <w:lang w:val="en-US"/>
        </w:rPr>
        <w:t>(All data based on the number of connections/SIM cards, rather than on “active users”)</w:t>
      </w:r>
    </w:p>
    <w:tbl>
      <w:tblPr>
        <w:tblStyle w:val="TableGrid"/>
        <w:tblW w:w="8829" w:type="dxa"/>
        <w:tblLook w:val="04A0" w:firstRow="1" w:lastRow="0" w:firstColumn="1" w:lastColumn="0" w:noHBand="0" w:noVBand="1"/>
      </w:tblPr>
      <w:tblGrid>
        <w:gridCol w:w="1975"/>
        <w:gridCol w:w="990"/>
        <w:gridCol w:w="1442"/>
        <w:gridCol w:w="921"/>
        <w:gridCol w:w="1283"/>
        <w:gridCol w:w="1390"/>
        <w:gridCol w:w="828"/>
      </w:tblGrid>
      <w:tr w:rsidR="001203F3" w:rsidRPr="0038045B" w14:paraId="6AC1419D" w14:textId="77777777" w:rsidTr="005E1979">
        <w:tc>
          <w:tcPr>
            <w:tcW w:w="1975" w:type="dxa"/>
          </w:tcPr>
          <w:p w14:paraId="77562F03" w14:textId="77777777" w:rsidR="00F94A32" w:rsidRPr="0038045B" w:rsidRDefault="00F94A32" w:rsidP="00F94A32">
            <w:pPr>
              <w:rPr>
                <w:b/>
                <w:sz w:val="22"/>
                <w:szCs w:val="22"/>
              </w:rPr>
            </w:pPr>
          </w:p>
        </w:tc>
        <w:tc>
          <w:tcPr>
            <w:tcW w:w="990" w:type="dxa"/>
          </w:tcPr>
          <w:p w14:paraId="40567B34" w14:textId="77777777" w:rsidR="00F94A32" w:rsidRPr="0038045B" w:rsidRDefault="00F94A32" w:rsidP="00F94A32">
            <w:pPr>
              <w:jc w:val="center"/>
              <w:rPr>
                <w:b/>
                <w:sz w:val="22"/>
                <w:szCs w:val="22"/>
              </w:rPr>
            </w:pPr>
            <w:r w:rsidRPr="0038045B">
              <w:rPr>
                <w:b/>
                <w:sz w:val="22"/>
                <w:szCs w:val="22"/>
              </w:rPr>
              <w:t>Albania</w:t>
            </w:r>
          </w:p>
        </w:tc>
        <w:tc>
          <w:tcPr>
            <w:tcW w:w="1442" w:type="dxa"/>
          </w:tcPr>
          <w:p w14:paraId="50C15022" w14:textId="77777777" w:rsidR="00F94A32" w:rsidRPr="0038045B" w:rsidRDefault="00F94A32" w:rsidP="00F94A32">
            <w:pPr>
              <w:jc w:val="center"/>
              <w:rPr>
                <w:b/>
                <w:sz w:val="22"/>
                <w:szCs w:val="22"/>
              </w:rPr>
            </w:pPr>
            <w:r w:rsidRPr="0038045B">
              <w:rPr>
                <w:b/>
                <w:sz w:val="22"/>
                <w:szCs w:val="22"/>
              </w:rPr>
              <w:t>Bosnia and Herzegovina</w:t>
            </w:r>
          </w:p>
        </w:tc>
        <w:tc>
          <w:tcPr>
            <w:tcW w:w="921" w:type="dxa"/>
          </w:tcPr>
          <w:p w14:paraId="232C04D1" w14:textId="77777777" w:rsidR="00F94A32" w:rsidRPr="0038045B" w:rsidRDefault="00F94A32" w:rsidP="00F94A32">
            <w:pPr>
              <w:jc w:val="center"/>
              <w:rPr>
                <w:b/>
                <w:sz w:val="22"/>
                <w:szCs w:val="22"/>
              </w:rPr>
            </w:pPr>
            <w:r w:rsidRPr="0038045B">
              <w:rPr>
                <w:b/>
                <w:sz w:val="22"/>
                <w:szCs w:val="22"/>
              </w:rPr>
              <w:t>Kosovo</w:t>
            </w:r>
          </w:p>
        </w:tc>
        <w:tc>
          <w:tcPr>
            <w:tcW w:w="1283" w:type="dxa"/>
          </w:tcPr>
          <w:p w14:paraId="6AC17EF2" w14:textId="77777777" w:rsidR="00F94A32" w:rsidRPr="0038045B" w:rsidRDefault="00F94A32" w:rsidP="00F94A32">
            <w:pPr>
              <w:jc w:val="center"/>
              <w:rPr>
                <w:b/>
                <w:sz w:val="22"/>
                <w:szCs w:val="22"/>
              </w:rPr>
            </w:pPr>
            <w:r w:rsidRPr="0038045B">
              <w:rPr>
                <w:b/>
                <w:sz w:val="22"/>
                <w:szCs w:val="22"/>
              </w:rPr>
              <w:t>Macedonia</w:t>
            </w:r>
          </w:p>
        </w:tc>
        <w:tc>
          <w:tcPr>
            <w:tcW w:w="1390" w:type="dxa"/>
          </w:tcPr>
          <w:p w14:paraId="1C2FEC86" w14:textId="77777777" w:rsidR="00F94A32" w:rsidRPr="0038045B" w:rsidRDefault="00F94A32" w:rsidP="00F94A32">
            <w:pPr>
              <w:jc w:val="center"/>
              <w:rPr>
                <w:b/>
                <w:sz w:val="22"/>
                <w:szCs w:val="22"/>
              </w:rPr>
            </w:pPr>
            <w:r w:rsidRPr="0038045B">
              <w:rPr>
                <w:b/>
                <w:sz w:val="22"/>
                <w:szCs w:val="22"/>
              </w:rPr>
              <w:t>Montenegro</w:t>
            </w:r>
          </w:p>
        </w:tc>
        <w:tc>
          <w:tcPr>
            <w:tcW w:w="828" w:type="dxa"/>
          </w:tcPr>
          <w:p w14:paraId="759185A7" w14:textId="77777777" w:rsidR="00F94A32" w:rsidRPr="0038045B" w:rsidRDefault="00F94A32" w:rsidP="00F94A32">
            <w:pPr>
              <w:jc w:val="center"/>
              <w:rPr>
                <w:b/>
                <w:sz w:val="22"/>
                <w:szCs w:val="22"/>
              </w:rPr>
            </w:pPr>
            <w:r w:rsidRPr="0038045B">
              <w:rPr>
                <w:b/>
                <w:sz w:val="22"/>
                <w:szCs w:val="22"/>
              </w:rPr>
              <w:t>Serbia</w:t>
            </w:r>
          </w:p>
        </w:tc>
      </w:tr>
      <w:tr w:rsidR="001203F3" w:rsidRPr="0038045B" w14:paraId="13A6EF91" w14:textId="77777777" w:rsidTr="005E1979">
        <w:tc>
          <w:tcPr>
            <w:tcW w:w="1975" w:type="dxa"/>
          </w:tcPr>
          <w:p w14:paraId="12FF1E3F" w14:textId="77777777" w:rsidR="00F94A32" w:rsidRPr="0038045B" w:rsidRDefault="001203F3" w:rsidP="001203F3">
            <w:pPr>
              <w:rPr>
                <w:b/>
                <w:sz w:val="22"/>
                <w:szCs w:val="22"/>
              </w:rPr>
            </w:pPr>
            <w:r w:rsidRPr="0038045B">
              <w:rPr>
                <w:b/>
                <w:sz w:val="22"/>
                <w:szCs w:val="22"/>
              </w:rPr>
              <w:t>Penetration of mobile telephony</w:t>
            </w:r>
          </w:p>
        </w:tc>
        <w:tc>
          <w:tcPr>
            <w:tcW w:w="990" w:type="dxa"/>
          </w:tcPr>
          <w:p w14:paraId="6038142D" w14:textId="77777777" w:rsidR="00F94A32" w:rsidRPr="0038045B" w:rsidRDefault="00F94A32" w:rsidP="00F94A32">
            <w:pPr>
              <w:jc w:val="center"/>
              <w:rPr>
                <w:sz w:val="22"/>
                <w:szCs w:val="22"/>
              </w:rPr>
            </w:pPr>
            <w:r w:rsidRPr="0038045B">
              <w:rPr>
                <w:sz w:val="22"/>
                <w:szCs w:val="22"/>
              </w:rPr>
              <w:t>167%</w:t>
            </w:r>
          </w:p>
        </w:tc>
        <w:tc>
          <w:tcPr>
            <w:tcW w:w="1442" w:type="dxa"/>
          </w:tcPr>
          <w:p w14:paraId="626AF283" w14:textId="77777777" w:rsidR="00F94A32" w:rsidRPr="0038045B" w:rsidRDefault="00F94A32" w:rsidP="00F94A32">
            <w:pPr>
              <w:jc w:val="center"/>
              <w:rPr>
                <w:sz w:val="22"/>
                <w:szCs w:val="22"/>
              </w:rPr>
            </w:pPr>
            <w:r w:rsidRPr="0038045B">
              <w:rPr>
                <w:sz w:val="22"/>
                <w:szCs w:val="22"/>
              </w:rPr>
              <w:t>87%</w:t>
            </w:r>
          </w:p>
        </w:tc>
        <w:tc>
          <w:tcPr>
            <w:tcW w:w="921" w:type="dxa"/>
          </w:tcPr>
          <w:p w14:paraId="3BE68892" w14:textId="77777777" w:rsidR="00F94A32" w:rsidRPr="0038045B" w:rsidRDefault="00F94A32" w:rsidP="00F94A32">
            <w:pPr>
              <w:jc w:val="center"/>
              <w:rPr>
                <w:sz w:val="22"/>
                <w:szCs w:val="22"/>
              </w:rPr>
            </w:pPr>
            <w:r w:rsidRPr="0038045B">
              <w:rPr>
                <w:sz w:val="22"/>
                <w:szCs w:val="22"/>
              </w:rPr>
              <w:t>51%</w:t>
            </w:r>
          </w:p>
        </w:tc>
        <w:tc>
          <w:tcPr>
            <w:tcW w:w="1283" w:type="dxa"/>
          </w:tcPr>
          <w:p w14:paraId="161221FB" w14:textId="77777777" w:rsidR="00F94A32" w:rsidRPr="0038045B" w:rsidRDefault="00F94A32" w:rsidP="00F94A32">
            <w:pPr>
              <w:jc w:val="center"/>
              <w:rPr>
                <w:sz w:val="22"/>
                <w:szCs w:val="22"/>
              </w:rPr>
            </w:pPr>
            <w:r w:rsidRPr="0038045B">
              <w:rPr>
                <w:sz w:val="22"/>
                <w:szCs w:val="22"/>
              </w:rPr>
              <w:t>110%</w:t>
            </w:r>
          </w:p>
        </w:tc>
        <w:tc>
          <w:tcPr>
            <w:tcW w:w="1390" w:type="dxa"/>
          </w:tcPr>
          <w:p w14:paraId="50AE64F6" w14:textId="77777777" w:rsidR="00F94A32" w:rsidRPr="0038045B" w:rsidRDefault="00F94A32" w:rsidP="00F94A32">
            <w:pPr>
              <w:jc w:val="center"/>
              <w:rPr>
                <w:sz w:val="22"/>
                <w:szCs w:val="22"/>
              </w:rPr>
            </w:pPr>
            <w:r w:rsidRPr="0038045B">
              <w:rPr>
                <w:sz w:val="22"/>
                <w:szCs w:val="22"/>
              </w:rPr>
              <w:t>159%</w:t>
            </w:r>
          </w:p>
        </w:tc>
        <w:tc>
          <w:tcPr>
            <w:tcW w:w="828" w:type="dxa"/>
          </w:tcPr>
          <w:p w14:paraId="4D6415D8" w14:textId="77777777" w:rsidR="00F94A32" w:rsidRPr="0038045B" w:rsidRDefault="00F94A32" w:rsidP="00F94A32">
            <w:pPr>
              <w:jc w:val="center"/>
              <w:rPr>
                <w:sz w:val="22"/>
                <w:szCs w:val="22"/>
              </w:rPr>
            </w:pPr>
            <w:r w:rsidRPr="0038045B">
              <w:rPr>
                <w:sz w:val="22"/>
                <w:szCs w:val="22"/>
              </w:rPr>
              <w:t>110%</w:t>
            </w:r>
          </w:p>
        </w:tc>
      </w:tr>
      <w:tr w:rsidR="001203F3" w:rsidRPr="0038045B" w14:paraId="7291B10F" w14:textId="77777777" w:rsidTr="005E1979">
        <w:tc>
          <w:tcPr>
            <w:tcW w:w="1975" w:type="dxa"/>
          </w:tcPr>
          <w:p w14:paraId="064136F7" w14:textId="77777777" w:rsidR="00F94A32" w:rsidRPr="0038045B" w:rsidRDefault="00F94A32" w:rsidP="001203F3">
            <w:pPr>
              <w:rPr>
                <w:b/>
                <w:sz w:val="22"/>
                <w:szCs w:val="22"/>
              </w:rPr>
            </w:pPr>
            <w:r w:rsidRPr="0038045B">
              <w:rPr>
                <w:b/>
                <w:sz w:val="22"/>
                <w:szCs w:val="22"/>
              </w:rPr>
              <w:t>% prepaid mobile phone service</w:t>
            </w:r>
          </w:p>
        </w:tc>
        <w:tc>
          <w:tcPr>
            <w:tcW w:w="990" w:type="dxa"/>
          </w:tcPr>
          <w:p w14:paraId="0EE6586E" w14:textId="77777777" w:rsidR="00F94A32" w:rsidRPr="0038045B" w:rsidRDefault="00F94A32" w:rsidP="00F94A32">
            <w:pPr>
              <w:jc w:val="center"/>
              <w:rPr>
                <w:sz w:val="22"/>
                <w:szCs w:val="22"/>
              </w:rPr>
            </w:pPr>
            <w:r w:rsidRPr="0038045B">
              <w:rPr>
                <w:sz w:val="22"/>
                <w:szCs w:val="22"/>
              </w:rPr>
              <w:t>94%</w:t>
            </w:r>
          </w:p>
        </w:tc>
        <w:tc>
          <w:tcPr>
            <w:tcW w:w="1442" w:type="dxa"/>
          </w:tcPr>
          <w:p w14:paraId="35DB3E5E" w14:textId="77777777" w:rsidR="00F94A32" w:rsidRPr="0038045B" w:rsidRDefault="00F94A32" w:rsidP="00F94A32">
            <w:pPr>
              <w:jc w:val="center"/>
              <w:rPr>
                <w:sz w:val="22"/>
                <w:szCs w:val="22"/>
              </w:rPr>
            </w:pPr>
            <w:r w:rsidRPr="0038045B">
              <w:rPr>
                <w:sz w:val="22"/>
                <w:szCs w:val="22"/>
              </w:rPr>
              <w:t>80%</w:t>
            </w:r>
          </w:p>
        </w:tc>
        <w:tc>
          <w:tcPr>
            <w:tcW w:w="921" w:type="dxa"/>
          </w:tcPr>
          <w:p w14:paraId="36F45DC9" w14:textId="77777777" w:rsidR="00F94A32" w:rsidRPr="0038045B" w:rsidRDefault="00F94A32" w:rsidP="00F94A32">
            <w:pPr>
              <w:jc w:val="center"/>
              <w:rPr>
                <w:sz w:val="22"/>
                <w:szCs w:val="22"/>
              </w:rPr>
            </w:pPr>
            <w:r w:rsidRPr="0038045B">
              <w:rPr>
                <w:sz w:val="22"/>
                <w:szCs w:val="22"/>
              </w:rPr>
              <w:t>95%</w:t>
            </w:r>
          </w:p>
        </w:tc>
        <w:tc>
          <w:tcPr>
            <w:tcW w:w="1283" w:type="dxa"/>
          </w:tcPr>
          <w:p w14:paraId="57BEC65A" w14:textId="77777777" w:rsidR="00F94A32" w:rsidRPr="0038045B" w:rsidRDefault="00F94A32" w:rsidP="00F94A32">
            <w:pPr>
              <w:jc w:val="center"/>
              <w:rPr>
                <w:sz w:val="22"/>
                <w:szCs w:val="22"/>
              </w:rPr>
            </w:pPr>
            <w:r w:rsidRPr="0038045B">
              <w:rPr>
                <w:sz w:val="22"/>
                <w:szCs w:val="22"/>
              </w:rPr>
              <w:t>56%</w:t>
            </w:r>
          </w:p>
        </w:tc>
        <w:tc>
          <w:tcPr>
            <w:tcW w:w="1390" w:type="dxa"/>
          </w:tcPr>
          <w:p w14:paraId="4CCC5ED5" w14:textId="77777777" w:rsidR="00F94A32" w:rsidRPr="0038045B" w:rsidRDefault="00F94A32" w:rsidP="00F94A32">
            <w:pPr>
              <w:jc w:val="center"/>
              <w:rPr>
                <w:sz w:val="22"/>
                <w:szCs w:val="22"/>
              </w:rPr>
            </w:pPr>
            <w:r w:rsidRPr="0038045B">
              <w:rPr>
                <w:sz w:val="22"/>
                <w:szCs w:val="22"/>
              </w:rPr>
              <w:t>63%</w:t>
            </w:r>
          </w:p>
        </w:tc>
        <w:tc>
          <w:tcPr>
            <w:tcW w:w="828" w:type="dxa"/>
          </w:tcPr>
          <w:p w14:paraId="575F000C" w14:textId="77777777" w:rsidR="00F94A32" w:rsidRPr="0038045B" w:rsidRDefault="00F94A32" w:rsidP="00F94A32">
            <w:pPr>
              <w:jc w:val="center"/>
              <w:rPr>
                <w:sz w:val="22"/>
                <w:szCs w:val="22"/>
              </w:rPr>
            </w:pPr>
            <w:r w:rsidRPr="0038045B">
              <w:rPr>
                <w:sz w:val="22"/>
                <w:szCs w:val="22"/>
              </w:rPr>
              <w:t>50%</w:t>
            </w:r>
          </w:p>
        </w:tc>
      </w:tr>
      <w:tr w:rsidR="001203F3" w:rsidRPr="0038045B" w14:paraId="1C4D3B7E" w14:textId="77777777" w:rsidTr="005E1979">
        <w:tc>
          <w:tcPr>
            <w:tcW w:w="1975" w:type="dxa"/>
          </w:tcPr>
          <w:p w14:paraId="5A429172" w14:textId="77777777" w:rsidR="00F94A32" w:rsidRPr="0038045B" w:rsidRDefault="00F94A32" w:rsidP="001203F3">
            <w:pPr>
              <w:rPr>
                <w:b/>
                <w:sz w:val="22"/>
                <w:szCs w:val="22"/>
              </w:rPr>
            </w:pPr>
            <w:r w:rsidRPr="0038045B">
              <w:rPr>
                <w:b/>
                <w:sz w:val="22"/>
                <w:szCs w:val="22"/>
              </w:rPr>
              <w:t>% mobile broadband</w:t>
            </w:r>
          </w:p>
        </w:tc>
        <w:tc>
          <w:tcPr>
            <w:tcW w:w="990" w:type="dxa"/>
          </w:tcPr>
          <w:p w14:paraId="46D2AC23" w14:textId="77777777" w:rsidR="00F94A32" w:rsidRPr="0038045B" w:rsidRDefault="00F94A32" w:rsidP="00F94A32">
            <w:pPr>
              <w:jc w:val="center"/>
              <w:rPr>
                <w:sz w:val="22"/>
                <w:szCs w:val="22"/>
              </w:rPr>
            </w:pPr>
            <w:r w:rsidRPr="0038045B">
              <w:rPr>
                <w:sz w:val="22"/>
                <w:szCs w:val="22"/>
              </w:rPr>
              <w:t>25%</w:t>
            </w:r>
          </w:p>
        </w:tc>
        <w:tc>
          <w:tcPr>
            <w:tcW w:w="1442" w:type="dxa"/>
          </w:tcPr>
          <w:p w14:paraId="1B229FDF" w14:textId="77777777" w:rsidR="00F94A32" w:rsidRPr="0038045B" w:rsidRDefault="00F94A32" w:rsidP="00F94A32">
            <w:pPr>
              <w:jc w:val="center"/>
              <w:rPr>
                <w:sz w:val="22"/>
                <w:szCs w:val="22"/>
              </w:rPr>
            </w:pPr>
            <w:r w:rsidRPr="0038045B">
              <w:rPr>
                <w:sz w:val="22"/>
                <w:szCs w:val="22"/>
              </w:rPr>
              <w:t>36%</w:t>
            </w:r>
          </w:p>
        </w:tc>
        <w:tc>
          <w:tcPr>
            <w:tcW w:w="921" w:type="dxa"/>
          </w:tcPr>
          <w:p w14:paraId="1A5BE9BB" w14:textId="77777777" w:rsidR="00F94A32" w:rsidRPr="0038045B" w:rsidRDefault="00F94A32" w:rsidP="00F94A32">
            <w:pPr>
              <w:jc w:val="center"/>
              <w:rPr>
                <w:sz w:val="22"/>
                <w:szCs w:val="22"/>
              </w:rPr>
            </w:pPr>
            <w:r w:rsidRPr="0038045B">
              <w:rPr>
                <w:sz w:val="22"/>
                <w:szCs w:val="22"/>
              </w:rPr>
              <w:t>26%</w:t>
            </w:r>
          </w:p>
        </w:tc>
        <w:tc>
          <w:tcPr>
            <w:tcW w:w="1283" w:type="dxa"/>
          </w:tcPr>
          <w:p w14:paraId="53227BDB" w14:textId="77777777" w:rsidR="00F94A32" w:rsidRPr="0038045B" w:rsidRDefault="00F94A32" w:rsidP="00F94A32">
            <w:pPr>
              <w:jc w:val="center"/>
              <w:rPr>
                <w:sz w:val="22"/>
                <w:szCs w:val="22"/>
              </w:rPr>
            </w:pPr>
            <w:r w:rsidRPr="0038045B">
              <w:rPr>
                <w:sz w:val="22"/>
                <w:szCs w:val="22"/>
              </w:rPr>
              <w:t>40%</w:t>
            </w:r>
          </w:p>
        </w:tc>
        <w:tc>
          <w:tcPr>
            <w:tcW w:w="1390" w:type="dxa"/>
          </w:tcPr>
          <w:p w14:paraId="6CF660FD" w14:textId="77777777" w:rsidR="00F94A32" w:rsidRPr="0038045B" w:rsidRDefault="00F94A32" w:rsidP="00F94A32">
            <w:pPr>
              <w:jc w:val="center"/>
              <w:rPr>
                <w:sz w:val="22"/>
                <w:szCs w:val="22"/>
              </w:rPr>
            </w:pPr>
            <w:r w:rsidRPr="0038045B">
              <w:rPr>
                <w:sz w:val="22"/>
                <w:szCs w:val="22"/>
              </w:rPr>
              <w:t>43%</w:t>
            </w:r>
          </w:p>
        </w:tc>
        <w:tc>
          <w:tcPr>
            <w:tcW w:w="828" w:type="dxa"/>
          </w:tcPr>
          <w:p w14:paraId="42F3C159" w14:textId="77777777" w:rsidR="00F94A32" w:rsidRPr="0038045B" w:rsidRDefault="00F94A32" w:rsidP="00F94A32">
            <w:pPr>
              <w:jc w:val="center"/>
              <w:rPr>
                <w:sz w:val="22"/>
                <w:szCs w:val="22"/>
              </w:rPr>
            </w:pPr>
            <w:r w:rsidRPr="0038045B">
              <w:rPr>
                <w:sz w:val="22"/>
                <w:szCs w:val="22"/>
              </w:rPr>
              <w:t>45%</w:t>
            </w:r>
          </w:p>
        </w:tc>
      </w:tr>
    </w:tbl>
    <w:p w14:paraId="59F0012D" w14:textId="77777777" w:rsidR="00F94A32" w:rsidRPr="0038045B" w:rsidRDefault="00F94A32" w:rsidP="00F94A32">
      <w:pPr>
        <w:spacing w:after="240"/>
        <w:rPr>
          <w:sz w:val="20"/>
        </w:rPr>
      </w:pPr>
      <w:r w:rsidRPr="0038045B">
        <w:rPr>
          <w:sz w:val="20"/>
        </w:rPr>
        <w:t>Source: GSMA Intelligence, 2016.</w:t>
      </w:r>
    </w:p>
    <w:p w14:paraId="676A0239" w14:textId="77777777" w:rsidR="00D5154F" w:rsidRPr="0038045B" w:rsidRDefault="0090404E" w:rsidP="00C80F30">
      <w:pPr>
        <w:pStyle w:val="Body"/>
        <w:numPr>
          <w:ilvl w:val="0"/>
          <w:numId w:val="15"/>
        </w:numPr>
        <w:spacing w:after="200" w:line="276" w:lineRule="auto"/>
        <w:ind w:left="0" w:firstLine="0"/>
        <w:rPr>
          <w:lang w:val="en-US"/>
        </w:rPr>
      </w:pPr>
      <w:r w:rsidRPr="0038045B">
        <w:rPr>
          <w:lang w:val="en-US"/>
        </w:rPr>
        <w:t xml:space="preserve">Regarding </w:t>
      </w:r>
      <w:r w:rsidR="00D5154F" w:rsidRPr="0038045B">
        <w:rPr>
          <w:lang w:val="en-US"/>
        </w:rPr>
        <w:t>fixed broad band a</w:t>
      </w:r>
      <w:r w:rsidRPr="0038045B">
        <w:rPr>
          <w:lang w:val="en-US"/>
        </w:rPr>
        <w:t xml:space="preserve">ccess to the Internet, </w:t>
      </w:r>
      <w:r w:rsidR="00D5154F" w:rsidRPr="0038045B">
        <w:rPr>
          <w:lang w:val="en-US"/>
        </w:rPr>
        <w:t xml:space="preserve">as of end-2015 there were 242,870 </w:t>
      </w:r>
      <w:r w:rsidR="0067294D" w:rsidRPr="0038045B">
        <w:rPr>
          <w:lang w:val="en-US"/>
        </w:rPr>
        <w:t>service contracts</w:t>
      </w:r>
      <w:r w:rsidR="00D5154F" w:rsidRPr="0038045B">
        <w:rPr>
          <w:lang w:val="en-US"/>
        </w:rPr>
        <w:t xml:space="preserve">, which represents a penetration rate of 33.6% in terms of families and 8.6% </w:t>
      </w:r>
      <w:r w:rsidR="00D5154F" w:rsidRPr="0038045B">
        <w:rPr>
          <w:lang w:val="en-US"/>
        </w:rPr>
        <w:lastRenderedPageBreak/>
        <w:t>in terms of individuals. The International Telecommunications Union (ITU) estimates that, altogether, access to the Internet in Albania is over 60%.</w:t>
      </w:r>
      <w:r w:rsidR="00D5154F" w:rsidRPr="0038045B">
        <w:rPr>
          <w:rStyle w:val="FootnoteReference"/>
          <w:lang w:val="en-US"/>
        </w:rPr>
        <w:footnoteReference w:id="56"/>
      </w:r>
      <w:r w:rsidR="00D5154F" w:rsidRPr="0038045B">
        <w:rPr>
          <w:lang w:val="en-US"/>
        </w:rPr>
        <w:t xml:space="preserve"> </w:t>
      </w:r>
    </w:p>
    <w:p w14:paraId="68E42D9B" w14:textId="77777777" w:rsidR="00530E93" w:rsidRPr="0038045B" w:rsidRDefault="00D5154F" w:rsidP="00F87749">
      <w:pPr>
        <w:pStyle w:val="Body"/>
        <w:numPr>
          <w:ilvl w:val="0"/>
          <w:numId w:val="15"/>
        </w:numPr>
        <w:spacing w:after="200" w:line="276" w:lineRule="auto"/>
        <w:ind w:left="0" w:firstLine="0"/>
        <w:rPr>
          <w:lang w:val="en-US"/>
        </w:rPr>
      </w:pPr>
      <w:r w:rsidRPr="0038045B">
        <w:rPr>
          <w:lang w:val="en-US"/>
        </w:rPr>
        <w:t xml:space="preserve">Albania </w:t>
      </w:r>
      <w:r w:rsidR="0090404E" w:rsidRPr="0038045B">
        <w:rPr>
          <w:lang w:val="en-US"/>
        </w:rPr>
        <w:t>has issued a National Broadband P</w:t>
      </w:r>
      <w:r w:rsidRPr="0038045B">
        <w:rPr>
          <w:lang w:val="en-US"/>
        </w:rPr>
        <w:t>lan covering 2013-2020</w:t>
      </w:r>
      <w:r w:rsidR="00C31B7C" w:rsidRPr="0038045B">
        <w:rPr>
          <w:lang w:val="en-US"/>
        </w:rPr>
        <w:t>. The vision in this plan is the development of broad</w:t>
      </w:r>
      <w:r w:rsidR="00BE568F" w:rsidRPr="0038045B">
        <w:rPr>
          <w:lang w:val="en-US"/>
        </w:rPr>
        <w:t xml:space="preserve"> </w:t>
      </w:r>
      <w:r w:rsidR="00C31B7C" w:rsidRPr="0038045B">
        <w:rPr>
          <w:lang w:val="en-US"/>
        </w:rPr>
        <w:t>band infrastructure and services in the whole country in order to gain access to the electronic services in different fields, such as health, education, commerce, and government services, among others.</w:t>
      </w:r>
    </w:p>
    <w:p w14:paraId="14B6788A" w14:textId="77777777" w:rsidR="00A62C61" w:rsidRPr="0038045B" w:rsidRDefault="00A62C61" w:rsidP="00A62C61">
      <w:pPr>
        <w:keepNext/>
        <w:spacing w:before="360" w:after="200" w:line="276" w:lineRule="auto"/>
        <w:jc w:val="both"/>
        <w:rPr>
          <w:b/>
          <w:i/>
          <w:color w:val="000000" w:themeColor="text1"/>
          <w:szCs w:val="24"/>
          <w:lang w:eastAsia="en-US"/>
        </w:rPr>
      </w:pPr>
      <w:r w:rsidRPr="0038045B">
        <w:rPr>
          <w:b/>
          <w:i/>
          <w:szCs w:val="24"/>
          <w:lang w:eastAsia="en-US"/>
        </w:rPr>
        <w:t>Observations and</w:t>
      </w:r>
      <w:r w:rsidR="00EE186D" w:rsidRPr="0038045B">
        <w:rPr>
          <w:b/>
          <w:i/>
          <w:szCs w:val="24"/>
          <w:lang w:eastAsia="en-US"/>
        </w:rPr>
        <w:t xml:space="preserve"> r</w:t>
      </w:r>
      <w:r w:rsidRPr="0038045B">
        <w:rPr>
          <w:b/>
          <w:i/>
          <w:szCs w:val="24"/>
          <w:lang w:eastAsia="en-US"/>
        </w:rPr>
        <w:t>ecommendations on other</w:t>
      </w:r>
      <w:r w:rsidR="003331D1" w:rsidRPr="0038045B">
        <w:rPr>
          <w:b/>
          <w:i/>
          <w:szCs w:val="24"/>
          <w:lang w:eastAsia="en-US"/>
        </w:rPr>
        <w:t xml:space="preserve"> relevant</w:t>
      </w:r>
      <w:r w:rsidRPr="0038045B">
        <w:rPr>
          <w:b/>
          <w:i/>
          <w:szCs w:val="24"/>
          <w:lang w:eastAsia="en-US"/>
        </w:rPr>
        <w:t xml:space="preserve"> infrastructures</w:t>
      </w:r>
    </w:p>
    <w:p w14:paraId="373B08D2" w14:textId="77777777" w:rsidR="0052713D" w:rsidRPr="0038045B" w:rsidRDefault="008744D5" w:rsidP="003221AA">
      <w:pPr>
        <w:pStyle w:val="Body"/>
        <w:numPr>
          <w:ilvl w:val="0"/>
          <w:numId w:val="15"/>
        </w:numPr>
        <w:spacing w:after="120" w:line="276" w:lineRule="auto"/>
        <w:ind w:left="0" w:firstLine="0"/>
        <w:rPr>
          <w:i/>
          <w:color w:val="000000" w:themeColor="text1"/>
          <w:szCs w:val="24"/>
          <w:lang w:val="en-US" w:eastAsia="en-US"/>
        </w:rPr>
      </w:pPr>
      <w:r w:rsidRPr="0038045B">
        <w:rPr>
          <w:i/>
          <w:color w:val="000000" w:themeColor="text1"/>
          <w:szCs w:val="24"/>
          <w:lang w:val="en-US" w:eastAsia="en-US"/>
        </w:rPr>
        <w:t xml:space="preserve">Reliable identity verification is a cornerstone for expanding the provision of financial services. A modern and robust electronic ID system ensures that identity (and potentially other </w:t>
      </w:r>
      <w:r w:rsidR="006762C2" w:rsidRPr="0038045B">
        <w:rPr>
          <w:i/>
          <w:color w:val="000000" w:themeColor="text1"/>
          <w:szCs w:val="24"/>
          <w:lang w:val="en-US" w:eastAsia="en-US"/>
        </w:rPr>
        <w:t xml:space="preserve">relevant </w:t>
      </w:r>
      <w:r w:rsidRPr="0038045B">
        <w:rPr>
          <w:i/>
          <w:color w:val="000000" w:themeColor="text1"/>
          <w:szCs w:val="24"/>
          <w:lang w:val="en-US" w:eastAsia="en-US"/>
        </w:rPr>
        <w:t xml:space="preserve">citizenship data) can be securely and unambiguously asserted and verified through electronic means for delivery of services. </w:t>
      </w:r>
      <w:r w:rsidR="00BE568F" w:rsidRPr="0038045B">
        <w:rPr>
          <w:i/>
          <w:color w:val="000000" w:themeColor="text1"/>
          <w:szCs w:val="24"/>
          <w:lang w:val="en-US" w:eastAsia="en-US"/>
        </w:rPr>
        <w:t xml:space="preserve">Albania has taken </w:t>
      </w:r>
      <w:r w:rsidRPr="0038045B">
        <w:rPr>
          <w:i/>
          <w:color w:val="000000" w:themeColor="text1"/>
          <w:szCs w:val="24"/>
          <w:lang w:val="en-US" w:eastAsia="en-US"/>
        </w:rPr>
        <w:t>important steps in this direction</w:t>
      </w:r>
      <w:r w:rsidR="00BE568F" w:rsidRPr="0038045B">
        <w:rPr>
          <w:i/>
          <w:color w:val="000000" w:themeColor="text1"/>
          <w:szCs w:val="24"/>
          <w:lang w:val="en-US" w:eastAsia="en-US"/>
        </w:rPr>
        <w:t xml:space="preserve">, including </w:t>
      </w:r>
      <w:r w:rsidRPr="0038045B">
        <w:rPr>
          <w:i/>
          <w:color w:val="000000" w:themeColor="text1"/>
          <w:szCs w:val="24"/>
          <w:lang w:val="en-US" w:eastAsia="en-US"/>
        </w:rPr>
        <w:t xml:space="preserve">through the modernization of </w:t>
      </w:r>
      <w:r w:rsidR="00BE568F" w:rsidRPr="0038045B">
        <w:rPr>
          <w:i/>
          <w:color w:val="000000" w:themeColor="text1"/>
          <w:szCs w:val="24"/>
          <w:lang w:val="en-US" w:eastAsia="en-US"/>
        </w:rPr>
        <w:t xml:space="preserve">the National Civil Status Registry, the issuance of smart ID cards (having achieved universal coverage for citizens that are 16 and older), and by enabling the provision of electronic and remote verification of </w:t>
      </w:r>
      <w:r w:rsidR="006762C2" w:rsidRPr="0038045B">
        <w:rPr>
          <w:i/>
          <w:color w:val="000000" w:themeColor="text1"/>
          <w:szCs w:val="24"/>
          <w:lang w:val="en-US" w:eastAsia="en-US"/>
        </w:rPr>
        <w:t>identity services.</w:t>
      </w:r>
    </w:p>
    <w:p w14:paraId="6ECE2D17" w14:textId="77777777" w:rsidR="00D652FD" w:rsidRPr="0038045B" w:rsidRDefault="00406054" w:rsidP="003221AA">
      <w:pPr>
        <w:pStyle w:val="Body"/>
        <w:numPr>
          <w:ilvl w:val="0"/>
          <w:numId w:val="15"/>
        </w:numPr>
        <w:spacing w:after="120" w:line="276" w:lineRule="auto"/>
        <w:ind w:left="0" w:firstLine="0"/>
        <w:rPr>
          <w:i/>
          <w:szCs w:val="24"/>
          <w:lang w:val="en-US" w:eastAsia="en-US"/>
        </w:rPr>
      </w:pPr>
      <w:r w:rsidRPr="0038045B">
        <w:rPr>
          <w:i/>
          <w:color w:val="000000" w:themeColor="text1"/>
          <w:szCs w:val="24"/>
          <w:lang w:val="en-US" w:eastAsia="en-US"/>
        </w:rPr>
        <w:t xml:space="preserve">The </w:t>
      </w:r>
      <w:r w:rsidR="006762C2" w:rsidRPr="0038045B">
        <w:rPr>
          <w:i/>
          <w:color w:val="000000" w:themeColor="text1"/>
          <w:szCs w:val="24"/>
          <w:lang w:val="en-US" w:eastAsia="en-US"/>
        </w:rPr>
        <w:t xml:space="preserve">service for </w:t>
      </w:r>
      <w:r w:rsidRPr="0038045B">
        <w:rPr>
          <w:i/>
          <w:color w:val="000000" w:themeColor="text1"/>
          <w:szCs w:val="24"/>
          <w:lang w:val="en-US" w:eastAsia="en-US"/>
        </w:rPr>
        <w:t>e</w:t>
      </w:r>
      <w:r w:rsidR="006474FD" w:rsidRPr="0038045B">
        <w:rPr>
          <w:i/>
          <w:color w:val="000000" w:themeColor="text1"/>
          <w:szCs w:val="24"/>
          <w:lang w:val="en-US" w:eastAsia="en-US"/>
        </w:rPr>
        <w:t xml:space="preserve">lectronic verification of identity </w:t>
      </w:r>
      <w:r w:rsidRPr="0038045B">
        <w:rPr>
          <w:i/>
          <w:color w:val="000000" w:themeColor="text1"/>
          <w:szCs w:val="24"/>
          <w:lang w:val="en-US" w:eastAsia="en-US"/>
        </w:rPr>
        <w:t xml:space="preserve">deployed in Albania </w:t>
      </w:r>
      <w:r w:rsidR="006474FD" w:rsidRPr="0038045B">
        <w:rPr>
          <w:i/>
          <w:color w:val="000000" w:themeColor="text1"/>
          <w:szCs w:val="24"/>
          <w:lang w:val="en-US" w:eastAsia="en-US"/>
        </w:rPr>
        <w:t xml:space="preserve">(currently provided </w:t>
      </w:r>
      <w:r w:rsidRPr="0038045B">
        <w:rPr>
          <w:i/>
          <w:color w:val="000000" w:themeColor="text1"/>
          <w:szCs w:val="24"/>
          <w:lang w:val="en-US" w:eastAsia="en-US"/>
        </w:rPr>
        <w:t xml:space="preserve">by </w:t>
      </w:r>
      <w:r w:rsidR="006474FD" w:rsidRPr="0038045B">
        <w:rPr>
          <w:i/>
          <w:color w:val="000000" w:themeColor="text1"/>
          <w:szCs w:val="24"/>
          <w:lang w:val="en-US" w:eastAsia="en-US"/>
        </w:rPr>
        <w:t>the private venture “</w:t>
      </w:r>
      <w:r w:rsidR="00003C3F" w:rsidRPr="0038045B">
        <w:rPr>
          <w:i/>
          <w:color w:val="000000" w:themeColor="text1"/>
          <w:szCs w:val="24"/>
          <w:lang w:val="en-US" w:eastAsia="en-US"/>
        </w:rPr>
        <w:t>eAleat Identity Services</w:t>
      </w:r>
      <w:r w:rsidR="006474FD" w:rsidRPr="0038045B">
        <w:rPr>
          <w:i/>
          <w:color w:val="000000" w:themeColor="text1"/>
          <w:szCs w:val="24"/>
          <w:lang w:val="en-US" w:eastAsia="en-US"/>
        </w:rPr>
        <w:t>”)</w:t>
      </w:r>
      <w:r w:rsidR="00003C3F" w:rsidRPr="0038045B">
        <w:rPr>
          <w:i/>
          <w:color w:val="000000" w:themeColor="text1"/>
          <w:szCs w:val="24"/>
          <w:lang w:val="en-US" w:eastAsia="en-US"/>
        </w:rPr>
        <w:t xml:space="preserve"> can </w:t>
      </w:r>
      <w:r w:rsidR="008744D5" w:rsidRPr="0038045B">
        <w:rPr>
          <w:i/>
          <w:color w:val="000000" w:themeColor="text1"/>
          <w:szCs w:val="24"/>
          <w:lang w:val="en-US" w:eastAsia="en-US"/>
        </w:rPr>
        <w:t>reduce costs</w:t>
      </w:r>
      <w:r w:rsidR="00003C3F" w:rsidRPr="0038045B">
        <w:rPr>
          <w:i/>
          <w:color w:val="000000" w:themeColor="text1"/>
          <w:szCs w:val="24"/>
          <w:lang w:val="en-US" w:eastAsia="en-US"/>
        </w:rPr>
        <w:t xml:space="preserve"> in the electronic payments market, in particular </w:t>
      </w:r>
      <w:r w:rsidR="008744D5" w:rsidRPr="0038045B">
        <w:rPr>
          <w:i/>
          <w:color w:val="000000" w:themeColor="text1"/>
          <w:szCs w:val="24"/>
          <w:lang w:val="en-US" w:eastAsia="en-US"/>
        </w:rPr>
        <w:t>customer due diligence costs</w:t>
      </w:r>
      <w:r w:rsidR="00003C3F" w:rsidRPr="0038045B">
        <w:rPr>
          <w:i/>
          <w:color w:val="000000" w:themeColor="text1"/>
          <w:szCs w:val="24"/>
          <w:lang w:val="en-US" w:eastAsia="en-US"/>
        </w:rPr>
        <w:t xml:space="preserve"> when opening an account</w:t>
      </w:r>
      <w:r w:rsidR="006474FD" w:rsidRPr="0038045B">
        <w:rPr>
          <w:i/>
          <w:color w:val="000000" w:themeColor="text1"/>
          <w:szCs w:val="24"/>
          <w:lang w:val="en-US" w:eastAsia="en-US"/>
        </w:rPr>
        <w:t xml:space="preserve"> and/or </w:t>
      </w:r>
      <w:r w:rsidRPr="0038045B">
        <w:rPr>
          <w:i/>
          <w:color w:val="000000" w:themeColor="text1"/>
          <w:szCs w:val="24"/>
          <w:lang w:val="en-US" w:eastAsia="en-US"/>
        </w:rPr>
        <w:t xml:space="preserve">when </w:t>
      </w:r>
      <w:r w:rsidR="006474FD" w:rsidRPr="0038045B">
        <w:rPr>
          <w:i/>
          <w:color w:val="000000" w:themeColor="text1"/>
          <w:szCs w:val="24"/>
          <w:lang w:val="en-US" w:eastAsia="en-US"/>
        </w:rPr>
        <w:t>applying for additional services</w:t>
      </w:r>
      <w:r w:rsidR="008744D5" w:rsidRPr="0038045B">
        <w:rPr>
          <w:i/>
          <w:color w:val="000000" w:themeColor="text1"/>
          <w:szCs w:val="24"/>
          <w:lang w:val="en-US" w:eastAsia="en-US"/>
        </w:rPr>
        <w:t xml:space="preserve">. </w:t>
      </w:r>
      <w:r w:rsidR="00D652FD" w:rsidRPr="0038045B">
        <w:rPr>
          <w:i/>
          <w:color w:val="000000" w:themeColor="text1"/>
          <w:szCs w:val="24"/>
          <w:lang w:val="en-US" w:eastAsia="en-US"/>
        </w:rPr>
        <w:t xml:space="preserve">It must be ensured that holders of smart ID cards can “activate” their cards in this database easily and conveniently so that the service of electronic verification of identify service may be provided smoothly. </w:t>
      </w:r>
    </w:p>
    <w:p w14:paraId="76A4AC29" w14:textId="77777777" w:rsidR="008744D5" w:rsidRPr="0038045B" w:rsidRDefault="00406054" w:rsidP="003221AA">
      <w:pPr>
        <w:pStyle w:val="Body"/>
        <w:numPr>
          <w:ilvl w:val="0"/>
          <w:numId w:val="15"/>
        </w:numPr>
        <w:spacing w:after="120" w:line="276" w:lineRule="auto"/>
        <w:ind w:left="0" w:firstLine="0"/>
        <w:rPr>
          <w:i/>
          <w:szCs w:val="24"/>
          <w:lang w:val="en-US" w:eastAsia="en-US"/>
        </w:rPr>
      </w:pPr>
      <w:r w:rsidRPr="0038045B">
        <w:rPr>
          <w:i/>
          <w:color w:val="000000" w:themeColor="text1"/>
          <w:szCs w:val="24"/>
          <w:lang w:val="en-US" w:eastAsia="en-US"/>
        </w:rPr>
        <w:t>At the same time, i</w:t>
      </w:r>
      <w:r w:rsidR="006474FD" w:rsidRPr="0038045B">
        <w:rPr>
          <w:i/>
          <w:color w:val="000000" w:themeColor="text1"/>
          <w:szCs w:val="24"/>
          <w:lang w:val="en-US" w:eastAsia="en-US"/>
        </w:rPr>
        <w:t xml:space="preserve">n order to maintain a level playing field, authorities in Albania should ensure </w:t>
      </w:r>
      <w:r w:rsidR="008744D5" w:rsidRPr="0038045B">
        <w:rPr>
          <w:i/>
          <w:color w:val="000000" w:themeColor="text1"/>
          <w:szCs w:val="24"/>
          <w:lang w:val="en-US" w:eastAsia="en-US"/>
        </w:rPr>
        <w:t>that</w:t>
      </w:r>
      <w:r w:rsidR="006474FD" w:rsidRPr="0038045B">
        <w:rPr>
          <w:i/>
          <w:color w:val="000000" w:themeColor="text1"/>
          <w:szCs w:val="24"/>
          <w:lang w:val="en-US" w:eastAsia="en-US"/>
        </w:rPr>
        <w:t xml:space="preserve"> </w:t>
      </w:r>
      <w:r w:rsidR="008744D5" w:rsidRPr="0038045B">
        <w:rPr>
          <w:i/>
          <w:szCs w:val="24"/>
          <w:lang w:val="en-US" w:eastAsia="en-US"/>
        </w:rPr>
        <w:t xml:space="preserve">all financial service providers and other external parties with a legitimate purpose are able to use </w:t>
      </w:r>
      <w:r w:rsidR="006474FD" w:rsidRPr="0038045B">
        <w:rPr>
          <w:i/>
          <w:szCs w:val="24"/>
          <w:lang w:val="en-US" w:eastAsia="en-US"/>
        </w:rPr>
        <w:t>th</w:t>
      </w:r>
      <w:r w:rsidR="00D652FD" w:rsidRPr="0038045B">
        <w:rPr>
          <w:i/>
          <w:szCs w:val="24"/>
          <w:lang w:val="en-US" w:eastAsia="en-US"/>
        </w:rPr>
        <w:t>e</w:t>
      </w:r>
      <w:r w:rsidR="006474FD" w:rsidRPr="0038045B">
        <w:rPr>
          <w:i/>
          <w:szCs w:val="24"/>
          <w:lang w:val="en-US" w:eastAsia="en-US"/>
        </w:rPr>
        <w:t xml:space="preserve"> </w:t>
      </w:r>
      <w:r w:rsidR="00D652FD" w:rsidRPr="0038045B">
        <w:rPr>
          <w:i/>
          <w:szCs w:val="24"/>
          <w:lang w:val="en-US" w:eastAsia="en-US"/>
        </w:rPr>
        <w:t xml:space="preserve">electronic verification of identify </w:t>
      </w:r>
      <w:r w:rsidR="006474FD" w:rsidRPr="0038045B">
        <w:rPr>
          <w:i/>
          <w:szCs w:val="24"/>
          <w:lang w:val="en-US" w:eastAsia="en-US"/>
        </w:rPr>
        <w:t xml:space="preserve">service </w:t>
      </w:r>
      <w:r w:rsidR="008744D5" w:rsidRPr="0038045B">
        <w:rPr>
          <w:i/>
          <w:szCs w:val="24"/>
          <w:lang w:val="en-US" w:eastAsia="en-US"/>
        </w:rPr>
        <w:t>in a</w:t>
      </w:r>
      <w:r w:rsidR="00421221" w:rsidRPr="0038045B">
        <w:rPr>
          <w:i/>
          <w:szCs w:val="24"/>
          <w:lang w:val="en-US" w:eastAsia="en-US"/>
        </w:rPr>
        <w:t xml:space="preserve"> fair a</w:t>
      </w:r>
      <w:r w:rsidR="008744D5" w:rsidRPr="0038045B">
        <w:rPr>
          <w:i/>
          <w:szCs w:val="24"/>
          <w:lang w:val="en-US" w:eastAsia="en-US"/>
        </w:rPr>
        <w:t>n</w:t>
      </w:r>
      <w:r w:rsidR="00421221" w:rsidRPr="0038045B">
        <w:rPr>
          <w:i/>
          <w:szCs w:val="24"/>
          <w:lang w:val="en-US" w:eastAsia="en-US"/>
        </w:rPr>
        <w:t>d</w:t>
      </w:r>
      <w:r w:rsidR="008744D5" w:rsidRPr="0038045B">
        <w:rPr>
          <w:i/>
          <w:szCs w:val="24"/>
          <w:lang w:val="en-US" w:eastAsia="en-US"/>
        </w:rPr>
        <w:t xml:space="preserve"> equitable basis</w:t>
      </w:r>
      <w:r w:rsidR="006474FD" w:rsidRPr="0038045B">
        <w:rPr>
          <w:i/>
          <w:szCs w:val="24"/>
          <w:lang w:val="en-US" w:eastAsia="en-US"/>
        </w:rPr>
        <w:t xml:space="preserve">. While eAleat Identity Services is a private venture, it should be operated largely as a utility, </w:t>
      </w:r>
      <w:r w:rsidR="006762C2" w:rsidRPr="0038045B">
        <w:rPr>
          <w:i/>
          <w:szCs w:val="24"/>
          <w:lang w:val="en-US" w:eastAsia="en-US"/>
        </w:rPr>
        <w:t xml:space="preserve">even </w:t>
      </w:r>
      <w:r w:rsidR="006474FD" w:rsidRPr="0038045B">
        <w:rPr>
          <w:i/>
          <w:szCs w:val="24"/>
          <w:lang w:val="en-US" w:eastAsia="en-US"/>
        </w:rPr>
        <w:t>more so considering that its source of golden data is the National Civil Status Registry, which is a public database</w:t>
      </w:r>
      <w:r w:rsidR="008744D5" w:rsidRPr="0038045B">
        <w:rPr>
          <w:i/>
          <w:szCs w:val="24"/>
          <w:lang w:val="en-US" w:eastAsia="en-US"/>
        </w:rPr>
        <w:t>.</w:t>
      </w:r>
    </w:p>
    <w:p w14:paraId="266D94CF" w14:textId="77777777" w:rsidR="001876C1" w:rsidRPr="0038045B" w:rsidRDefault="00411C63" w:rsidP="003221AA">
      <w:pPr>
        <w:pStyle w:val="Body"/>
        <w:numPr>
          <w:ilvl w:val="0"/>
          <w:numId w:val="15"/>
        </w:numPr>
        <w:spacing w:after="120" w:line="276" w:lineRule="auto"/>
        <w:ind w:left="0" w:firstLine="0"/>
        <w:rPr>
          <w:i/>
          <w:color w:val="000000" w:themeColor="text1"/>
          <w:szCs w:val="24"/>
          <w:lang w:val="en-US" w:eastAsia="en-US"/>
        </w:rPr>
      </w:pPr>
      <w:r w:rsidRPr="0038045B">
        <w:rPr>
          <w:i/>
          <w:color w:val="000000" w:themeColor="text1"/>
          <w:szCs w:val="24"/>
          <w:lang w:val="en-US" w:eastAsia="en-US"/>
        </w:rPr>
        <w:t xml:space="preserve">Regarding credit reporting, </w:t>
      </w:r>
      <w:r w:rsidR="00CF5C77" w:rsidRPr="0038045B">
        <w:rPr>
          <w:i/>
          <w:color w:val="000000" w:themeColor="text1"/>
          <w:szCs w:val="24"/>
          <w:lang w:val="en-US" w:eastAsia="en-US"/>
        </w:rPr>
        <w:t>while credit reporting systems are only rarely used as a means of facilitating access to accounts for payments, they can be especially useful to open up the path to broader financial services</w:t>
      </w:r>
      <w:r w:rsidR="00E30947" w:rsidRPr="0038045B">
        <w:rPr>
          <w:i/>
          <w:color w:val="000000" w:themeColor="text1"/>
          <w:szCs w:val="24"/>
          <w:lang w:val="en-US" w:eastAsia="en-US"/>
        </w:rPr>
        <w:t xml:space="preserve">. </w:t>
      </w:r>
      <w:r w:rsidR="00697B6F" w:rsidRPr="0038045B">
        <w:rPr>
          <w:i/>
          <w:color w:val="000000" w:themeColor="text1"/>
          <w:szCs w:val="24"/>
          <w:lang w:val="en-US" w:eastAsia="en-US"/>
        </w:rPr>
        <w:t xml:space="preserve">Indeed, the PAFI report stresses the role of accounts as a gateway to credit, savings and/or insurance. Such access to broader financial services often </w:t>
      </w:r>
      <w:r w:rsidR="006762C2" w:rsidRPr="0038045B">
        <w:rPr>
          <w:i/>
          <w:color w:val="000000" w:themeColor="text1"/>
          <w:szCs w:val="24"/>
          <w:lang w:val="en-US" w:eastAsia="en-US"/>
        </w:rPr>
        <w:t xml:space="preserve">becomes possible </w:t>
      </w:r>
      <w:r w:rsidR="001876C1" w:rsidRPr="0038045B">
        <w:rPr>
          <w:i/>
          <w:color w:val="000000" w:themeColor="text1"/>
          <w:szCs w:val="24"/>
          <w:lang w:val="en-US" w:eastAsia="en-US"/>
        </w:rPr>
        <w:t>when one or both of the following scenarios materialize:</w:t>
      </w:r>
      <w:r w:rsidR="00697B6F" w:rsidRPr="0038045B">
        <w:rPr>
          <w:i/>
          <w:color w:val="000000" w:themeColor="text1"/>
          <w:szCs w:val="24"/>
          <w:lang w:val="en-US" w:eastAsia="en-US"/>
        </w:rPr>
        <w:t xml:space="preserve"> </w:t>
      </w:r>
    </w:p>
    <w:p w14:paraId="54F2A30A" w14:textId="77777777" w:rsidR="001876C1" w:rsidRPr="0038045B" w:rsidRDefault="001876C1" w:rsidP="00D652FD">
      <w:pPr>
        <w:pStyle w:val="Body"/>
        <w:numPr>
          <w:ilvl w:val="0"/>
          <w:numId w:val="21"/>
        </w:numPr>
        <w:spacing w:after="120" w:line="276" w:lineRule="auto"/>
        <w:rPr>
          <w:i/>
          <w:color w:val="000000" w:themeColor="text1"/>
          <w:szCs w:val="24"/>
          <w:lang w:val="en-US" w:eastAsia="en-US"/>
        </w:rPr>
      </w:pPr>
      <w:r w:rsidRPr="0038045B">
        <w:rPr>
          <w:i/>
          <w:color w:val="000000" w:themeColor="text1"/>
          <w:szCs w:val="24"/>
          <w:lang w:val="en-US" w:eastAsia="en-US"/>
        </w:rPr>
        <w:t>A</w:t>
      </w:r>
      <w:r w:rsidR="00697B6F" w:rsidRPr="0038045B">
        <w:rPr>
          <w:i/>
          <w:color w:val="000000" w:themeColor="text1"/>
          <w:szCs w:val="24"/>
          <w:lang w:val="en-US" w:eastAsia="en-US"/>
        </w:rPr>
        <w:t xml:space="preserve">n individual </w:t>
      </w:r>
      <w:r w:rsidR="009D4925" w:rsidRPr="0038045B">
        <w:rPr>
          <w:i/>
          <w:color w:val="000000" w:themeColor="text1"/>
          <w:szCs w:val="24"/>
          <w:lang w:val="en-US" w:eastAsia="en-US"/>
        </w:rPr>
        <w:t xml:space="preserve">that </w:t>
      </w:r>
      <w:r w:rsidR="00697B6F" w:rsidRPr="0038045B">
        <w:rPr>
          <w:i/>
          <w:color w:val="000000" w:themeColor="text1"/>
          <w:szCs w:val="24"/>
          <w:lang w:val="en-US" w:eastAsia="en-US"/>
        </w:rPr>
        <w:t xml:space="preserve">has an account </w:t>
      </w:r>
      <w:r w:rsidR="00CF5C77" w:rsidRPr="0038045B">
        <w:rPr>
          <w:i/>
          <w:color w:val="000000" w:themeColor="text1"/>
          <w:szCs w:val="24"/>
          <w:lang w:val="en-US" w:eastAsia="en-US"/>
        </w:rPr>
        <w:t xml:space="preserve">uses </w:t>
      </w:r>
      <w:r w:rsidR="00E30947" w:rsidRPr="0038045B">
        <w:rPr>
          <w:i/>
          <w:color w:val="000000" w:themeColor="text1"/>
          <w:szCs w:val="24"/>
          <w:lang w:val="en-US" w:eastAsia="en-US"/>
        </w:rPr>
        <w:t>the</w:t>
      </w:r>
      <w:r w:rsidR="00CF5C77" w:rsidRPr="0038045B">
        <w:rPr>
          <w:i/>
          <w:color w:val="000000" w:themeColor="text1"/>
          <w:szCs w:val="24"/>
          <w:lang w:val="en-US" w:eastAsia="en-US"/>
        </w:rPr>
        <w:t xml:space="preserve"> electronic payment features</w:t>
      </w:r>
      <w:r w:rsidR="00E30947" w:rsidRPr="0038045B">
        <w:rPr>
          <w:i/>
          <w:color w:val="000000" w:themeColor="text1"/>
          <w:szCs w:val="24"/>
          <w:lang w:val="en-US" w:eastAsia="en-US"/>
        </w:rPr>
        <w:t xml:space="preserve"> of th</w:t>
      </w:r>
      <w:r w:rsidR="00042B98" w:rsidRPr="0038045B">
        <w:rPr>
          <w:i/>
          <w:color w:val="000000" w:themeColor="text1"/>
          <w:szCs w:val="24"/>
          <w:lang w:val="en-US" w:eastAsia="en-US"/>
        </w:rPr>
        <w:t>at</w:t>
      </w:r>
      <w:r w:rsidR="00E30947" w:rsidRPr="0038045B">
        <w:rPr>
          <w:i/>
          <w:color w:val="000000" w:themeColor="text1"/>
          <w:szCs w:val="24"/>
          <w:lang w:val="en-US" w:eastAsia="en-US"/>
        </w:rPr>
        <w:t xml:space="preserve"> account</w:t>
      </w:r>
      <w:r w:rsidR="00CF5C77" w:rsidRPr="0038045B">
        <w:rPr>
          <w:i/>
          <w:color w:val="000000" w:themeColor="text1"/>
          <w:szCs w:val="24"/>
          <w:lang w:val="en-US" w:eastAsia="en-US"/>
        </w:rPr>
        <w:t xml:space="preserve">, </w:t>
      </w:r>
      <w:r w:rsidR="00E30947" w:rsidRPr="0038045B">
        <w:rPr>
          <w:i/>
          <w:color w:val="000000" w:themeColor="text1"/>
          <w:szCs w:val="24"/>
          <w:lang w:val="en-US" w:eastAsia="en-US"/>
        </w:rPr>
        <w:t>leaving a trace of the payments received and made</w:t>
      </w:r>
      <w:r w:rsidRPr="0038045B">
        <w:rPr>
          <w:i/>
          <w:color w:val="000000" w:themeColor="text1"/>
          <w:szCs w:val="24"/>
          <w:lang w:val="en-US" w:eastAsia="en-US"/>
        </w:rPr>
        <w:t xml:space="preserve">. This information can then be used by </w:t>
      </w:r>
      <w:r w:rsidR="00042B98" w:rsidRPr="0038045B">
        <w:rPr>
          <w:i/>
          <w:color w:val="000000" w:themeColor="text1"/>
          <w:szCs w:val="24"/>
          <w:lang w:val="en-US" w:eastAsia="en-US"/>
        </w:rPr>
        <w:t>the</w:t>
      </w:r>
      <w:r w:rsidRPr="0038045B">
        <w:rPr>
          <w:i/>
          <w:color w:val="000000" w:themeColor="text1"/>
          <w:szCs w:val="24"/>
          <w:lang w:val="en-US" w:eastAsia="en-US"/>
        </w:rPr>
        <w:t xml:space="preserve"> bank </w:t>
      </w:r>
      <w:r w:rsidR="00042B98" w:rsidRPr="0038045B">
        <w:rPr>
          <w:i/>
          <w:color w:val="000000" w:themeColor="text1"/>
          <w:szCs w:val="24"/>
          <w:lang w:val="en-US" w:eastAsia="en-US"/>
        </w:rPr>
        <w:t xml:space="preserve">holding the account </w:t>
      </w:r>
      <w:r w:rsidRPr="0038045B">
        <w:rPr>
          <w:i/>
          <w:color w:val="000000" w:themeColor="text1"/>
          <w:szCs w:val="24"/>
          <w:lang w:val="en-US" w:eastAsia="en-US"/>
        </w:rPr>
        <w:t>(or another lender</w:t>
      </w:r>
      <w:r w:rsidR="00042B98" w:rsidRPr="0038045B">
        <w:rPr>
          <w:i/>
          <w:color w:val="000000" w:themeColor="text1"/>
          <w:szCs w:val="24"/>
          <w:lang w:val="en-US" w:eastAsia="en-US"/>
        </w:rPr>
        <w:t xml:space="preserve"> if the account is not a bank </w:t>
      </w:r>
      <w:r w:rsidR="00042B98" w:rsidRPr="0038045B">
        <w:rPr>
          <w:i/>
          <w:color w:val="000000" w:themeColor="text1"/>
          <w:szCs w:val="24"/>
          <w:lang w:val="en-US" w:eastAsia="en-US"/>
        </w:rPr>
        <w:lastRenderedPageBreak/>
        <w:t>account</w:t>
      </w:r>
      <w:r w:rsidRPr="0038045B">
        <w:rPr>
          <w:i/>
          <w:color w:val="000000" w:themeColor="text1"/>
          <w:szCs w:val="24"/>
          <w:lang w:val="en-US" w:eastAsia="en-US"/>
        </w:rPr>
        <w:t>) as a proxy of that individual’s cash flow and loan re-payment capacity.</w:t>
      </w:r>
    </w:p>
    <w:p w14:paraId="7B65884D" w14:textId="77777777" w:rsidR="00697B6F" w:rsidRPr="0038045B" w:rsidRDefault="001876C1" w:rsidP="001876C1">
      <w:pPr>
        <w:pStyle w:val="Body"/>
        <w:numPr>
          <w:ilvl w:val="0"/>
          <w:numId w:val="21"/>
        </w:numPr>
        <w:spacing w:after="200" w:line="276" w:lineRule="auto"/>
        <w:rPr>
          <w:i/>
          <w:color w:val="000000" w:themeColor="text1"/>
          <w:szCs w:val="24"/>
          <w:lang w:val="en-US" w:eastAsia="en-US"/>
        </w:rPr>
      </w:pPr>
      <w:r w:rsidRPr="0038045B">
        <w:rPr>
          <w:i/>
          <w:color w:val="000000" w:themeColor="text1"/>
          <w:szCs w:val="24"/>
          <w:lang w:val="en-US" w:eastAsia="en-US"/>
        </w:rPr>
        <w:t xml:space="preserve">Large billers report </w:t>
      </w:r>
      <w:r w:rsidR="00E30947" w:rsidRPr="0038045B">
        <w:rPr>
          <w:i/>
          <w:color w:val="000000" w:themeColor="text1"/>
          <w:szCs w:val="24"/>
          <w:lang w:val="en-US" w:eastAsia="en-US"/>
        </w:rPr>
        <w:t xml:space="preserve">payment records </w:t>
      </w:r>
      <w:r w:rsidRPr="0038045B">
        <w:rPr>
          <w:i/>
          <w:color w:val="000000" w:themeColor="text1"/>
          <w:szCs w:val="24"/>
          <w:lang w:val="en-US" w:eastAsia="en-US"/>
        </w:rPr>
        <w:t>t</w:t>
      </w:r>
      <w:r w:rsidR="00E30947" w:rsidRPr="0038045B">
        <w:rPr>
          <w:i/>
          <w:color w:val="000000" w:themeColor="text1"/>
          <w:szCs w:val="24"/>
          <w:lang w:val="en-US" w:eastAsia="en-US"/>
        </w:rPr>
        <w:t xml:space="preserve">o </w:t>
      </w:r>
      <w:r w:rsidRPr="0038045B">
        <w:rPr>
          <w:i/>
          <w:color w:val="000000" w:themeColor="text1"/>
          <w:szCs w:val="24"/>
          <w:lang w:val="en-US" w:eastAsia="en-US"/>
        </w:rPr>
        <w:t>one or more c</w:t>
      </w:r>
      <w:r w:rsidR="00E30947" w:rsidRPr="0038045B">
        <w:rPr>
          <w:i/>
          <w:color w:val="000000" w:themeColor="text1"/>
          <w:szCs w:val="24"/>
          <w:lang w:val="en-US" w:eastAsia="en-US"/>
        </w:rPr>
        <w:t>redit reporting service provider</w:t>
      </w:r>
      <w:r w:rsidRPr="0038045B">
        <w:rPr>
          <w:i/>
          <w:color w:val="000000" w:themeColor="text1"/>
          <w:szCs w:val="24"/>
          <w:lang w:val="en-US" w:eastAsia="en-US"/>
        </w:rPr>
        <w:t>s. T</w:t>
      </w:r>
      <w:r w:rsidR="00E30947" w:rsidRPr="0038045B">
        <w:rPr>
          <w:i/>
          <w:color w:val="000000" w:themeColor="text1"/>
          <w:szCs w:val="24"/>
          <w:lang w:val="en-US" w:eastAsia="en-US"/>
        </w:rPr>
        <w:t xml:space="preserve">he </w:t>
      </w:r>
      <w:r w:rsidRPr="0038045B">
        <w:rPr>
          <w:i/>
          <w:color w:val="000000" w:themeColor="text1"/>
          <w:szCs w:val="24"/>
          <w:lang w:val="en-US" w:eastAsia="en-US"/>
        </w:rPr>
        <w:t xml:space="preserve">latter </w:t>
      </w:r>
      <w:r w:rsidR="00042B98" w:rsidRPr="0038045B">
        <w:rPr>
          <w:i/>
          <w:color w:val="000000" w:themeColor="text1"/>
          <w:szCs w:val="24"/>
          <w:lang w:val="en-US" w:eastAsia="en-US"/>
        </w:rPr>
        <w:t xml:space="preserve">then </w:t>
      </w:r>
      <w:r w:rsidR="00697B6F" w:rsidRPr="0038045B">
        <w:rPr>
          <w:i/>
          <w:color w:val="000000" w:themeColor="text1"/>
          <w:szCs w:val="24"/>
          <w:lang w:val="en-US" w:eastAsia="en-US"/>
        </w:rPr>
        <w:t xml:space="preserve">add value by making </w:t>
      </w:r>
      <w:r w:rsidR="00042B98" w:rsidRPr="0038045B">
        <w:rPr>
          <w:i/>
          <w:color w:val="000000" w:themeColor="text1"/>
          <w:szCs w:val="24"/>
          <w:lang w:val="en-US" w:eastAsia="en-US"/>
        </w:rPr>
        <w:t>this data</w:t>
      </w:r>
      <w:r w:rsidR="00697B6F" w:rsidRPr="0038045B">
        <w:rPr>
          <w:i/>
          <w:color w:val="000000" w:themeColor="text1"/>
          <w:szCs w:val="24"/>
          <w:lang w:val="en-US" w:eastAsia="en-US"/>
        </w:rPr>
        <w:t xml:space="preserve"> more accessible and useful to lenders (</w:t>
      </w:r>
      <w:r w:rsidR="00042B98" w:rsidRPr="0038045B">
        <w:rPr>
          <w:i/>
          <w:color w:val="000000" w:themeColor="text1"/>
          <w:szCs w:val="24"/>
          <w:lang w:val="en-US" w:eastAsia="en-US"/>
        </w:rPr>
        <w:t xml:space="preserve">for example, credit reporting service providers transform the raw data received from various sources into one or more products/tools that facilitate the identification of </w:t>
      </w:r>
      <w:r w:rsidR="00697B6F" w:rsidRPr="0038045B">
        <w:rPr>
          <w:i/>
          <w:color w:val="000000" w:themeColor="text1"/>
          <w:szCs w:val="24"/>
          <w:lang w:val="en-US" w:eastAsia="en-US"/>
        </w:rPr>
        <w:t>payment history pattern</w:t>
      </w:r>
      <w:r w:rsidR="00042B98" w:rsidRPr="0038045B">
        <w:rPr>
          <w:i/>
          <w:color w:val="000000" w:themeColor="text1"/>
          <w:szCs w:val="24"/>
          <w:lang w:val="en-US" w:eastAsia="en-US"/>
        </w:rPr>
        <w:t>s by lenders</w:t>
      </w:r>
      <w:r w:rsidR="00697B6F" w:rsidRPr="0038045B">
        <w:rPr>
          <w:i/>
          <w:color w:val="000000" w:themeColor="text1"/>
          <w:szCs w:val="24"/>
          <w:lang w:val="en-US" w:eastAsia="en-US"/>
        </w:rPr>
        <w:t>).</w:t>
      </w:r>
    </w:p>
    <w:p w14:paraId="012AF1BB" w14:textId="77777777" w:rsidR="00697B6F" w:rsidRPr="0038045B" w:rsidRDefault="00697B6F" w:rsidP="00697B6F">
      <w:pPr>
        <w:pStyle w:val="Body"/>
        <w:numPr>
          <w:ilvl w:val="0"/>
          <w:numId w:val="15"/>
        </w:numPr>
        <w:spacing w:after="200" w:line="276" w:lineRule="auto"/>
        <w:ind w:left="0" w:firstLine="0"/>
        <w:rPr>
          <w:szCs w:val="24"/>
          <w:lang w:val="en-US"/>
        </w:rPr>
      </w:pPr>
      <w:r w:rsidRPr="0038045B">
        <w:rPr>
          <w:i/>
          <w:color w:val="000000" w:themeColor="text1"/>
          <w:szCs w:val="24"/>
          <w:lang w:val="en-US" w:eastAsia="en-US"/>
        </w:rPr>
        <w:t xml:space="preserve">In this </w:t>
      </w:r>
      <w:r w:rsidR="00042B98" w:rsidRPr="0038045B">
        <w:rPr>
          <w:i/>
          <w:color w:val="000000" w:themeColor="text1"/>
          <w:szCs w:val="24"/>
          <w:lang w:val="en-US" w:eastAsia="en-US"/>
        </w:rPr>
        <w:t xml:space="preserve">last </w:t>
      </w:r>
      <w:r w:rsidRPr="0038045B">
        <w:rPr>
          <w:i/>
          <w:color w:val="000000" w:themeColor="text1"/>
          <w:szCs w:val="24"/>
          <w:lang w:val="en-US" w:eastAsia="en-US"/>
        </w:rPr>
        <w:t xml:space="preserve">regard, the </w:t>
      </w:r>
      <w:r w:rsidR="006236E6" w:rsidRPr="0038045B">
        <w:rPr>
          <w:i/>
          <w:color w:val="000000" w:themeColor="text1"/>
          <w:szCs w:val="24"/>
          <w:lang w:val="en-US" w:eastAsia="en-US"/>
        </w:rPr>
        <w:t xml:space="preserve">World Bank PSDG </w:t>
      </w:r>
      <w:r w:rsidRPr="0038045B">
        <w:rPr>
          <w:i/>
          <w:color w:val="000000" w:themeColor="text1"/>
          <w:szCs w:val="24"/>
          <w:lang w:val="en-US" w:eastAsia="en-US"/>
        </w:rPr>
        <w:t>team supports the initiative to build a credit bureau o</w:t>
      </w:r>
      <w:r w:rsidR="006236E6" w:rsidRPr="0038045B">
        <w:rPr>
          <w:i/>
          <w:color w:val="000000" w:themeColor="text1"/>
          <w:szCs w:val="24"/>
          <w:lang w:val="en-US" w:eastAsia="en-US"/>
        </w:rPr>
        <w:t>r</w:t>
      </w:r>
      <w:r w:rsidRPr="0038045B">
        <w:rPr>
          <w:i/>
          <w:color w:val="000000" w:themeColor="text1"/>
          <w:szCs w:val="24"/>
          <w:lang w:val="en-US" w:eastAsia="en-US"/>
        </w:rPr>
        <w:t xml:space="preserve"> credit reference center in Albania which would also capture data from the payment of recurrent obligations such as utilities, mobile phone bills, educational services, etc. It should be noted that </w:t>
      </w:r>
      <w:r w:rsidR="00C8469E" w:rsidRPr="0038045B">
        <w:rPr>
          <w:i/>
          <w:color w:val="000000" w:themeColor="text1"/>
          <w:szCs w:val="24"/>
          <w:lang w:val="en-US" w:eastAsia="en-US"/>
        </w:rPr>
        <w:t xml:space="preserve">for </w:t>
      </w:r>
      <w:r w:rsidRPr="0038045B">
        <w:rPr>
          <w:i/>
          <w:color w:val="000000" w:themeColor="text1"/>
          <w:szCs w:val="24"/>
          <w:lang w:val="en-US" w:eastAsia="en-US"/>
        </w:rPr>
        <w:t xml:space="preserve">many </w:t>
      </w:r>
      <w:r w:rsidR="006762C2" w:rsidRPr="0038045B">
        <w:rPr>
          <w:i/>
          <w:color w:val="000000" w:themeColor="text1"/>
          <w:szCs w:val="24"/>
          <w:lang w:val="en-US" w:eastAsia="en-US"/>
        </w:rPr>
        <w:t>i</w:t>
      </w:r>
      <w:r w:rsidR="00C8469E" w:rsidRPr="0038045B">
        <w:rPr>
          <w:i/>
          <w:color w:val="000000" w:themeColor="text1"/>
          <w:szCs w:val="24"/>
          <w:lang w:val="en-US" w:eastAsia="en-US"/>
        </w:rPr>
        <w:t>ndividuals</w:t>
      </w:r>
      <w:r w:rsidR="006762C2" w:rsidRPr="0038045B">
        <w:rPr>
          <w:i/>
          <w:color w:val="000000" w:themeColor="text1"/>
          <w:szCs w:val="24"/>
          <w:lang w:val="en-US" w:eastAsia="en-US"/>
        </w:rPr>
        <w:t xml:space="preserve"> currently excluded from credit</w:t>
      </w:r>
      <w:r w:rsidR="00C8469E" w:rsidRPr="0038045B">
        <w:rPr>
          <w:i/>
          <w:color w:val="000000" w:themeColor="text1"/>
          <w:szCs w:val="24"/>
          <w:lang w:val="en-US" w:eastAsia="en-US"/>
        </w:rPr>
        <w:t xml:space="preserve">, this is the only </w:t>
      </w:r>
      <w:r w:rsidR="006762C2" w:rsidRPr="0038045B">
        <w:rPr>
          <w:i/>
          <w:color w:val="000000" w:themeColor="text1"/>
          <w:szCs w:val="24"/>
          <w:lang w:val="en-US" w:eastAsia="en-US"/>
        </w:rPr>
        <w:t>form of collateral (</w:t>
      </w:r>
      <w:r w:rsidR="00D9384C" w:rsidRPr="0038045B">
        <w:rPr>
          <w:i/>
          <w:color w:val="000000" w:themeColor="text1"/>
          <w:szCs w:val="24"/>
          <w:lang w:val="en-US" w:eastAsia="en-US"/>
        </w:rPr>
        <w:t xml:space="preserve">often referred to as </w:t>
      </w:r>
      <w:r w:rsidR="00C8469E" w:rsidRPr="0038045B">
        <w:rPr>
          <w:i/>
          <w:color w:val="000000" w:themeColor="text1"/>
          <w:szCs w:val="24"/>
          <w:lang w:val="en-US" w:eastAsia="en-US"/>
        </w:rPr>
        <w:t>“reputational collateral”</w:t>
      </w:r>
      <w:r w:rsidR="00D9384C" w:rsidRPr="0038045B">
        <w:rPr>
          <w:i/>
          <w:color w:val="000000" w:themeColor="text1"/>
          <w:szCs w:val="24"/>
          <w:lang w:val="en-US" w:eastAsia="en-US"/>
        </w:rPr>
        <w:t>) they can offer</w:t>
      </w:r>
      <w:r w:rsidR="000017F7" w:rsidRPr="0038045B">
        <w:rPr>
          <w:i/>
          <w:color w:val="000000" w:themeColor="text1"/>
          <w:szCs w:val="24"/>
          <w:lang w:val="en-US" w:eastAsia="en-US"/>
        </w:rPr>
        <w:t>.</w:t>
      </w:r>
      <w:r w:rsidR="009D4925" w:rsidRPr="0038045B">
        <w:rPr>
          <w:rStyle w:val="FootnoteReference"/>
          <w:i/>
          <w:color w:val="000000" w:themeColor="text1"/>
          <w:szCs w:val="24"/>
          <w:lang w:val="en-US" w:eastAsia="en-US"/>
        </w:rPr>
        <w:footnoteReference w:id="57"/>
      </w:r>
    </w:p>
    <w:p w14:paraId="67883ADE" w14:textId="77777777" w:rsidR="00BA2A13" w:rsidRPr="0038045B" w:rsidRDefault="00D81B6C" w:rsidP="000B1C94">
      <w:pPr>
        <w:pStyle w:val="Heading1"/>
        <w:pageBreakBefore/>
        <w:spacing w:before="120" w:after="240"/>
        <w:jc w:val="left"/>
      </w:pPr>
      <w:bookmarkStart w:id="77" w:name="_Toc476239720"/>
      <w:r w:rsidRPr="0038045B">
        <w:lastRenderedPageBreak/>
        <w:t>C</w:t>
      </w:r>
      <w:r w:rsidR="00BA2A13" w:rsidRPr="0038045B">
        <w:t>ATALYTIC PILLARS: DRIVERS OF ACCESS TO AND USAGE OF ACCOUNTS AND ASSOCIATED ELECTRONIC PAYMENT INSTRUMENTS</w:t>
      </w:r>
      <w:bookmarkEnd w:id="77"/>
    </w:p>
    <w:p w14:paraId="70474FBB" w14:textId="77777777" w:rsidR="00CD2503" w:rsidRPr="0038045B" w:rsidRDefault="00CD2503" w:rsidP="00CD2503">
      <w:pPr>
        <w:pStyle w:val="Heading2"/>
        <w:spacing w:before="360" w:after="240"/>
        <w:rPr>
          <w:b/>
          <w:sz w:val="24"/>
          <w:szCs w:val="24"/>
          <w:u w:val="none"/>
        </w:rPr>
      </w:pPr>
      <w:bookmarkStart w:id="78" w:name="_Ref439165195"/>
      <w:bookmarkStart w:id="79" w:name="_Toc441595692"/>
      <w:bookmarkStart w:id="80" w:name="_Toc476239721"/>
      <w:r w:rsidRPr="0038045B">
        <w:rPr>
          <w:b/>
          <w:sz w:val="24"/>
          <w:szCs w:val="24"/>
          <w:u w:val="none"/>
        </w:rPr>
        <w:t>Account and payment product design</w:t>
      </w:r>
      <w:bookmarkEnd w:id="78"/>
      <w:bookmarkEnd w:id="79"/>
      <w:bookmarkEnd w:id="80"/>
    </w:p>
    <w:p w14:paraId="7ACAB29D" w14:textId="77777777" w:rsidR="00CD2503" w:rsidRPr="0038045B" w:rsidRDefault="00CD2503" w:rsidP="00C80F30">
      <w:pPr>
        <w:pStyle w:val="Body"/>
        <w:numPr>
          <w:ilvl w:val="0"/>
          <w:numId w:val="15"/>
        </w:numPr>
        <w:spacing w:after="200" w:line="276" w:lineRule="auto"/>
        <w:ind w:left="0" w:firstLine="0"/>
        <w:rPr>
          <w:lang w:val="en-US"/>
        </w:rPr>
      </w:pPr>
      <w:r w:rsidRPr="0038045B">
        <w:rPr>
          <w:lang w:val="en-US"/>
        </w:rPr>
        <w:t>PAFI (201</w:t>
      </w:r>
      <w:r w:rsidR="00910F51" w:rsidRPr="0038045B">
        <w:rPr>
          <w:lang w:val="en-US"/>
        </w:rPr>
        <w:t>6</w:t>
      </w:r>
      <w:r w:rsidRPr="0038045B">
        <w:rPr>
          <w:lang w:val="en-US"/>
        </w:rPr>
        <w:t xml:space="preserve">) defines a transaction account as an account held with banks or other authorized and/or regulated service providers (including non-banks), which can be used to make and receive payments. Transaction accounts can be further differentiated into deposit transaction accounts and e-money accounts. All individuals and businesses should ideally have access to and use at least one transaction account offered by an authorized and/or regulated service providers regulated payment service provider, (i) to perform most, if not all, of their payment needs; (ii) to safely store some value; and (iii) to serve as a gateway to other financial services. </w:t>
      </w:r>
    </w:p>
    <w:p w14:paraId="4D3330A3" w14:textId="77777777" w:rsidR="00CD2503" w:rsidRPr="0038045B" w:rsidRDefault="00CD2503" w:rsidP="00C80F30">
      <w:pPr>
        <w:pStyle w:val="Body"/>
        <w:numPr>
          <w:ilvl w:val="0"/>
          <w:numId w:val="15"/>
        </w:numPr>
        <w:spacing w:after="200" w:line="276" w:lineRule="auto"/>
        <w:ind w:left="0" w:firstLine="0"/>
        <w:rPr>
          <w:lang w:val="en-US"/>
        </w:rPr>
      </w:pPr>
      <w:r w:rsidRPr="0038045B">
        <w:rPr>
          <w:lang w:val="en-US"/>
        </w:rPr>
        <w:t>Transaction accounts typically are offered with a set of non-cash, increasingly electronic, payment instruments. Electronic payment instruments can be classified in three broad categories (PAFI, 201</w:t>
      </w:r>
      <w:r w:rsidR="00C113B5" w:rsidRPr="0038045B">
        <w:rPr>
          <w:lang w:val="en-US"/>
        </w:rPr>
        <w:t>6</w:t>
      </w:r>
      <w:r w:rsidRPr="0038045B">
        <w:rPr>
          <w:lang w:val="en-US"/>
        </w:rPr>
        <w:t>):</w:t>
      </w:r>
    </w:p>
    <w:p w14:paraId="3FDDC3F1" w14:textId="77777777" w:rsidR="00CD2503" w:rsidRPr="0038045B" w:rsidRDefault="00CD2503" w:rsidP="00C80F30">
      <w:pPr>
        <w:pStyle w:val="Body"/>
        <w:numPr>
          <w:ilvl w:val="1"/>
          <w:numId w:val="14"/>
        </w:numPr>
        <w:tabs>
          <w:tab w:val="left" w:pos="270"/>
        </w:tabs>
        <w:spacing w:after="120" w:line="276" w:lineRule="auto"/>
        <w:ind w:left="990" w:hanging="450"/>
        <w:rPr>
          <w:lang w:val="en-US"/>
        </w:rPr>
      </w:pPr>
      <w:r w:rsidRPr="0038045B">
        <w:rPr>
          <w:lang w:val="en-US"/>
        </w:rPr>
        <w:t>Electronic Funds Transfer (EFT)-based instruments: These are direct (</w:t>
      </w:r>
      <w:r w:rsidR="0074270C" w:rsidRPr="0038045B">
        <w:rPr>
          <w:lang w:val="en-US"/>
        </w:rPr>
        <w:t>i.e.</w:t>
      </w:r>
      <w:r w:rsidRPr="0038045B">
        <w:rPr>
          <w:lang w:val="en-US"/>
        </w:rPr>
        <w:t xml:space="preserve"> account-to-account) credit transfers and direct debit transfers. </w:t>
      </w:r>
    </w:p>
    <w:p w14:paraId="39B2CF84" w14:textId="77777777" w:rsidR="00CD2503" w:rsidRPr="0038045B" w:rsidRDefault="00CD2503" w:rsidP="00C80F30">
      <w:pPr>
        <w:pStyle w:val="Body"/>
        <w:numPr>
          <w:ilvl w:val="1"/>
          <w:numId w:val="14"/>
        </w:numPr>
        <w:tabs>
          <w:tab w:val="left" w:pos="270"/>
        </w:tabs>
        <w:spacing w:after="120" w:line="276" w:lineRule="auto"/>
        <w:ind w:left="990" w:hanging="450"/>
        <w:rPr>
          <w:lang w:val="en-US"/>
        </w:rPr>
      </w:pPr>
      <w:r w:rsidRPr="0038045B">
        <w:rPr>
          <w:lang w:val="en-US"/>
        </w:rPr>
        <w:t>Payment card-based instruments: These include credit card</w:t>
      </w:r>
      <w:r w:rsidR="00F6736E" w:rsidRPr="0038045B">
        <w:rPr>
          <w:lang w:val="en-US"/>
        </w:rPr>
        <w:t>s</w:t>
      </w:r>
      <w:r w:rsidRPr="0038045B">
        <w:rPr>
          <w:lang w:val="en-US"/>
        </w:rPr>
        <w:t>, charge card</w:t>
      </w:r>
      <w:r w:rsidR="00F6736E" w:rsidRPr="0038045B">
        <w:rPr>
          <w:lang w:val="en-US"/>
        </w:rPr>
        <w:t>s</w:t>
      </w:r>
      <w:r w:rsidRPr="0038045B">
        <w:rPr>
          <w:lang w:val="en-US"/>
        </w:rPr>
        <w:t xml:space="preserve">, </w:t>
      </w:r>
      <w:r w:rsidR="00F6736E" w:rsidRPr="0038045B">
        <w:rPr>
          <w:lang w:val="en-US"/>
        </w:rPr>
        <w:t>d</w:t>
      </w:r>
      <w:r w:rsidRPr="0038045B">
        <w:rPr>
          <w:lang w:val="en-US"/>
        </w:rPr>
        <w:t>ebit card</w:t>
      </w:r>
      <w:r w:rsidR="00F6736E" w:rsidRPr="0038045B">
        <w:rPr>
          <w:lang w:val="en-US"/>
        </w:rPr>
        <w:t xml:space="preserve">s, </w:t>
      </w:r>
      <w:r w:rsidRPr="0038045B">
        <w:rPr>
          <w:lang w:val="en-US"/>
        </w:rPr>
        <w:t xml:space="preserve">and typically still involve a physical plastic card. </w:t>
      </w:r>
    </w:p>
    <w:p w14:paraId="1BCFC210" w14:textId="77777777" w:rsidR="00CD2503" w:rsidRPr="0038045B" w:rsidRDefault="00CD2503" w:rsidP="00C80F30">
      <w:pPr>
        <w:pStyle w:val="Body"/>
        <w:numPr>
          <w:ilvl w:val="1"/>
          <w:numId w:val="14"/>
        </w:numPr>
        <w:tabs>
          <w:tab w:val="left" w:pos="270"/>
        </w:tabs>
        <w:spacing w:after="120" w:line="276" w:lineRule="auto"/>
        <w:ind w:left="990" w:hanging="450"/>
        <w:rPr>
          <w:lang w:val="en-US"/>
        </w:rPr>
      </w:pPr>
      <w:r w:rsidRPr="0038045B">
        <w:rPr>
          <w:lang w:val="en-US"/>
        </w:rPr>
        <w:t xml:space="preserve">Electronic money (e-money)-based instruments: In general terms, these instruments involve the payer maintaining a pre-funded transaction account with a PSP, often a non-bank. Specific products include online money when the payment instruction is initiated via the internet, mobile money when initiated via mobile phones, and prepaid cards. </w:t>
      </w:r>
    </w:p>
    <w:p w14:paraId="0C54A1C1" w14:textId="77777777" w:rsidR="00CD2503" w:rsidRPr="0038045B" w:rsidRDefault="00CD2503" w:rsidP="00C80F30">
      <w:pPr>
        <w:pStyle w:val="Body"/>
        <w:numPr>
          <w:ilvl w:val="0"/>
          <w:numId w:val="15"/>
        </w:numPr>
        <w:spacing w:after="200" w:line="276" w:lineRule="auto"/>
        <w:ind w:left="0" w:firstLine="0"/>
        <w:rPr>
          <w:lang w:val="en-US"/>
        </w:rPr>
      </w:pPr>
      <w:r w:rsidRPr="0038045B">
        <w:rPr>
          <w:lang w:val="en-US"/>
        </w:rPr>
        <w:t>Only if the transaction account and payment product offerings effectively meet a broad range of transaction needs of the target population, end customers will be willing to open a transaction account and adopt payment instruments at first hand and consequently make use of the transaction account and associated payment instruments on an ongoing basis. In order to effectively design transaction account and payment products, the supply side needs to identify end customer needs and provide a mix of product features that offer the potential to meet those needs at a reasonable cost for end customers. These product-specific features, in combination with broader market practices (e.g. consumer protection), affect the attractiveness of the respective product for customers. Product-specific features also impact the cost for PSPs of providing the payment service (PAFI, 201</w:t>
      </w:r>
      <w:r w:rsidR="00C113B5" w:rsidRPr="0038045B">
        <w:rPr>
          <w:lang w:val="en-US"/>
        </w:rPr>
        <w:t>6</w:t>
      </w:r>
      <w:r w:rsidRPr="0038045B">
        <w:rPr>
          <w:lang w:val="en-US"/>
        </w:rPr>
        <w:t xml:space="preserve">). </w:t>
      </w:r>
    </w:p>
    <w:p w14:paraId="25CE1699" w14:textId="77777777" w:rsidR="00CD2503" w:rsidRPr="0038045B" w:rsidRDefault="00CD2503" w:rsidP="00CD2503">
      <w:pPr>
        <w:pStyle w:val="Heading3"/>
        <w:spacing w:before="480" w:after="240"/>
        <w:rPr>
          <w:b w:val="0"/>
          <w:i/>
        </w:rPr>
      </w:pPr>
      <w:bookmarkStart w:id="81" w:name="_Toc476239722"/>
      <w:r w:rsidRPr="0038045B">
        <w:rPr>
          <w:b w:val="0"/>
          <w:i/>
        </w:rPr>
        <w:lastRenderedPageBreak/>
        <w:t>Relevance of transaction accounts</w:t>
      </w:r>
      <w:r w:rsidR="00563BFA" w:rsidRPr="0038045B">
        <w:rPr>
          <w:b w:val="0"/>
          <w:i/>
        </w:rPr>
        <w:t xml:space="preserve"> in Albania (bank accounts and e-money accounts)</w:t>
      </w:r>
      <w:bookmarkEnd w:id="81"/>
    </w:p>
    <w:p w14:paraId="6E45A8DF" w14:textId="77777777" w:rsidR="00F565A2" w:rsidRPr="0038045B" w:rsidRDefault="004103D6" w:rsidP="0069217B">
      <w:pPr>
        <w:pStyle w:val="Body"/>
        <w:numPr>
          <w:ilvl w:val="0"/>
          <w:numId w:val="15"/>
        </w:numPr>
        <w:spacing w:before="120" w:after="200" w:line="276" w:lineRule="auto"/>
        <w:ind w:left="0" w:firstLine="0"/>
        <w:rPr>
          <w:lang w:val="en-US" w:eastAsia="en-US"/>
        </w:rPr>
      </w:pPr>
      <w:r w:rsidRPr="0038045B">
        <w:rPr>
          <w:lang w:val="en-US"/>
        </w:rPr>
        <w:t>According to BoA data, as of end-2015 individuals owned 3,094,995 resident bank accounts and 18,347 non-resident bank accounts.</w:t>
      </w:r>
      <w:r w:rsidR="00C676C5" w:rsidRPr="0038045B">
        <w:rPr>
          <w:rStyle w:val="FootnoteReference"/>
          <w:lang w:val="en-US"/>
        </w:rPr>
        <w:footnoteReference w:id="58"/>
      </w:r>
      <w:r w:rsidR="00C676C5" w:rsidRPr="0038045B">
        <w:rPr>
          <w:lang w:val="en-US"/>
        </w:rPr>
        <w:t xml:space="preserve"> Most accounts are denominated in ALL, although accounts can also be opened in Euro, </w:t>
      </w:r>
      <w:r w:rsidR="008A371A" w:rsidRPr="0038045B">
        <w:rPr>
          <w:lang w:val="en-US"/>
        </w:rPr>
        <w:t xml:space="preserve">and to a lesser extent in </w:t>
      </w:r>
      <w:r w:rsidR="00C676C5" w:rsidRPr="0038045B">
        <w:rPr>
          <w:lang w:val="en-US"/>
        </w:rPr>
        <w:t xml:space="preserve">US Dollars (USD) </w:t>
      </w:r>
      <w:r w:rsidR="008A371A" w:rsidRPr="0038045B">
        <w:rPr>
          <w:lang w:val="en-US"/>
        </w:rPr>
        <w:t xml:space="preserve">or </w:t>
      </w:r>
      <w:r w:rsidR="00C676C5" w:rsidRPr="0038045B">
        <w:rPr>
          <w:lang w:val="en-US"/>
        </w:rPr>
        <w:t>Pound Sterling (GBP).</w:t>
      </w:r>
      <w:r w:rsidR="00F565A2" w:rsidRPr="0038045B">
        <w:rPr>
          <w:lang w:val="en-US"/>
        </w:rPr>
        <w:t xml:space="preserve"> </w:t>
      </w:r>
    </w:p>
    <w:p w14:paraId="016C632F" w14:textId="77777777" w:rsidR="00F465AA" w:rsidRPr="0038045B" w:rsidRDefault="004103D6" w:rsidP="0069217B">
      <w:pPr>
        <w:pStyle w:val="Body"/>
        <w:numPr>
          <w:ilvl w:val="0"/>
          <w:numId w:val="15"/>
        </w:numPr>
        <w:spacing w:before="120" w:after="200" w:line="276" w:lineRule="auto"/>
        <w:ind w:left="0" w:firstLine="0"/>
        <w:rPr>
          <w:lang w:val="en-US" w:eastAsia="en-US"/>
        </w:rPr>
      </w:pPr>
      <w:r w:rsidRPr="0038045B">
        <w:rPr>
          <w:lang w:val="en-US"/>
        </w:rPr>
        <w:t xml:space="preserve">The data discussed in the previous paragraph does not specify whether </w:t>
      </w:r>
      <w:r w:rsidR="00487989" w:rsidRPr="0038045B">
        <w:rPr>
          <w:lang w:val="en-US"/>
        </w:rPr>
        <w:t xml:space="preserve">the total number of </w:t>
      </w:r>
      <w:r w:rsidRPr="0038045B">
        <w:rPr>
          <w:lang w:val="en-US"/>
        </w:rPr>
        <w:t>customer account</w:t>
      </w:r>
      <w:r w:rsidR="00487989" w:rsidRPr="0038045B">
        <w:rPr>
          <w:lang w:val="en-US"/>
        </w:rPr>
        <w:t>s</w:t>
      </w:r>
      <w:r w:rsidRPr="0038045B">
        <w:rPr>
          <w:lang w:val="en-US"/>
        </w:rPr>
        <w:t xml:space="preserve"> with banks </w:t>
      </w:r>
      <w:r w:rsidR="00487989" w:rsidRPr="0038045B">
        <w:rPr>
          <w:lang w:val="en-US"/>
        </w:rPr>
        <w:t xml:space="preserve">includes only </w:t>
      </w:r>
      <w:r w:rsidRPr="0038045B">
        <w:rPr>
          <w:lang w:val="en-US"/>
        </w:rPr>
        <w:t xml:space="preserve">current accounts </w:t>
      </w:r>
      <w:r w:rsidR="00C676C5" w:rsidRPr="0038045B">
        <w:rPr>
          <w:lang w:val="en-US"/>
        </w:rPr>
        <w:t xml:space="preserve">or </w:t>
      </w:r>
      <w:r w:rsidR="00487989" w:rsidRPr="0038045B">
        <w:rPr>
          <w:lang w:val="en-US"/>
        </w:rPr>
        <w:t xml:space="preserve">also </w:t>
      </w:r>
      <w:r w:rsidR="00C676C5" w:rsidRPr="0038045B">
        <w:rPr>
          <w:lang w:val="en-US"/>
        </w:rPr>
        <w:t>savings accounts/time deposits.</w:t>
      </w:r>
      <w:r w:rsidR="00F565A2" w:rsidRPr="0038045B">
        <w:rPr>
          <w:lang w:val="en-US"/>
        </w:rPr>
        <w:t xml:space="preserve"> In any case, data from F</w:t>
      </w:r>
      <w:r w:rsidR="008F77E3" w:rsidRPr="0038045B">
        <w:rPr>
          <w:lang w:val="en-US"/>
        </w:rPr>
        <w:t>index 2014</w:t>
      </w:r>
      <w:r w:rsidR="00F465AA" w:rsidRPr="0038045B">
        <w:rPr>
          <w:lang w:val="en-US"/>
        </w:rPr>
        <w:t xml:space="preserve"> </w:t>
      </w:r>
      <w:r w:rsidR="008F77E3" w:rsidRPr="0038045B">
        <w:rPr>
          <w:lang w:val="en-US"/>
        </w:rPr>
        <w:t>and the results of a consumer survey undertaken as part of the Retail Payments Cost Study suggest</w:t>
      </w:r>
      <w:r w:rsidR="00F465AA" w:rsidRPr="0038045B">
        <w:rPr>
          <w:lang w:val="en-US"/>
        </w:rPr>
        <w:t xml:space="preserve"> that as of end-2014 approximately 38% o</w:t>
      </w:r>
      <w:r w:rsidR="00F565A2" w:rsidRPr="0038045B">
        <w:rPr>
          <w:lang w:val="en-US" w:eastAsia="en-US"/>
        </w:rPr>
        <w:t>f adults</w:t>
      </w:r>
      <w:r w:rsidR="00F465AA" w:rsidRPr="0038045B">
        <w:rPr>
          <w:lang w:val="en-US" w:eastAsia="en-US"/>
        </w:rPr>
        <w:t xml:space="preserve"> in Albania had an account</w:t>
      </w:r>
      <w:r w:rsidR="00F565A2" w:rsidRPr="0038045B">
        <w:rPr>
          <w:lang w:val="en-US" w:eastAsia="en-US"/>
        </w:rPr>
        <w:t>.</w:t>
      </w:r>
      <w:r w:rsidR="00F465AA" w:rsidRPr="0038045B">
        <w:rPr>
          <w:rStyle w:val="FootnoteReference"/>
          <w:lang w:val="en-US" w:eastAsia="en-US"/>
        </w:rPr>
        <w:footnoteReference w:id="59"/>
      </w:r>
      <w:r w:rsidR="00F565A2" w:rsidRPr="0038045B">
        <w:rPr>
          <w:lang w:val="en-US" w:eastAsia="en-US"/>
        </w:rPr>
        <w:t xml:space="preserve"> </w:t>
      </w:r>
      <w:r w:rsidR="00F465AA" w:rsidRPr="0038045B">
        <w:rPr>
          <w:lang w:val="en-US" w:eastAsia="en-US"/>
        </w:rPr>
        <w:t xml:space="preserve">This means that in Albania there are approximately 700,000 </w:t>
      </w:r>
      <w:r w:rsidR="00F465AA" w:rsidRPr="0038045B">
        <w:rPr>
          <w:i/>
          <w:lang w:val="en-US" w:eastAsia="en-US"/>
        </w:rPr>
        <w:t>different</w:t>
      </w:r>
      <w:r w:rsidR="00F465AA" w:rsidRPr="0038045B">
        <w:rPr>
          <w:lang w:val="en-US" w:eastAsia="en-US"/>
        </w:rPr>
        <w:t xml:space="preserve"> individuals that have an account with a bank.</w:t>
      </w:r>
      <w:r w:rsidR="00F465AA" w:rsidRPr="0038045B">
        <w:rPr>
          <w:rStyle w:val="FootnoteReference"/>
          <w:lang w:val="en-US" w:eastAsia="en-US"/>
        </w:rPr>
        <w:footnoteReference w:id="60"/>
      </w:r>
    </w:p>
    <w:p w14:paraId="3625B267" w14:textId="77777777" w:rsidR="00F565A2" w:rsidRPr="0038045B" w:rsidRDefault="00F979C9" w:rsidP="0069217B">
      <w:pPr>
        <w:pStyle w:val="Body"/>
        <w:numPr>
          <w:ilvl w:val="0"/>
          <w:numId w:val="15"/>
        </w:numPr>
        <w:spacing w:before="120" w:after="200" w:line="276" w:lineRule="auto"/>
        <w:ind w:left="0" w:firstLine="0"/>
        <w:rPr>
          <w:lang w:val="en-US" w:eastAsia="en-US"/>
        </w:rPr>
      </w:pPr>
      <w:r w:rsidRPr="0038045B">
        <w:rPr>
          <w:lang w:val="en-US" w:eastAsia="en-US"/>
        </w:rPr>
        <w:t>Vodafone M-Pesa and EasyPay</w:t>
      </w:r>
      <w:r w:rsidR="00F565A2" w:rsidRPr="0038045B">
        <w:rPr>
          <w:lang w:val="en-US" w:eastAsia="en-US"/>
        </w:rPr>
        <w:t xml:space="preserve"> </w:t>
      </w:r>
      <w:r w:rsidR="00725CD5" w:rsidRPr="0038045B">
        <w:rPr>
          <w:lang w:val="en-US" w:eastAsia="en-US"/>
        </w:rPr>
        <w:t xml:space="preserve">started offering </w:t>
      </w:r>
      <w:r w:rsidR="00F565A2" w:rsidRPr="0038045B">
        <w:rPr>
          <w:lang w:val="en-US" w:eastAsia="en-US"/>
        </w:rPr>
        <w:t>e-money accounts</w:t>
      </w:r>
      <w:r w:rsidR="00725CD5" w:rsidRPr="0038045B">
        <w:rPr>
          <w:lang w:val="en-US" w:eastAsia="en-US"/>
        </w:rPr>
        <w:t xml:space="preserve"> relatively recently</w:t>
      </w:r>
      <w:r w:rsidR="00F565A2" w:rsidRPr="0038045B">
        <w:rPr>
          <w:lang w:val="en-US" w:eastAsia="en-US"/>
        </w:rPr>
        <w:t xml:space="preserve">. </w:t>
      </w:r>
      <w:r w:rsidR="00725CD5" w:rsidRPr="0038045B">
        <w:rPr>
          <w:lang w:val="en-US" w:eastAsia="en-US"/>
        </w:rPr>
        <w:t xml:space="preserve">During the interviews held with the World Bank team, </w:t>
      </w:r>
      <w:r w:rsidRPr="0038045B">
        <w:rPr>
          <w:lang w:val="en-US" w:eastAsia="en-US"/>
        </w:rPr>
        <w:t xml:space="preserve">Vodafone M-Pesa </w:t>
      </w:r>
      <w:r w:rsidR="00725CD5" w:rsidRPr="0038045B">
        <w:rPr>
          <w:lang w:val="en-US" w:eastAsia="en-US"/>
        </w:rPr>
        <w:t xml:space="preserve">informed </w:t>
      </w:r>
      <w:r w:rsidRPr="0038045B">
        <w:rPr>
          <w:lang w:val="en-US" w:eastAsia="en-US"/>
        </w:rPr>
        <w:t xml:space="preserve">that it has </w:t>
      </w:r>
      <w:r w:rsidR="0004533F" w:rsidRPr="0038045B">
        <w:rPr>
          <w:lang w:val="en-US" w:eastAsia="en-US"/>
        </w:rPr>
        <w:t xml:space="preserve">nearly </w:t>
      </w:r>
      <w:r w:rsidRPr="0038045B">
        <w:rPr>
          <w:lang w:val="en-US" w:eastAsia="en-US"/>
        </w:rPr>
        <w:t xml:space="preserve">50,000 active </w:t>
      </w:r>
      <w:r w:rsidR="0004533F" w:rsidRPr="0038045B">
        <w:rPr>
          <w:lang w:val="en-US" w:eastAsia="en-US"/>
        </w:rPr>
        <w:t xml:space="preserve">accounts </w:t>
      </w:r>
      <w:r w:rsidRPr="0038045B">
        <w:rPr>
          <w:lang w:val="en-US" w:eastAsia="en-US"/>
        </w:rPr>
        <w:t>(defined as having at least one transaction per quarter). EasyPay indicated that</w:t>
      </w:r>
      <w:r w:rsidR="00725CD5" w:rsidRPr="0038045B">
        <w:rPr>
          <w:lang w:val="en-US" w:eastAsia="en-US"/>
        </w:rPr>
        <w:t xml:space="preserve"> it has issued 9,000 accounts, the vast majority of which a</w:t>
      </w:r>
      <w:r w:rsidRPr="0038045B">
        <w:rPr>
          <w:lang w:val="en-US" w:eastAsia="en-US"/>
        </w:rPr>
        <w:t xml:space="preserve">re active. </w:t>
      </w:r>
    </w:p>
    <w:p w14:paraId="5F39F953" w14:textId="77777777" w:rsidR="00CD2503" w:rsidRPr="0038045B" w:rsidRDefault="00487989" w:rsidP="00653FA4">
      <w:pPr>
        <w:pStyle w:val="Heading3"/>
        <w:spacing w:before="480" w:after="240"/>
        <w:rPr>
          <w:b w:val="0"/>
          <w:i/>
        </w:rPr>
      </w:pPr>
      <w:bookmarkStart w:id="82" w:name="_Toc476239723"/>
      <w:r w:rsidRPr="0038045B">
        <w:rPr>
          <w:b w:val="0"/>
          <w:i/>
        </w:rPr>
        <w:t xml:space="preserve">Types of </w:t>
      </w:r>
      <w:r w:rsidR="00731BBE" w:rsidRPr="0038045B">
        <w:rPr>
          <w:b w:val="0"/>
          <w:i/>
        </w:rPr>
        <w:t xml:space="preserve">bank </w:t>
      </w:r>
      <w:r w:rsidRPr="0038045B">
        <w:rPr>
          <w:b w:val="0"/>
          <w:i/>
        </w:rPr>
        <w:t>accounts</w:t>
      </w:r>
      <w:r w:rsidR="00731BBE" w:rsidRPr="0038045B">
        <w:rPr>
          <w:b w:val="0"/>
          <w:i/>
        </w:rPr>
        <w:t xml:space="preserve"> and e-money accounts</w:t>
      </w:r>
      <w:bookmarkEnd w:id="82"/>
    </w:p>
    <w:p w14:paraId="4E1EDDA3" w14:textId="77777777" w:rsidR="00037D58" w:rsidRPr="0038045B" w:rsidRDefault="00487989" w:rsidP="00037D58">
      <w:pPr>
        <w:pStyle w:val="Body"/>
        <w:numPr>
          <w:ilvl w:val="0"/>
          <w:numId w:val="15"/>
        </w:numPr>
        <w:spacing w:after="200" w:line="276" w:lineRule="auto"/>
        <w:ind w:left="0" w:firstLine="0"/>
        <w:rPr>
          <w:lang w:val="en-US"/>
        </w:rPr>
      </w:pPr>
      <w:r w:rsidRPr="0038045B">
        <w:rPr>
          <w:lang w:val="en-US"/>
        </w:rPr>
        <w:t>The main types of bank current accounts are salary accounts and “regular” accounts</w:t>
      </w:r>
      <w:r w:rsidR="00D652FD" w:rsidRPr="0038045B">
        <w:rPr>
          <w:lang w:val="en-US"/>
        </w:rPr>
        <w:t xml:space="preserve">. </w:t>
      </w:r>
      <w:r w:rsidR="0036363E" w:rsidRPr="0038045B">
        <w:rPr>
          <w:lang w:val="en-US"/>
        </w:rPr>
        <w:t>A</w:t>
      </w:r>
      <w:r w:rsidR="00190E8A" w:rsidRPr="0038045B">
        <w:rPr>
          <w:lang w:val="en-US"/>
        </w:rPr>
        <w:t xml:space="preserve">ccounts </w:t>
      </w:r>
      <w:r w:rsidR="0036363E" w:rsidRPr="0038045B">
        <w:rPr>
          <w:lang w:val="en-US"/>
        </w:rPr>
        <w:t xml:space="preserve">that target </w:t>
      </w:r>
      <w:r w:rsidRPr="0038045B">
        <w:rPr>
          <w:lang w:val="en-US"/>
        </w:rPr>
        <w:t>student</w:t>
      </w:r>
      <w:r w:rsidR="00190E8A" w:rsidRPr="0038045B">
        <w:rPr>
          <w:lang w:val="en-US"/>
        </w:rPr>
        <w:t>s and pensioners</w:t>
      </w:r>
      <w:r w:rsidR="00D652FD" w:rsidRPr="0038045B">
        <w:rPr>
          <w:lang w:val="en-US"/>
        </w:rPr>
        <w:t xml:space="preserve"> exist but are much less common</w:t>
      </w:r>
      <w:r w:rsidRPr="0038045B">
        <w:rPr>
          <w:lang w:val="en-US"/>
        </w:rPr>
        <w:t>. All these accounts offer essentially the same services (see 4.1.</w:t>
      </w:r>
      <w:r w:rsidR="00731BBE" w:rsidRPr="0038045B">
        <w:rPr>
          <w:lang w:val="en-US"/>
        </w:rPr>
        <w:t>3</w:t>
      </w:r>
      <w:r w:rsidRPr="0038045B">
        <w:rPr>
          <w:lang w:val="en-US"/>
        </w:rPr>
        <w:t xml:space="preserve">), the </w:t>
      </w:r>
      <w:r w:rsidR="00731BBE" w:rsidRPr="0038045B">
        <w:rPr>
          <w:lang w:val="en-US"/>
        </w:rPr>
        <w:t xml:space="preserve">main </w:t>
      </w:r>
      <w:r w:rsidRPr="0038045B">
        <w:rPr>
          <w:lang w:val="en-US"/>
        </w:rPr>
        <w:t xml:space="preserve">difference between them being the </w:t>
      </w:r>
      <w:r w:rsidR="00731BBE" w:rsidRPr="0038045B">
        <w:rPr>
          <w:lang w:val="en-US"/>
        </w:rPr>
        <w:t xml:space="preserve">type and amount of the fees </w:t>
      </w:r>
      <w:r w:rsidRPr="0038045B">
        <w:rPr>
          <w:lang w:val="en-US"/>
        </w:rPr>
        <w:t xml:space="preserve">that the banks </w:t>
      </w:r>
      <w:r w:rsidR="00731BBE" w:rsidRPr="0038045B">
        <w:rPr>
          <w:lang w:val="en-US"/>
        </w:rPr>
        <w:t xml:space="preserve">charge </w:t>
      </w:r>
      <w:r w:rsidRPr="0038045B">
        <w:rPr>
          <w:lang w:val="en-US"/>
        </w:rPr>
        <w:t>to accountholders</w:t>
      </w:r>
      <w:r w:rsidR="00731BBE" w:rsidRPr="0038045B">
        <w:rPr>
          <w:lang w:val="en-US"/>
        </w:rPr>
        <w:t xml:space="preserve">. In general, for example, </w:t>
      </w:r>
      <w:r w:rsidR="006559CA" w:rsidRPr="0038045B">
        <w:rPr>
          <w:lang w:val="en-US"/>
        </w:rPr>
        <w:t xml:space="preserve">for </w:t>
      </w:r>
      <w:r w:rsidRPr="0038045B">
        <w:rPr>
          <w:lang w:val="en-US"/>
        </w:rPr>
        <w:t xml:space="preserve">salary accounts and student accounts </w:t>
      </w:r>
      <w:r w:rsidR="006559CA" w:rsidRPr="0038045B">
        <w:rPr>
          <w:lang w:val="en-US"/>
        </w:rPr>
        <w:t xml:space="preserve">the banks typically offer a package of services at a lower cost </w:t>
      </w:r>
      <w:r w:rsidRPr="0038045B">
        <w:rPr>
          <w:lang w:val="en-US"/>
        </w:rPr>
        <w:t>vis-à-vis “regular” current accounts</w:t>
      </w:r>
      <w:r w:rsidR="00731BBE" w:rsidRPr="0038045B">
        <w:rPr>
          <w:lang w:val="en-US"/>
        </w:rPr>
        <w:t xml:space="preserve"> (for additional details see 4.1.4).</w:t>
      </w:r>
    </w:p>
    <w:p w14:paraId="1129930E" w14:textId="77777777" w:rsidR="00CD2503" w:rsidRPr="0038045B" w:rsidRDefault="006E6653" w:rsidP="008F77E3">
      <w:pPr>
        <w:pStyle w:val="Body"/>
        <w:numPr>
          <w:ilvl w:val="0"/>
          <w:numId w:val="15"/>
        </w:numPr>
        <w:spacing w:after="200" w:line="276" w:lineRule="auto"/>
        <w:ind w:left="0" w:firstLine="0"/>
        <w:rPr>
          <w:lang w:val="en-US"/>
        </w:rPr>
      </w:pPr>
      <w:r w:rsidRPr="0038045B">
        <w:rPr>
          <w:lang w:val="en-US"/>
        </w:rPr>
        <w:t>B</w:t>
      </w:r>
      <w:r w:rsidR="006559CA" w:rsidRPr="0038045B">
        <w:rPr>
          <w:lang w:val="en-US"/>
        </w:rPr>
        <w:t xml:space="preserve">anks </w:t>
      </w:r>
      <w:r w:rsidR="009B1998" w:rsidRPr="0038045B">
        <w:rPr>
          <w:lang w:val="en-US"/>
        </w:rPr>
        <w:t xml:space="preserve">in Albania </w:t>
      </w:r>
      <w:r w:rsidR="006559CA" w:rsidRPr="0038045B">
        <w:rPr>
          <w:lang w:val="en-US"/>
        </w:rPr>
        <w:t xml:space="preserve">do not offer </w:t>
      </w:r>
      <w:r w:rsidR="009B1998" w:rsidRPr="0038045B">
        <w:rPr>
          <w:lang w:val="en-US"/>
        </w:rPr>
        <w:t>s</w:t>
      </w:r>
      <w:r w:rsidRPr="0038045B">
        <w:rPr>
          <w:lang w:val="en-US"/>
        </w:rPr>
        <w:t>pecial types of accounts</w:t>
      </w:r>
      <w:r w:rsidR="00731BBE" w:rsidRPr="0038045B">
        <w:rPr>
          <w:lang w:val="en-US"/>
        </w:rPr>
        <w:t xml:space="preserve"> such as </w:t>
      </w:r>
      <w:r w:rsidRPr="0038045B">
        <w:rPr>
          <w:lang w:val="en-US"/>
        </w:rPr>
        <w:t xml:space="preserve">“basic” or </w:t>
      </w:r>
      <w:r w:rsidR="00731BBE" w:rsidRPr="0038045B">
        <w:rPr>
          <w:lang w:val="en-US"/>
        </w:rPr>
        <w:t>“</w:t>
      </w:r>
      <w:r w:rsidRPr="0038045B">
        <w:rPr>
          <w:lang w:val="en-US"/>
        </w:rPr>
        <w:t>no-frills</w:t>
      </w:r>
      <w:r w:rsidR="00731BBE" w:rsidRPr="0038045B">
        <w:rPr>
          <w:lang w:val="en-US"/>
        </w:rPr>
        <w:t>”</w:t>
      </w:r>
      <w:r w:rsidRPr="0038045B">
        <w:rPr>
          <w:lang w:val="en-US"/>
        </w:rPr>
        <w:t xml:space="preserve"> current accounts to adults that currently </w:t>
      </w:r>
      <w:r w:rsidR="0004533F" w:rsidRPr="0038045B">
        <w:rPr>
          <w:lang w:val="en-US"/>
        </w:rPr>
        <w:t xml:space="preserve">do not have access to </w:t>
      </w:r>
      <w:r w:rsidRPr="0038045B">
        <w:rPr>
          <w:lang w:val="en-US"/>
        </w:rPr>
        <w:t>this service</w:t>
      </w:r>
      <w:r w:rsidR="006559CA" w:rsidRPr="0038045B">
        <w:rPr>
          <w:lang w:val="en-US"/>
        </w:rPr>
        <w:t>.</w:t>
      </w:r>
      <w:r w:rsidRPr="0038045B">
        <w:rPr>
          <w:rStyle w:val="FootnoteReference"/>
          <w:lang w:val="en-US"/>
        </w:rPr>
        <w:footnoteReference w:id="61"/>
      </w:r>
      <w:r w:rsidR="006559CA" w:rsidRPr="0038045B">
        <w:rPr>
          <w:lang w:val="en-US"/>
        </w:rPr>
        <w:t xml:space="preserve"> Nor is there a system of tiered accounts </w:t>
      </w:r>
      <w:r w:rsidR="008763A4" w:rsidRPr="0038045B">
        <w:rPr>
          <w:lang w:val="en-US"/>
        </w:rPr>
        <w:t xml:space="preserve">in the banking system </w:t>
      </w:r>
      <w:r w:rsidR="006559CA" w:rsidRPr="0038045B">
        <w:rPr>
          <w:lang w:val="en-US"/>
        </w:rPr>
        <w:t xml:space="preserve">by which </w:t>
      </w:r>
      <w:r w:rsidR="008763A4" w:rsidRPr="0038045B">
        <w:rPr>
          <w:lang w:val="en-US"/>
        </w:rPr>
        <w:t>some accounts – typically of a very basic nature</w:t>
      </w:r>
      <w:r w:rsidR="00190E8A" w:rsidRPr="0038045B">
        <w:rPr>
          <w:lang w:val="en-US"/>
        </w:rPr>
        <w:t xml:space="preserve">, e.g. </w:t>
      </w:r>
      <w:r w:rsidR="00731BBE" w:rsidRPr="0038045B">
        <w:rPr>
          <w:lang w:val="en-US"/>
        </w:rPr>
        <w:t xml:space="preserve">characterized by </w:t>
      </w:r>
      <w:r w:rsidR="00190E8A" w:rsidRPr="0038045B">
        <w:rPr>
          <w:lang w:val="en-US"/>
        </w:rPr>
        <w:t>a restricted number/value of transactions</w:t>
      </w:r>
      <w:r w:rsidR="008763A4" w:rsidRPr="0038045B">
        <w:rPr>
          <w:lang w:val="en-US"/>
        </w:rPr>
        <w:t xml:space="preserve"> </w:t>
      </w:r>
      <w:r w:rsidR="008F77E3" w:rsidRPr="0038045B">
        <w:rPr>
          <w:lang w:val="en-US"/>
        </w:rPr>
        <w:t>–</w:t>
      </w:r>
      <w:r w:rsidR="008763A4" w:rsidRPr="0038045B">
        <w:rPr>
          <w:lang w:val="en-US"/>
        </w:rPr>
        <w:t xml:space="preserve"> may be opened with simplified requirements. P</w:t>
      </w:r>
      <w:r w:rsidR="006559CA" w:rsidRPr="0038045B">
        <w:rPr>
          <w:lang w:val="en-US"/>
        </w:rPr>
        <w:t xml:space="preserve">hysical presence of the </w:t>
      </w:r>
      <w:r w:rsidR="008763A4" w:rsidRPr="0038045B">
        <w:rPr>
          <w:lang w:val="en-US"/>
        </w:rPr>
        <w:t xml:space="preserve">prospective </w:t>
      </w:r>
      <w:r w:rsidR="006559CA" w:rsidRPr="0038045B">
        <w:rPr>
          <w:lang w:val="en-US"/>
        </w:rPr>
        <w:t>accounthold</w:t>
      </w:r>
      <w:r w:rsidR="008763A4" w:rsidRPr="0038045B">
        <w:rPr>
          <w:lang w:val="en-US"/>
        </w:rPr>
        <w:t>e</w:t>
      </w:r>
      <w:r w:rsidR="006559CA" w:rsidRPr="0038045B">
        <w:rPr>
          <w:lang w:val="en-US"/>
        </w:rPr>
        <w:t xml:space="preserve">r </w:t>
      </w:r>
      <w:r w:rsidR="008763A4" w:rsidRPr="0038045B">
        <w:rPr>
          <w:lang w:val="en-US"/>
        </w:rPr>
        <w:t xml:space="preserve">at the bank branch </w:t>
      </w:r>
      <w:r w:rsidR="006559CA" w:rsidRPr="0038045B">
        <w:rPr>
          <w:lang w:val="en-US"/>
        </w:rPr>
        <w:t xml:space="preserve">is </w:t>
      </w:r>
      <w:r w:rsidR="008763A4" w:rsidRPr="0038045B">
        <w:rPr>
          <w:lang w:val="en-US"/>
        </w:rPr>
        <w:t xml:space="preserve">always </w:t>
      </w:r>
      <w:r w:rsidR="006559CA" w:rsidRPr="0038045B">
        <w:rPr>
          <w:lang w:val="en-US"/>
        </w:rPr>
        <w:t>required</w:t>
      </w:r>
      <w:r w:rsidR="008763A4" w:rsidRPr="0038045B">
        <w:rPr>
          <w:lang w:val="en-US"/>
        </w:rPr>
        <w:t xml:space="preserve"> </w:t>
      </w:r>
      <w:r w:rsidR="00D371F2" w:rsidRPr="0038045B">
        <w:rPr>
          <w:lang w:val="en-US"/>
        </w:rPr>
        <w:t xml:space="preserve">for </w:t>
      </w:r>
      <w:r w:rsidR="008763A4" w:rsidRPr="0038045B">
        <w:rPr>
          <w:lang w:val="en-US"/>
        </w:rPr>
        <w:t>opening a</w:t>
      </w:r>
      <w:r w:rsidR="00D371F2" w:rsidRPr="0038045B">
        <w:rPr>
          <w:lang w:val="en-US"/>
        </w:rPr>
        <w:t xml:space="preserve">n </w:t>
      </w:r>
      <w:r w:rsidR="008763A4" w:rsidRPr="0038045B">
        <w:rPr>
          <w:lang w:val="en-US"/>
        </w:rPr>
        <w:t>account</w:t>
      </w:r>
      <w:r w:rsidR="0004533F" w:rsidRPr="0038045B">
        <w:rPr>
          <w:lang w:val="en-US"/>
        </w:rPr>
        <w:t>,</w:t>
      </w:r>
      <w:r w:rsidR="00D371F2" w:rsidRPr="0038045B">
        <w:rPr>
          <w:rStyle w:val="FootnoteReference"/>
          <w:lang w:val="en-US"/>
        </w:rPr>
        <w:footnoteReference w:id="62"/>
      </w:r>
      <w:r w:rsidR="0004533F" w:rsidRPr="0038045B">
        <w:rPr>
          <w:lang w:val="en-US"/>
        </w:rPr>
        <w:t xml:space="preserve"> presenting </w:t>
      </w:r>
      <w:r w:rsidR="00D371F2" w:rsidRPr="0038045B">
        <w:rPr>
          <w:lang w:val="en-US"/>
        </w:rPr>
        <w:t xml:space="preserve">the national </w:t>
      </w:r>
      <w:r w:rsidR="0004533F" w:rsidRPr="0038045B">
        <w:rPr>
          <w:lang w:val="en-US"/>
        </w:rPr>
        <w:t>ID</w:t>
      </w:r>
      <w:r w:rsidR="00DC432F" w:rsidRPr="0038045B">
        <w:rPr>
          <w:lang w:val="en-US"/>
        </w:rPr>
        <w:t xml:space="preserve"> card</w:t>
      </w:r>
      <w:r w:rsidR="008763A4" w:rsidRPr="0038045B">
        <w:rPr>
          <w:lang w:val="en-US"/>
        </w:rPr>
        <w:t>.</w:t>
      </w:r>
    </w:p>
    <w:p w14:paraId="02FB3597" w14:textId="77777777" w:rsidR="008763A4" w:rsidRPr="0038045B" w:rsidRDefault="00D00132" w:rsidP="00C80F30">
      <w:pPr>
        <w:pStyle w:val="Body"/>
        <w:numPr>
          <w:ilvl w:val="0"/>
          <w:numId w:val="15"/>
        </w:numPr>
        <w:spacing w:after="200" w:line="276" w:lineRule="auto"/>
        <w:ind w:left="0" w:firstLine="0"/>
        <w:rPr>
          <w:lang w:val="en-US"/>
        </w:rPr>
      </w:pPr>
      <w:r w:rsidRPr="0038045B">
        <w:rPr>
          <w:lang w:val="en-US"/>
        </w:rPr>
        <w:t xml:space="preserve">In the case of e-money accounts, these may be opened by </w:t>
      </w:r>
      <w:r w:rsidR="00731BBE" w:rsidRPr="0038045B">
        <w:rPr>
          <w:lang w:val="en-US"/>
        </w:rPr>
        <w:t xml:space="preserve">the </w:t>
      </w:r>
      <w:r w:rsidRPr="0038045B">
        <w:rPr>
          <w:lang w:val="en-US"/>
        </w:rPr>
        <w:t xml:space="preserve">agents of the e-money </w:t>
      </w:r>
      <w:r w:rsidRPr="0038045B">
        <w:rPr>
          <w:lang w:val="en-US"/>
        </w:rPr>
        <w:lastRenderedPageBreak/>
        <w:t>issuers. W</w:t>
      </w:r>
      <w:r w:rsidR="008763A4" w:rsidRPr="0038045B">
        <w:rPr>
          <w:lang w:val="en-US"/>
        </w:rPr>
        <w:t xml:space="preserve">hile </w:t>
      </w:r>
      <w:r w:rsidRPr="0038045B">
        <w:rPr>
          <w:lang w:val="en-US"/>
        </w:rPr>
        <w:t xml:space="preserve">at present </w:t>
      </w:r>
      <w:r w:rsidR="008763A4" w:rsidRPr="0038045B">
        <w:rPr>
          <w:lang w:val="en-US"/>
        </w:rPr>
        <w:t xml:space="preserve">no </w:t>
      </w:r>
      <w:r w:rsidR="0036363E" w:rsidRPr="0038045B">
        <w:rPr>
          <w:lang w:val="en-US"/>
        </w:rPr>
        <w:t xml:space="preserve">differentiation </w:t>
      </w:r>
      <w:r w:rsidRPr="0038045B">
        <w:rPr>
          <w:lang w:val="en-US"/>
        </w:rPr>
        <w:t xml:space="preserve">of e-money accounts </w:t>
      </w:r>
      <w:r w:rsidR="008763A4" w:rsidRPr="0038045B">
        <w:rPr>
          <w:lang w:val="en-US"/>
        </w:rPr>
        <w:t xml:space="preserve">is mandated by regulation, at least one of the providers has </w:t>
      </w:r>
      <w:r w:rsidRPr="0038045B">
        <w:rPr>
          <w:lang w:val="en-US"/>
        </w:rPr>
        <w:t xml:space="preserve">in place a tiered system whereby first-time accountholders can only have access to so-called “Level 1” accounts, which offer a more limited range of services, including lower transactional amounts (i.e. ALL 1,000 per month sending or receiving). Customers that perform satisfactorily may graduate to Level 2 accounts after the first month. </w:t>
      </w:r>
      <w:r w:rsidR="00731BBE" w:rsidRPr="0038045B">
        <w:rPr>
          <w:lang w:val="en-US"/>
        </w:rPr>
        <w:t>Level 2 accounts allow accountholders to mobilize up to ALL 350,000 (EUR 2,500) in a year.</w:t>
      </w:r>
    </w:p>
    <w:p w14:paraId="7A43897D" w14:textId="77777777" w:rsidR="00CD2503" w:rsidRPr="0038045B" w:rsidRDefault="00D00132" w:rsidP="00CD2503">
      <w:pPr>
        <w:pStyle w:val="Heading3"/>
        <w:spacing w:before="480" w:after="240"/>
        <w:rPr>
          <w:b w:val="0"/>
          <w:i/>
        </w:rPr>
      </w:pPr>
      <w:bookmarkStart w:id="83" w:name="_Toc476239724"/>
      <w:r w:rsidRPr="0038045B">
        <w:rPr>
          <w:b w:val="0"/>
          <w:i/>
        </w:rPr>
        <w:t>Service offer (including payment instruments)</w:t>
      </w:r>
      <w:bookmarkEnd w:id="83"/>
    </w:p>
    <w:p w14:paraId="0BFE83FD" w14:textId="77777777" w:rsidR="00F979C9" w:rsidRPr="0038045B" w:rsidRDefault="001C5E71" w:rsidP="0069217B">
      <w:pPr>
        <w:pStyle w:val="Body"/>
        <w:numPr>
          <w:ilvl w:val="0"/>
          <w:numId w:val="15"/>
        </w:numPr>
        <w:spacing w:after="200" w:line="276" w:lineRule="auto"/>
        <w:ind w:left="0" w:firstLine="0"/>
        <w:rPr>
          <w:lang w:val="en-US"/>
        </w:rPr>
      </w:pPr>
      <w:r w:rsidRPr="0038045B">
        <w:rPr>
          <w:lang w:val="en-US"/>
        </w:rPr>
        <w:t>Most current accounts with banks are offered with a debit card. A</w:t>
      </w:r>
      <w:r w:rsidR="00F979C9" w:rsidRPr="0038045B">
        <w:rPr>
          <w:lang w:val="en-US" w:eastAsia="en-US"/>
        </w:rPr>
        <w:t xml:space="preserve">ccording to </w:t>
      </w:r>
      <w:r w:rsidRPr="0038045B">
        <w:rPr>
          <w:lang w:val="en-US" w:eastAsia="en-US"/>
        </w:rPr>
        <w:t xml:space="preserve">the data discussed in Section 2.3 of this report, approximately 22-24% of </w:t>
      </w:r>
      <w:r w:rsidR="00F979C9" w:rsidRPr="0038045B">
        <w:rPr>
          <w:lang w:val="en-US" w:eastAsia="en-US"/>
        </w:rPr>
        <w:t>adults in Albania have a debit card</w:t>
      </w:r>
      <w:r w:rsidRPr="0038045B">
        <w:rPr>
          <w:lang w:val="en-US" w:eastAsia="en-US"/>
        </w:rPr>
        <w:t xml:space="preserve">. Table 4 shows statistic on the number of payment cards in the Albanian market, including for credit cards. </w:t>
      </w:r>
      <w:r w:rsidR="00735DD6" w:rsidRPr="0038045B">
        <w:rPr>
          <w:lang w:val="en-US" w:eastAsia="en-US"/>
        </w:rPr>
        <w:t xml:space="preserve">At present, debit and credit cards are issued under either the Visa or MasterCard brands. </w:t>
      </w:r>
      <w:r w:rsidR="00B6603A" w:rsidRPr="0038045B">
        <w:rPr>
          <w:lang w:val="en-US" w:eastAsia="en-US"/>
        </w:rPr>
        <w:t xml:space="preserve">These </w:t>
      </w:r>
      <w:r w:rsidR="0069217B" w:rsidRPr="0038045B">
        <w:rPr>
          <w:lang w:val="en-US" w:eastAsia="en-US"/>
        </w:rPr>
        <w:t xml:space="preserve">cards may be used for </w:t>
      </w:r>
      <w:r w:rsidR="00B6603A" w:rsidRPr="0038045B">
        <w:rPr>
          <w:lang w:val="en-US" w:eastAsia="en-US"/>
        </w:rPr>
        <w:t xml:space="preserve">both on-us and </w:t>
      </w:r>
      <w:r w:rsidR="0069217B" w:rsidRPr="0038045B">
        <w:rPr>
          <w:lang w:val="en-US" w:eastAsia="en-US"/>
        </w:rPr>
        <w:t xml:space="preserve">off-us cash withdrawals </w:t>
      </w:r>
      <w:r w:rsidR="00D371F2" w:rsidRPr="0038045B">
        <w:rPr>
          <w:lang w:val="en-US" w:eastAsia="en-US"/>
        </w:rPr>
        <w:t xml:space="preserve">at ATMs </w:t>
      </w:r>
      <w:r w:rsidR="0069217B" w:rsidRPr="0038045B">
        <w:rPr>
          <w:lang w:val="en-US" w:eastAsia="en-US"/>
        </w:rPr>
        <w:t xml:space="preserve">and </w:t>
      </w:r>
      <w:r w:rsidR="00D371F2" w:rsidRPr="0038045B">
        <w:rPr>
          <w:lang w:val="en-US" w:eastAsia="en-US"/>
        </w:rPr>
        <w:t xml:space="preserve">for </w:t>
      </w:r>
      <w:r w:rsidR="0069217B" w:rsidRPr="0038045B">
        <w:rPr>
          <w:lang w:val="en-US" w:eastAsia="en-US"/>
        </w:rPr>
        <w:t xml:space="preserve">payments at POS terminals, although </w:t>
      </w:r>
      <w:r w:rsidR="008F77E3" w:rsidRPr="0038045B">
        <w:rPr>
          <w:lang w:val="en-US" w:eastAsia="en-US"/>
        </w:rPr>
        <w:t>interoperability of ATMs and POS</w:t>
      </w:r>
      <w:r w:rsidR="0069217B" w:rsidRPr="0038045B">
        <w:rPr>
          <w:lang w:val="en-US" w:eastAsia="en-US"/>
        </w:rPr>
        <w:t xml:space="preserve"> terminals is still limited.</w:t>
      </w:r>
      <w:r w:rsidR="00E43E1A" w:rsidRPr="0038045B">
        <w:rPr>
          <w:lang w:val="en-US" w:eastAsia="en-US"/>
        </w:rPr>
        <w:t xml:space="preserve"> A few banks are starting to issue prepaid cards, e.g. for e-commerce.</w:t>
      </w:r>
    </w:p>
    <w:p w14:paraId="3E1A49F7" w14:textId="77777777" w:rsidR="0092232C" w:rsidRPr="0038045B" w:rsidRDefault="0092232C" w:rsidP="0092232C">
      <w:pPr>
        <w:pStyle w:val="Body"/>
        <w:spacing w:before="120" w:after="240" w:line="276" w:lineRule="auto"/>
        <w:ind w:firstLine="0"/>
        <w:jc w:val="center"/>
        <w:rPr>
          <w:b/>
          <w:lang w:val="en-US"/>
        </w:rPr>
      </w:pPr>
      <w:r w:rsidRPr="0038045B">
        <w:rPr>
          <w:b/>
          <w:lang w:val="en-US"/>
        </w:rPr>
        <w:t xml:space="preserve">Table </w:t>
      </w:r>
      <w:r w:rsidR="001C5E71" w:rsidRPr="0038045B">
        <w:rPr>
          <w:b/>
          <w:lang w:val="en-US"/>
        </w:rPr>
        <w:t>4</w:t>
      </w:r>
      <w:r w:rsidRPr="0038045B">
        <w:rPr>
          <w:b/>
          <w:lang w:val="en-US"/>
        </w:rPr>
        <w:t xml:space="preserve">: Statistics on </w:t>
      </w:r>
      <w:r w:rsidR="00C84A4C" w:rsidRPr="0038045B">
        <w:rPr>
          <w:b/>
          <w:lang w:val="en-US"/>
        </w:rPr>
        <w:t>payment cards in Albania (</w:t>
      </w:r>
      <w:r w:rsidRPr="0038045B">
        <w:rPr>
          <w:b/>
          <w:lang w:val="en-US"/>
        </w:rPr>
        <w:t>2016)</w:t>
      </w:r>
    </w:p>
    <w:tbl>
      <w:tblPr>
        <w:tblStyle w:val="TableGrid"/>
        <w:tblW w:w="5958" w:type="dxa"/>
        <w:jc w:val="center"/>
        <w:tblLook w:val="04A0" w:firstRow="1" w:lastRow="0" w:firstColumn="1" w:lastColumn="0" w:noHBand="0" w:noVBand="1"/>
      </w:tblPr>
      <w:tblGrid>
        <w:gridCol w:w="4788"/>
        <w:gridCol w:w="1170"/>
      </w:tblGrid>
      <w:tr w:rsidR="0092232C" w:rsidRPr="0038045B" w14:paraId="0D10D3EF" w14:textId="77777777" w:rsidTr="0069217B">
        <w:trPr>
          <w:trHeight w:val="300"/>
          <w:jc w:val="center"/>
        </w:trPr>
        <w:tc>
          <w:tcPr>
            <w:tcW w:w="4788" w:type="dxa"/>
            <w:tcBorders>
              <w:top w:val="single" w:sz="4" w:space="0" w:color="auto"/>
              <w:left w:val="single" w:sz="4" w:space="0" w:color="auto"/>
            </w:tcBorders>
            <w:shd w:val="clear" w:color="auto" w:fill="DBE5F1" w:themeFill="accent1" w:themeFillTint="33"/>
            <w:noWrap/>
          </w:tcPr>
          <w:p w14:paraId="11946665" w14:textId="77777777" w:rsidR="0092232C" w:rsidRPr="0038045B" w:rsidRDefault="0092232C" w:rsidP="0069217B">
            <w:pPr>
              <w:spacing w:after="120"/>
              <w:rPr>
                <w:b/>
              </w:rPr>
            </w:pPr>
            <w:r w:rsidRPr="0038045B">
              <w:rPr>
                <w:b/>
              </w:rPr>
              <w:t>Payment cards/terminals</w:t>
            </w:r>
          </w:p>
        </w:tc>
        <w:tc>
          <w:tcPr>
            <w:tcW w:w="1170" w:type="dxa"/>
            <w:tcBorders>
              <w:top w:val="single" w:sz="4" w:space="0" w:color="auto"/>
              <w:right w:val="single" w:sz="4" w:space="0" w:color="auto"/>
            </w:tcBorders>
            <w:shd w:val="clear" w:color="auto" w:fill="DBE5F1" w:themeFill="accent1" w:themeFillTint="33"/>
          </w:tcPr>
          <w:p w14:paraId="0528E61F" w14:textId="77777777" w:rsidR="0092232C" w:rsidRPr="0038045B" w:rsidRDefault="0092232C" w:rsidP="0069217B">
            <w:pPr>
              <w:spacing w:after="120"/>
              <w:rPr>
                <w:b/>
              </w:rPr>
            </w:pPr>
            <w:r w:rsidRPr="0038045B">
              <w:rPr>
                <w:b/>
              </w:rPr>
              <w:t>Number</w:t>
            </w:r>
          </w:p>
        </w:tc>
      </w:tr>
      <w:tr w:rsidR="0092232C" w:rsidRPr="0038045B" w14:paraId="19B9C266" w14:textId="77777777" w:rsidTr="0069217B">
        <w:trPr>
          <w:trHeight w:val="300"/>
          <w:jc w:val="center"/>
        </w:trPr>
        <w:tc>
          <w:tcPr>
            <w:tcW w:w="4788" w:type="dxa"/>
            <w:tcBorders>
              <w:left w:val="single" w:sz="4" w:space="0" w:color="auto"/>
            </w:tcBorders>
            <w:noWrap/>
          </w:tcPr>
          <w:p w14:paraId="599F32CB" w14:textId="77777777" w:rsidR="0092232C" w:rsidRPr="0038045B" w:rsidRDefault="0092232C" w:rsidP="0069217B">
            <w:r w:rsidRPr="0038045B">
              <w:t xml:space="preserve">Cards with cash function </w:t>
            </w:r>
          </w:p>
        </w:tc>
        <w:tc>
          <w:tcPr>
            <w:tcW w:w="1170" w:type="dxa"/>
            <w:tcBorders>
              <w:right w:val="single" w:sz="4" w:space="0" w:color="auto"/>
            </w:tcBorders>
          </w:tcPr>
          <w:p w14:paraId="4B6C6DB6" w14:textId="77777777" w:rsidR="0092232C" w:rsidRPr="0038045B" w:rsidRDefault="0092232C" w:rsidP="0069179A">
            <w:r w:rsidRPr="0038045B">
              <w:t>99</w:t>
            </w:r>
            <w:r w:rsidR="0069179A" w:rsidRPr="0038045B">
              <w:t>9</w:t>
            </w:r>
            <w:r w:rsidRPr="0038045B">
              <w:t>,</w:t>
            </w:r>
            <w:r w:rsidR="0069179A" w:rsidRPr="0038045B">
              <w:t>313</w:t>
            </w:r>
            <w:r w:rsidRPr="0038045B">
              <w:t xml:space="preserve"> </w:t>
            </w:r>
          </w:p>
        </w:tc>
      </w:tr>
      <w:tr w:rsidR="0092232C" w:rsidRPr="0038045B" w14:paraId="7CCBB9EE" w14:textId="77777777" w:rsidTr="0069217B">
        <w:trPr>
          <w:trHeight w:val="300"/>
          <w:jc w:val="center"/>
        </w:trPr>
        <w:tc>
          <w:tcPr>
            <w:tcW w:w="4788" w:type="dxa"/>
            <w:tcBorders>
              <w:left w:val="single" w:sz="4" w:space="0" w:color="auto"/>
              <w:bottom w:val="single" w:sz="4" w:space="0" w:color="auto"/>
            </w:tcBorders>
            <w:noWrap/>
            <w:hideMark/>
          </w:tcPr>
          <w:p w14:paraId="06639062" w14:textId="77777777" w:rsidR="0092232C" w:rsidRPr="0038045B" w:rsidRDefault="0092232C" w:rsidP="0069217B">
            <w:r w:rsidRPr="0038045B">
              <w:t xml:space="preserve">Cards with payment function </w:t>
            </w:r>
          </w:p>
        </w:tc>
        <w:tc>
          <w:tcPr>
            <w:tcW w:w="1170" w:type="dxa"/>
            <w:tcBorders>
              <w:bottom w:val="single" w:sz="4" w:space="0" w:color="auto"/>
              <w:right w:val="single" w:sz="4" w:space="0" w:color="auto"/>
            </w:tcBorders>
          </w:tcPr>
          <w:p w14:paraId="34A6C476" w14:textId="77777777" w:rsidR="0092232C" w:rsidRPr="0038045B" w:rsidRDefault="0092232C" w:rsidP="0069179A">
            <w:r w:rsidRPr="0038045B">
              <w:t>95</w:t>
            </w:r>
            <w:r w:rsidR="0069179A" w:rsidRPr="0038045B">
              <w:t>7</w:t>
            </w:r>
            <w:r w:rsidRPr="0038045B">
              <w:t>,</w:t>
            </w:r>
            <w:r w:rsidR="0069179A" w:rsidRPr="0038045B">
              <w:t>548</w:t>
            </w:r>
            <w:r w:rsidRPr="0038045B">
              <w:t xml:space="preserve"> </w:t>
            </w:r>
          </w:p>
        </w:tc>
      </w:tr>
      <w:tr w:rsidR="0092232C" w:rsidRPr="0038045B" w14:paraId="7CBF9B80" w14:textId="77777777" w:rsidTr="0069217B">
        <w:trPr>
          <w:trHeight w:val="285"/>
          <w:jc w:val="center"/>
        </w:trPr>
        <w:tc>
          <w:tcPr>
            <w:tcW w:w="4788" w:type="dxa"/>
            <w:tcBorders>
              <w:top w:val="single" w:sz="4" w:space="0" w:color="auto"/>
              <w:left w:val="single" w:sz="4" w:space="0" w:color="auto"/>
              <w:bottom w:val="nil"/>
              <w:right w:val="single" w:sz="4" w:space="0" w:color="auto"/>
            </w:tcBorders>
            <w:noWrap/>
            <w:hideMark/>
          </w:tcPr>
          <w:p w14:paraId="2EA8E236" w14:textId="77777777" w:rsidR="0092232C" w:rsidRPr="0038045B" w:rsidRDefault="0092232C" w:rsidP="0069217B">
            <w:pPr>
              <w:rPr>
                <w:i/>
                <w:iCs/>
              </w:rPr>
            </w:pPr>
            <w:r w:rsidRPr="0038045B">
              <w:rPr>
                <w:i/>
                <w:iCs/>
              </w:rPr>
              <w:t xml:space="preserve">of which: </w:t>
            </w:r>
          </w:p>
        </w:tc>
        <w:tc>
          <w:tcPr>
            <w:tcW w:w="1170" w:type="dxa"/>
            <w:tcBorders>
              <w:top w:val="single" w:sz="4" w:space="0" w:color="auto"/>
              <w:left w:val="single" w:sz="4" w:space="0" w:color="auto"/>
              <w:bottom w:val="nil"/>
              <w:right w:val="single" w:sz="4" w:space="0" w:color="auto"/>
            </w:tcBorders>
          </w:tcPr>
          <w:p w14:paraId="1FFB0A1C" w14:textId="77777777" w:rsidR="0092232C" w:rsidRPr="0038045B" w:rsidRDefault="0092232C" w:rsidP="0069217B"/>
        </w:tc>
      </w:tr>
      <w:tr w:rsidR="0092232C" w:rsidRPr="0038045B" w14:paraId="67B87772" w14:textId="77777777" w:rsidTr="0069217B">
        <w:trPr>
          <w:trHeight w:val="285"/>
          <w:jc w:val="center"/>
        </w:trPr>
        <w:tc>
          <w:tcPr>
            <w:tcW w:w="4788" w:type="dxa"/>
            <w:tcBorders>
              <w:top w:val="nil"/>
              <w:left w:val="single" w:sz="4" w:space="0" w:color="auto"/>
              <w:bottom w:val="nil"/>
              <w:right w:val="single" w:sz="4" w:space="0" w:color="auto"/>
            </w:tcBorders>
            <w:noWrap/>
            <w:hideMark/>
          </w:tcPr>
          <w:p w14:paraId="5DBD7AB4" w14:textId="77777777" w:rsidR="0092232C" w:rsidRPr="0038045B" w:rsidRDefault="0092232C" w:rsidP="0069217B">
            <w:r w:rsidRPr="0038045B">
              <w:t xml:space="preserve">Cards with debit function </w:t>
            </w:r>
          </w:p>
        </w:tc>
        <w:tc>
          <w:tcPr>
            <w:tcW w:w="1170" w:type="dxa"/>
            <w:tcBorders>
              <w:top w:val="nil"/>
              <w:left w:val="single" w:sz="4" w:space="0" w:color="auto"/>
              <w:bottom w:val="nil"/>
              <w:right w:val="single" w:sz="4" w:space="0" w:color="auto"/>
            </w:tcBorders>
          </w:tcPr>
          <w:p w14:paraId="4919394F" w14:textId="77777777" w:rsidR="0092232C" w:rsidRPr="0038045B" w:rsidRDefault="0092232C" w:rsidP="0069179A">
            <w:r w:rsidRPr="0038045B">
              <w:t>8</w:t>
            </w:r>
            <w:r w:rsidR="0069179A" w:rsidRPr="0038045B">
              <w:t>71,611</w:t>
            </w:r>
          </w:p>
        </w:tc>
      </w:tr>
      <w:tr w:rsidR="0092232C" w:rsidRPr="0038045B" w14:paraId="2917E7C2" w14:textId="77777777" w:rsidTr="0069217B">
        <w:trPr>
          <w:trHeight w:val="285"/>
          <w:jc w:val="center"/>
        </w:trPr>
        <w:tc>
          <w:tcPr>
            <w:tcW w:w="4788" w:type="dxa"/>
            <w:tcBorders>
              <w:top w:val="nil"/>
              <w:left w:val="single" w:sz="4" w:space="0" w:color="auto"/>
              <w:bottom w:val="single" w:sz="4" w:space="0" w:color="auto"/>
              <w:right w:val="single" w:sz="4" w:space="0" w:color="auto"/>
            </w:tcBorders>
            <w:noWrap/>
            <w:hideMark/>
          </w:tcPr>
          <w:p w14:paraId="2ACB31E6" w14:textId="77777777" w:rsidR="0092232C" w:rsidRPr="0038045B" w:rsidRDefault="0092232C" w:rsidP="0069217B">
            <w:r w:rsidRPr="0038045B">
              <w:t xml:space="preserve">Cards with credit function </w:t>
            </w:r>
          </w:p>
        </w:tc>
        <w:tc>
          <w:tcPr>
            <w:tcW w:w="1170" w:type="dxa"/>
            <w:tcBorders>
              <w:top w:val="nil"/>
              <w:left w:val="single" w:sz="4" w:space="0" w:color="auto"/>
              <w:bottom w:val="single" w:sz="4" w:space="0" w:color="auto"/>
              <w:right w:val="single" w:sz="4" w:space="0" w:color="auto"/>
            </w:tcBorders>
          </w:tcPr>
          <w:p w14:paraId="50460418" w14:textId="77777777" w:rsidR="0092232C" w:rsidRPr="0038045B" w:rsidRDefault="0036363E" w:rsidP="0069179A">
            <w:r w:rsidRPr="0038045B">
              <w:t xml:space="preserve">  </w:t>
            </w:r>
            <w:r w:rsidR="0092232C" w:rsidRPr="0038045B">
              <w:t>85,</w:t>
            </w:r>
            <w:r w:rsidR="0069179A" w:rsidRPr="0038045B">
              <w:t>937</w:t>
            </w:r>
            <w:r w:rsidR="0092232C" w:rsidRPr="0038045B">
              <w:t xml:space="preserve"> </w:t>
            </w:r>
          </w:p>
        </w:tc>
      </w:tr>
      <w:tr w:rsidR="0092232C" w:rsidRPr="0038045B" w14:paraId="406677A3" w14:textId="77777777" w:rsidTr="0069217B">
        <w:trPr>
          <w:trHeight w:val="285"/>
          <w:jc w:val="center"/>
        </w:trPr>
        <w:tc>
          <w:tcPr>
            <w:tcW w:w="4788" w:type="dxa"/>
            <w:tcBorders>
              <w:top w:val="single" w:sz="4" w:space="0" w:color="auto"/>
              <w:left w:val="single" w:sz="4" w:space="0" w:color="auto"/>
            </w:tcBorders>
            <w:noWrap/>
            <w:hideMark/>
          </w:tcPr>
          <w:p w14:paraId="1522CB8E" w14:textId="77777777" w:rsidR="0092232C" w:rsidRPr="0038045B" w:rsidRDefault="0092232C" w:rsidP="0069217B">
            <w:r w:rsidRPr="0038045B">
              <w:t xml:space="preserve">E money </w:t>
            </w:r>
            <w:r w:rsidR="0036363E" w:rsidRPr="0038045B">
              <w:t xml:space="preserve">(prepaid) </w:t>
            </w:r>
            <w:r w:rsidRPr="0038045B">
              <w:t xml:space="preserve">cards </w:t>
            </w:r>
          </w:p>
        </w:tc>
        <w:tc>
          <w:tcPr>
            <w:tcW w:w="1170" w:type="dxa"/>
            <w:tcBorders>
              <w:top w:val="single" w:sz="4" w:space="0" w:color="auto"/>
              <w:right w:val="single" w:sz="4" w:space="0" w:color="auto"/>
            </w:tcBorders>
          </w:tcPr>
          <w:p w14:paraId="72E7C466" w14:textId="77777777" w:rsidR="0092232C" w:rsidRPr="0038045B" w:rsidRDefault="0036363E" w:rsidP="0069179A">
            <w:r w:rsidRPr="0038045B">
              <w:t xml:space="preserve">  </w:t>
            </w:r>
            <w:r w:rsidR="0092232C" w:rsidRPr="0038045B">
              <w:t>4</w:t>
            </w:r>
            <w:r w:rsidR="0069179A" w:rsidRPr="0038045B">
              <w:t>1</w:t>
            </w:r>
            <w:r w:rsidR="0092232C" w:rsidRPr="0038045B">
              <w:t>,</w:t>
            </w:r>
            <w:r w:rsidR="0069179A" w:rsidRPr="0038045B">
              <w:t>765</w:t>
            </w:r>
            <w:r w:rsidR="0092232C" w:rsidRPr="0038045B">
              <w:t xml:space="preserve"> </w:t>
            </w:r>
          </w:p>
        </w:tc>
      </w:tr>
      <w:tr w:rsidR="0092232C" w:rsidRPr="0038045B" w14:paraId="0813BEAF" w14:textId="77777777" w:rsidTr="0069217B">
        <w:trPr>
          <w:trHeight w:val="300"/>
          <w:jc w:val="center"/>
        </w:trPr>
        <w:tc>
          <w:tcPr>
            <w:tcW w:w="4788" w:type="dxa"/>
            <w:tcBorders>
              <w:left w:val="single" w:sz="4" w:space="0" w:color="auto"/>
              <w:bottom w:val="single" w:sz="4" w:space="0" w:color="auto"/>
            </w:tcBorders>
            <w:noWrap/>
            <w:hideMark/>
          </w:tcPr>
          <w:p w14:paraId="36088859" w14:textId="77777777" w:rsidR="0092232C" w:rsidRPr="0038045B" w:rsidRDefault="0092232C" w:rsidP="0069217B">
            <w:pPr>
              <w:rPr>
                <w:b/>
                <w:bCs/>
              </w:rPr>
            </w:pPr>
            <w:r w:rsidRPr="0038045B">
              <w:rPr>
                <w:b/>
                <w:bCs/>
              </w:rPr>
              <w:t xml:space="preserve">Total number of cards </w:t>
            </w:r>
          </w:p>
        </w:tc>
        <w:tc>
          <w:tcPr>
            <w:tcW w:w="1170" w:type="dxa"/>
            <w:tcBorders>
              <w:bottom w:val="single" w:sz="4" w:space="0" w:color="auto"/>
              <w:right w:val="single" w:sz="4" w:space="0" w:color="auto"/>
            </w:tcBorders>
          </w:tcPr>
          <w:p w14:paraId="006399E6" w14:textId="77777777" w:rsidR="0092232C" w:rsidRPr="0038045B" w:rsidRDefault="0092232C" w:rsidP="0069179A">
            <w:pPr>
              <w:rPr>
                <w:b/>
                <w:bCs/>
              </w:rPr>
            </w:pPr>
            <w:r w:rsidRPr="0038045B">
              <w:rPr>
                <w:b/>
                <w:bCs/>
              </w:rPr>
              <w:t>99</w:t>
            </w:r>
            <w:r w:rsidR="0069179A" w:rsidRPr="0038045B">
              <w:rPr>
                <w:b/>
                <w:bCs/>
              </w:rPr>
              <w:t>9</w:t>
            </w:r>
            <w:r w:rsidRPr="0038045B">
              <w:rPr>
                <w:b/>
                <w:bCs/>
              </w:rPr>
              <w:t>,</w:t>
            </w:r>
            <w:r w:rsidR="0069179A" w:rsidRPr="0038045B">
              <w:rPr>
                <w:b/>
                <w:bCs/>
              </w:rPr>
              <w:t>313</w:t>
            </w:r>
          </w:p>
        </w:tc>
      </w:tr>
    </w:tbl>
    <w:p w14:paraId="788706E7" w14:textId="77777777" w:rsidR="00CD2503" w:rsidRPr="0038045B" w:rsidRDefault="0092232C" w:rsidP="0092232C">
      <w:pPr>
        <w:pStyle w:val="Body"/>
        <w:spacing w:after="200" w:line="276" w:lineRule="auto"/>
        <w:ind w:left="1350" w:firstLine="0"/>
        <w:rPr>
          <w:i/>
          <w:sz w:val="20"/>
          <w:lang w:val="en-US"/>
        </w:rPr>
      </w:pPr>
      <w:r w:rsidRPr="0038045B">
        <w:rPr>
          <w:i/>
          <w:sz w:val="20"/>
          <w:lang w:val="en-US"/>
        </w:rPr>
        <w:t>Source: Bank of Albania.</w:t>
      </w:r>
    </w:p>
    <w:p w14:paraId="6F20D77F" w14:textId="77777777" w:rsidR="00F65747" w:rsidRPr="0038045B" w:rsidRDefault="00190E8A" w:rsidP="00F65747">
      <w:pPr>
        <w:pStyle w:val="Body"/>
        <w:numPr>
          <w:ilvl w:val="0"/>
          <w:numId w:val="15"/>
        </w:numPr>
        <w:spacing w:after="200" w:line="276" w:lineRule="auto"/>
        <w:ind w:left="0" w:firstLine="0"/>
        <w:rPr>
          <w:lang w:val="en-US"/>
        </w:rPr>
      </w:pPr>
      <w:r w:rsidRPr="0038045B">
        <w:rPr>
          <w:lang w:val="en-US"/>
        </w:rPr>
        <w:t>Current accounts with banks may also be accessed directly at the bank</w:t>
      </w:r>
      <w:r w:rsidR="0069217B" w:rsidRPr="0038045B">
        <w:rPr>
          <w:lang w:val="en-US"/>
        </w:rPr>
        <w:t xml:space="preserve"> branch (b</w:t>
      </w:r>
      <w:r w:rsidR="00F65747" w:rsidRPr="0038045B">
        <w:rPr>
          <w:lang w:val="en-US"/>
        </w:rPr>
        <w:t>anks in Albania do not operate via non-bank agents or correspondents</w:t>
      </w:r>
      <w:r w:rsidR="0069217B" w:rsidRPr="0038045B">
        <w:rPr>
          <w:lang w:val="en-US"/>
        </w:rPr>
        <w:t xml:space="preserve">). </w:t>
      </w:r>
      <w:r w:rsidR="00B6603A" w:rsidRPr="0038045B">
        <w:rPr>
          <w:lang w:val="en-US"/>
        </w:rPr>
        <w:t xml:space="preserve">Additional options include </w:t>
      </w:r>
      <w:r w:rsidR="0069217B" w:rsidRPr="0038045B">
        <w:rPr>
          <w:lang w:val="en-US"/>
        </w:rPr>
        <w:t>online/Internet banking or</w:t>
      </w:r>
      <w:r w:rsidR="00D371F2" w:rsidRPr="0038045B">
        <w:rPr>
          <w:lang w:val="en-US"/>
        </w:rPr>
        <w:t xml:space="preserve">, </w:t>
      </w:r>
      <w:r w:rsidR="0069217B" w:rsidRPr="0038045B">
        <w:rPr>
          <w:lang w:val="en-US"/>
        </w:rPr>
        <w:t>in a few cases</w:t>
      </w:r>
      <w:r w:rsidR="00D371F2" w:rsidRPr="0038045B">
        <w:rPr>
          <w:lang w:val="en-US"/>
        </w:rPr>
        <w:t>,</w:t>
      </w:r>
      <w:r w:rsidR="0069217B" w:rsidRPr="0038045B">
        <w:rPr>
          <w:lang w:val="en-US"/>
        </w:rPr>
        <w:t xml:space="preserve"> mobile banking</w:t>
      </w:r>
      <w:r w:rsidR="0036363E" w:rsidRPr="0038045B">
        <w:rPr>
          <w:lang w:val="en-US"/>
        </w:rPr>
        <w:t>.</w:t>
      </w:r>
      <w:r w:rsidR="0069217B" w:rsidRPr="0038045B">
        <w:rPr>
          <w:lang w:val="en-US"/>
        </w:rPr>
        <w:t xml:space="preserve"> </w:t>
      </w:r>
      <w:r w:rsidRPr="0038045B">
        <w:rPr>
          <w:lang w:val="en-US"/>
        </w:rPr>
        <w:t xml:space="preserve">Cheques are only rarely used by individuals. </w:t>
      </w:r>
      <w:r w:rsidR="00F65747" w:rsidRPr="0038045B">
        <w:rPr>
          <w:lang w:val="en-US"/>
        </w:rPr>
        <w:t xml:space="preserve">Direct debits are available only at the intrabank level. </w:t>
      </w:r>
    </w:p>
    <w:p w14:paraId="59F82356" w14:textId="77777777" w:rsidR="00735DD6" w:rsidRPr="0038045B" w:rsidRDefault="00190E8A" w:rsidP="00C80F30">
      <w:pPr>
        <w:pStyle w:val="Body"/>
        <w:numPr>
          <w:ilvl w:val="0"/>
          <w:numId w:val="15"/>
        </w:numPr>
        <w:spacing w:after="200" w:line="276" w:lineRule="auto"/>
        <w:ind w:left="0" w:firstLine="0"/>
        <w:rPr>
          <w:lang w:val="en-US"/>
        </w:rPr>
      </w:pPr>
      <w:r w:rsidRPr="0038045B">
        <w:rPr>
          <w:lang w:val="en-US"/>
        </w:rPr>
        <w:t xml:space="preserve">Online banking services have been made available by most </w:t>
      </w:r>
      <w:r w:rsidR="00F65747" w:rsidRPr="0038045B">
        <w:rPr>
          <w:lang w:val="en-US"/>
        </w:rPr>
        <w:t xml:space="preserve">retail </w:t>
      </w:r>
      <w:r w:rsidRPr="0038045B">
        <w:rPr>
          <w:lang w:val="en-US"/>
        </w:rPr>
        <w:t>banks</w:t>
      </w:r>
      <w:r w:rsidR="00735DD6" w:rsidRPr="0038045B">
        <w:rPr>
          <w:lang w:val="en-US"/>
        </w:rPr>
        <w:t xml:space="preserve"> in Albania</w:t>
      </w:r>
      <w:r w:rsidRPr="0038045B">
        <w:rPr>
          <w:lang w:val="en-US"/>
        </w:rPr>
        <w:t xml:space="preserve">. However, penetration of this service is still low. According to BoA data, as of end-2015 </w:t>
      </w:r>
      <w:r w:rsidR="00735DD6" w:rsidRPr="0038045B">
        <w:rPr>
          <w:lang w:val="en-US"/>
        </w:rPr>
        <w:t>only about 130,000 of the total number of accounts held by individuals were accessible via online banking. Online banking services in Albania generally allow the accountholders to check account balances, initiate P2P transfers (intrabank and in some cases also interbank</w:t>
      </w:r>
      <w:r w:rsidR="00C16CF8" w:rsidRPr="0038045B">
        <w:rPr>
          <w:rStyle w:val="FootnoteReference"/>
          <w:lang w:val="en-US"/>
        </w:rPr>
        <w:footnoteReference w:id="63"/>
      </w:r>
      <w:r w:rsidR="00735DD6" w:rsidRPr="0038045B">
        <w:rPr>
          <w:lang w:val="en-US"/>
        </w:rPr>
        <w:t xml:space="preserve">), </w:t>
      </w:r>
      <w:r w:rsidR="00735DD6" w:rsidRPr="0038045B">
        <w:rPr>
          <w:lang w:val="en-US"/>
        </w:rPr>
        <w:lastRenderedPageBreak/>
        <w:t>payment of utilities and of several other services.</w:t>
      </w:r>
      <w:r w:rsidR="0069217B" w:rsidRPr="0038045B">
        <w:rPr>
          <w:lang w:val="en-US"/>
        </w:rPr>
        <w:t xml:space="preserve"> </w:t>
      </w:r>
      <w:r w:rsidR="00B6603A" w:rsidRPr="0038045B">
        <w:rPr>
          <w:lang w:val="en-US"/>
        </w:rPr>
        <w:t>In order to make a funds transfers, the payer needs to know the full account number of the beneficiary.</w:t>
      </w:r>
      <w:r w:rsidR="00B6603A" w:rsidRPr="0038045B">
        <w:rPr>
          <w:rStyle w:val="FootnoteReference"/>
          <w:lang w:val="en-US"/>
        </w:rPr>
        <w:footnoteReference w:id="64"/>
      </w:r>
    </w:p>
    <w:p w14:paraId="1F70925B" w14:textId="77777777" w:rsidR="0092232C" w:rsidRPr="0038045B" w:rsidRDefault="001C5E71" w:rsidP="00C80F30">
      <w:pPr>
        <w:pStyle w:val="Body"/>
        <w:numPr>
          <w:ilvl w:val="0"/>
          <w:numId w:val="15"/>
        </w:numPr>
        <w:spacing w:after="200" w:line="276" w:lineRule="auto"/>
        <w:ind w:left="0" w:firstLine="0"/>
        <w:rPr>
          <w:lang w:val="en-US"/>
        </w:rPr>
      </w:pPr>
      <w:r w:rsidRPr="0038045B">
        <w:rPr>
          <w:lang w:val="en-US"/>
        </w:rPr>
        <w:t xml:space="preserve">With regard to </w:t>
      </w:r>
      <w:r w:rsidR="00735DD6" w:rsidRPr="0038045B">
        <w:rPr>
          <w:lang w:val="en-US"/>
        </w:rPr>
        <w:t>mobile banking, a few banks have developed their proprietary mobile banking service</w:t>
      </w:r>
      <w:r w:rsidR="00F65747" w:rsidRPr="0038045B">
        <w:rPr>
          <w:lang w:val="en-US"/>
        </w:rPr>
        <w:t xml:space="preserve">, while others </w:t>
      </w:r>
      <w:r w:rsidR="00956755" w:rsidRPr="0038045B">
        <w:rPr>
          <w:lang w:val="en-US"/>
        </w:rPr>
        <w:t>(i.e. R</w:t>
      </w:r>
      <w:r w:rsidR="00167C7D" w:rsidRPr="0038045B">
        <w:rPr>
          <w:lang w:val="en-US"/>
        </w:rPr>
        <w:t>a</w:t>
      </w:r>
      <w:r w:rsidR="00956755" w:rsidRPr="0038045B">
        <w:rPr>
          <w:lang w:val="en-US"/>
        </w:rPr>
        <w:t xml:space="preserve">iffeisen Bank and Societé Generale) </w:t>
      </w:r>
      <w:r w:rsidR="00F65747" w:rsidRPr="0038045B">
        <w:rPr>
          <w:lang w:val="en-US"/>
        </w:rPr>
        <w:t xml:space="preserve">are using the platform of </w:t>
      </w:r>
      <w:r w:rsidR="00956755" w:rsidRPr="0038045B">
        <w:rPr>
          <w:lang w:val="en-US"/>
        </w:rPr>
        <w:t xml:space="preserve">a third-party, </w:t>
      </w:r>
      <w:r w:rsidR="00F65747" w:rsidRPr="0038045B">
        <w:rPr>
          <w:lang w:val="en-US"/>
        </w:rPr>
        <w:t>M-Pay</w:t>
      </w:r>
      <w:r w:rsidR="0059574B" w:rsidRPr="0038045B">
        <w:rPr>
          <w:lang w:val="en-US"/>
        </w:rPr>
        <w:t xml:space="preserve">, which </w:t>
      </w:r>
      <w:r w:rsidR="0036363E" w:rsidRPr="0038045B">
        <w:rPr>
          <w:lang w:val="en-US"/>
        </w:rPr>
        <w:t xml:space="preserve">can be used by any </w:t>
      </w:r>
      <w:r w:rsidR="0059574B" w:rsidRPr="0038045B">
        <w:rPr>
          <w:lang w:val="en-US"/>
        </w:rPr>
        <w:t>mobile telephony customer of Vodafone Albania, Telekom Albania and Eagle Mobile</w:t>
      </w:r>
      <w:r w:rsidR="00E4306A" w:rsidRPr="0038045B">
        <w:rPr>
          <w:lang w:val="en-US"/>
        </w:rPr>
        <w:t xml:space="preserve">. Payment services </w:t>
      </w:r>
      <w:r w:rsidR="00F65747" w:rsidRPr="0038045B">
        <w:rPr>
          <w:lang w:val="en-US"/>
        </w:rPr>
        <w:t xml:space="preserve">available </w:t>
      </w:r>
      <w:r w:rsidR="00E4306A" w:rsidRPr="0038045B">
        <w:rPr>
          <w:lang w:val="en-US"/>
        </w:rPr>
        <w:t xml:space="preserve">through M-Pay include </w:t>
      </w:r>
      <w:r w:rsidR="00F65747" w:rsidRPr="0038045B">
        <w:rPr>
          <w:lang w:val="en-US"/>
        </w:rPr>
        <w:t xml:space="preserve">balance </w:t>
      </w:r>
      <w:r w:rsidR="0059574B" w:rsidRPr="0038045B">
        <w:rPr>
          <w:lang w:val="en-US"/>
        </w:rPr>
        <w:t>i</w:t>
      </w:r>
      <w:r w:rsidR="00E4306A" w:rsidRPr="0038045B">
        <w:rPr>
          <w:lang w:val="en-US"/>
        </w:rPr>
        <w:t xml:space="preserve">nquiries, </w:t>
      </w:r>
      <w:r w:rsidR="00F65747" w:rsidRPr="0038045B">
        <w:rPr>
          <w:lang w:val="en-US"/>
        </w:rPr>
        <w:t xml:space="preserve">bill payments, and airtime top-up. </w:t>
      </w:r>
      <w:r w:rsidR="00956755" w:rsidRPr="0038045B">
        <w:rPr>
          <w:lang w:val="en-US"/>
        </w:rPr>
        <w:t>M-Pay informed that they have more than 100,000 registered users for this service</w:t>
      </w:r>
      <w:r w:rsidR="0059574B" w:rsidRPr="0038045B">
        <w:rPr>
          <w:lang w:val="en-US"/>
        </w:rPr>
        <w:t>.</w:t>
      </w:r>
    </w:p>
    <w:p w14:paraId="3CAB670E" w14:textId="77777777" w:rsidR="00E4306A" w:rsidRPr="0038045B" w:rsidRDefault="00207112" w:rsidP="00C80F30">
      <w:pPr>
        <w:pStyle w:val="Body"/>
        <w:numPr>
          <w:ilvl w:val="0"/>
          <w:numId w:val="15"/>
        </w:numPr>
        <w:spacing w:after="200" w:line="276" w:lineRule="auto"/>
        <w:ind w:left="0" w:firstLine="0"/>
        <w:rPr>
          <w:lang w:val="en-US"/>
        </w:rPr>
      </w:pPr>
      <w:r w:rsidRPr="0038045B">
        <w:rPr>
          <w:lang w:val="en-US"/>
        </w:rPr>
        <w:t xml:space="preserve">In the case of e-money accounts, </w:t>
      </w:r>
      <w:r w:rsidR="00E4306A" w:rsidRPr="0038045B">
        <w:rPr>
          <w:lang w:val="en-US"/>
        </w:rPr>
        <w:t xml:space="preserve">those issued by Vodafone M-Pesa are accessed and are operated via an e-wallet, while in the case of EasyPay the accounts may be accessed and operated on-line </w:t>
      </w:r>
      <w:r w:rsidR="00D371F2" w:rsidRPr="0038045B">
        <w:rPr>
          <w:lang w:val="en-US"/>
        </w:rPr>
        <w:t xml:space="preserve">(i.e. computer-based) </w:t>
      </w:r>
      <w:r w:rsidR="00E4306A" w:rsidRPr="0038045B">
        <w:rPr>
          <w:lang w:val="en-US"/>
        </w:rPr>
        <w:t>and via mobile through an app</w:t>
      </w:r>
      <w:r w:rsidR="003508A7" w:rsidRPr="0038045B">
        <w:rPr>
          <w:lang w:val="en-US"/>
        </w:rPr>
        <w:t xml:space="preserve">, </w:t>
      </w:r>
      <w:r w:rsidR="003D4E58" w:rsidRPr="0038045B">
        <w:rPr>
          <w:lang w:val="en-US"/>
        </w:rPr>
        <w:t>“</w:t>
      </w:r>
      <w:r w:rsidR="00E4306A" w:rsidRPr="0038045B">
        <w:rPr>
          <w:lang w:val="en-US"/>
        </w:rPr>
        <w:t>Mobile</w:t>
      </w:r>
      <w:r w:rsidR="00DC432F" w:rsidRPr="0038045B">
        <w:rPr>
          <w:lang w:val="en-US"/>
        </w:rPr>
        <w:t>P</w:t>
      </w:r>
      <w:r w:rsidR="00E4306A" w:rsidRPr="0038045B">
        <w:rPr>
          <w:lang w:val="en-US"/>
        </w:rPr>
        <w:t>ay Albania</w:t>
      </w:r>
      <w:r w:rsidR="003D4E58" w:rsidRPr="0038045B">
        <w:rPr>
          <w:lang w:val="en-US"/>
        </w:rPr>
        <w:t>”</w:t>
      </w:r>
      <w:r w:rsidR="00E4306A" w:rsidRPr="0038045B">
        <w:rPr>
          <w:lang w:val="en-US"/>
        </w:rPr>
        <w:t>.</w:t>
      </w:r>
    </w:p>
    <w:p w14:paraId="169D4E31" w14:textId="77777777" w:rsidR="00FB628B" w:rsidRPr="0038045B" w:rsidRDefault="00FB628B" w:rsidP="00D371F2">
      <w:pPr>
        <w:pStyle w:val="Body"/>
        <w:numPr>
          <w:ilvl w:val="0"/>
          <w:numId w:val="15"/>
        </w:numPr>
        <w:spacing w:after="200" w:line="276" w:lineRule="auto"/>
        <w:ind w:left="0" w:firstLine="0"/>
        <w:rPr>
          <w:lang w:val="en-US"/>
        </w:rPr>
      </w:pPr>
      <w:r w:rsidRPr="0038045B">
        <w:rPr>
          <w:lang w:val="en-US"/>
        </w:rPr>
        <w:t>Payment s</w:t>
      </w:r>
      <w:r w:rsidR="00435A0E" w:rsidRPr="0038045B">
        <w:rPr>
          <w:lang w:val="en-US"/>
        </w:rPr>
        <w:t xml:space="preserve">ervices available </w:t>
      </w:r>
      <w:r w:rsidR="00DC432F" w:rsidRPr="0038045B">
        <w:rPr>
          <w:lang w:val="en-US"/>
        </w:rPr>
        <w:t xml:space="preserve">through </w:t>
      </w:r>
      <w:r w:rsidRPr="0038045B">
        <w:rPr>
          <w:lang w:val="en-US"/>
        </w:rPr>
        <w:t xml:space="preserve">e-money accounts </w:t>
      </w:r>
      <w:r w:rsidR="00435A0E" w:rsidRPr="0038045B">
        <w:rPr>
          <w:lang w:val="en-US"/>
        </w:rPr>
        <w:t xml:space="preserve">include </w:t>
      </w:r>
      <w:r w:rsidR="0069217B" w:rsidRPr="0038045B">
        <w:rPr>
          <w:lang w:val="en-US"/>
        </w:rPr>
        <w:t xml:space="preserve">payment of utilities and of other services and subscriptions, account top-ups and cash-outs, and also airtime purchases. </w:t>
      </w:r>
      <w:r w:rsidR="00956755" w:rsidRPr="0038045B">
        <w:rPr>
          <w:lang w:val="en-US"/>
        </w:rPr>
        <w:t xml:space="preserve">E-money accountholders can only make deposits in cash to their own account (for which they need to show their </w:t>
      </w:r>
      <w:r w:rsidR="00DC432F" w:rsidRPr="0038045B">
        <w:rPr>
          <w:lang w:val="en-US"/>
        </w:rPr>
        <w:t xml:space="preserve">national </w:t>
      </w:r>
      <w:r w:rsidR="00956755" w:rsidRPr="0038045B">
        <w:rPr>
          <w:lang w:val="en-US"/>
        </w:rPr>
        <w:t>ID</w:t>
      </w:r>
      <w:r w:rsidR="00DC432F" w:rsidRPr="0038045B">
        <w:rPr>
          <w:lang w:val="en-US"/>
        </w:rPr>
        <w:t xml:space="preserve"> card</w:t>
      </w:r>
      <w:r w:rsidR="00956755" w:rsidRPr="0038045B">
        <w:rPr>
          <w:lang w:val="en-US"/>
        </w:rPr>
        <w:t xml:space="preserve">). </w:t>
      </w:r>
      <w:r w:rsidR="00435A0E" w:rsidRPr="0038045B">
        <w:rPr>
          <w:lang w:val="en-US"/>
        </w:rPr>
        <w:t xml:space="preserve">Vodafone M-Pesa also offers </w:t>
      </w:r>
      <w:r w:rsidR="00DC432F" w:rsidRPr="0038045B">
        <w:rPr>
          <w:lang w:val="en-US"/>
        </w:rPr>
        <w:t>person-to-person (</w:t>
      </w:r>
      <w:r w:rsidR="00435A0E" w:rsidRPr="0038045B">
        <w:rPr>
          <w:lang w:val="en-US"/>
        </w:rPr>
        <w:t>P2P</w:t>
      </w:r>
      <w:r w:rsidR="00DC432F" w:rsidRPr="0038045B">
        <w:rPr>
          <w:lang w:val="en-US"/>
        </w:rPr>
        <w:t>)</w:t>
      </w:r>
      <w:r w:rsidR="00435A0E" w:rsidRPr="0038045B">
        <w:rPr>
          <w:lang w:val="en-US"/>
        </w:rPr>
        <w:t xml:space="preserve"> transfers, for which customers only need to know the mobile phone number of the beneficiary. EasyPay does not of</w:t>
      </w:r>
      <w:r w:rsidRPr="0038045B">
        <w:rPr>
          <w:lang w:val="en-US"/>
        </w:rPr>
        <w:t>f</w:t>
      </w:r>
      <w:r w:rsidR="00435A0E" w:rsidRPr="0038045B">
        <w:rPr>
          <w:lang w:val="en-US"/>
        </w:rPr>
        <w:t>er P2P transfers</w:t>
      </w:r>
      <w:r w:rsidR="0036363E" w:rsidRPr="0038045B">
        <w:rPr>
          <w:lang w:val="en-US"/>
        </w:rPr>
        <w:t xml:space="preserve"> as of yet</w:t>
      </w:r>
      <w:r w:rsidR="00435A0E" w:rsidRPr="0038045B">
        <w:rPr>
          <w:lang w:val="en-US"/>
        </w:rPr>
        <w:t xml:space="preserve">. </w:t>
      </w:r>
      <w:r w:rsidR="003D4E58" w:rsidRPr="0038045B">
        <w:rPr>
          <w:lang w:val="en-US"/>
        </w:rPr>
        <w:t>Moreover, c</w:t>
      </w:r>
      <w:r w:rsidR="0069217B" w:rsidRPr="0038045B">
        <w:rPr>
          <w:lang w:val="en-US"/>
        </w:rPr>
        <w:t>ustomers of Vodafone M-Pesa cannot transfers funds electronically to customers of EasyPay, or vice versa.</w:t>
      </w:r>
      <w:r w:rsidR="00435A0E" w:rsidRPr="0038045B">
        <w:rPr>
          <w:lang w:val="en-US"/>
        </w:rPr>
        <w:t xml:space="preserve"> </w:t>
      </w:r>
    </w:p>
    <w:p w14:paraId="2BCD79EE" w14:textId="77777777" w:rsidR="0069217B" w:rsidRPr="0038045B" w:rsidRDefault="00FB628B" w:rsidP="00D371F2">
      <w:pPr>
        <w:pStyle w:val="Body"/>
        <w:numPr>
          <w:ilvl w:val="0"/>
          <w:numId w:val="15"/>
        </w:numPr>
        <w:spacing w:after="200" w:line="276" w:lineRule="auto"/>
        <w:ind w:left="0" w:firstLine="0"/>
        <w:rPr>
          <w:lang w:val="en-US"/>
        </w:rPr>
      </w:pPr>
      <w:r w:rsidRPr="0038045B">
        <w:rPr>
          <w:lang w:val="en-US"/>
        </w:rPr>
        <w:t>In addition to there being no interoperability between e-money issuers, t</w:t>
      </w:r>
      <w:r w:rsidR="0069217B" w:rsidRPr="0038045B">
        <w:rPr>
          <w:lang w:val="en-US"/>
        </w:rPr>
        <w:t>here is no interoperability between bank accounts and e-money accounts. In other words, funds may not be transferred electronically from a bank account to an e-money account or vice versa.</w:t>
      </w:r>
    </w:p>
    <w:p w14:paraId="04CB67EC" w14:textId="77777777" w:rsidR="00CD2503" w:rsidRPr="0038045B" w:rsidRDefault="00190E8A" w:rsidP="00CD2503">
      <w:pPr>
        <w:pStyle w:val="Heading3"/>
        <w:spacing w:before="480" w:after="240"/>
        <w:rPr>
          <w:b w:val="0"/>
          <w:i/>
        </w:rPr>
      </w:pPr>
      <w:bookmarkStart w:id="84" w:name="_Toc476239725"/>
      <w:r w:rsidRPr="0038045B">
        <w:rPr>
          <w:b w:val="0"/>
          <w:i/>
        </w:rPr>
        <w:t>Transaction account charges</w:t>
      </w:r>
      <w:bookmarkEnd w:id="84"/>
    </w:p>
    <w:p w14:paraId="0A5E6EA7" w14:textId="77777777" w:rsidR="00D01590" w:rsidRPr="0038045B" w:rsidRDefault="003508A7" w:rsidP="00167C7D">
      <w:pPr>
        <w:pStyle w:val="Body"/>
        <w:numPr>
          <w:ilvl w:val="0"/>
          <w:numId w:val="15"/>
        </w:numPr>
        <w:spacing w:after="120" w:line="276" w:lineRule="auto"/>
        <w:ind w:left="0" w:firstLine="0"/>
        <w:rPr>
          <w:lang w:val="en-US"/>
        </w:rPr>
      </w:pPr>
      <w:r w:rsidRPr="0038045B">
        <w:rPr>
          <w:lang w:val="en-US"/>
        </w:rPr>
        <w:t>B</w:t>
      </w:r>
      <w:r w:rsidR="00D01590" w:rsidRPr="0038045B">
        <w:rPr>
          <w:lang w:val="en-US"/>
        </w:rPr>
        <w:t xml:space="preserve">anks in Albania price their account products based on their own internal policies. </w:t>
      </w:r>
      <w:r w:rsidRPr="0038045B">
        <w:rPr>
          <w:lang w:val="en-US"/>
        </w:rPr>
        <w:t xml:space="preserve">On the basis </w:t>
      </w:r>
      <w:r w:rsidR="00D01590" w:rsidRPr="0038045B">
        <w:rPr>
          <w:lang w:val="en-US"/>
        </w:rPr>
        <w:t xml:space="preserve">on the interviews held with </w:t>
      </w:r>
      <w:r w:rsidR="00586610" w:rsidRPr="0038045B">
        <w:rPr>
          <w:lang w:val="en-US"/>
        </w:rPr>
        <w:t xml:space="preserve">five </w:t>
      </w:r>
      <w:r w:rsidR="00D01590" w:rsidRPr="0038045B">
        <w:rPr>
          <w:lang w:val="en-US"/>
        </w:rPr>
        <w:t>banks and the Albanian Association of Banks</w:t>
      </w:r>
      <w:r w:rsidR="00586610" w:rsidRPr="0038045B">
        <w:rPr>
          <w:lang w:val="en-US"/>
        </w:rPr>
        <w:t>, and having analyzed the BoA’s microsite that hosts information on banks’ “commissions to individuals”,</w:t>
      </w:r>
      <w:r w:rsidR="00D01590" w:rsidRPr="0038045B">
        <w:rPr>
          <w:lang w:val="en-US"/>
        </w:rPr>
        <w:t xml:space="preserve"> a number of trends were identified. </w:t>
      </w:r>
      <w:r w:rsidR="009F5814" w:rsidRPr="0038045B">
        <w:rPr>
          <w:lang w:val="en-US"/>
        </w:rPr>
        <w:t>In the context of this report, t</w:t>
      </w:r>
      <w:r w:rsidR="00D01590" w:rsidRPr="0038045B">
        <w:rPr>
          <w:lang w:val="en-US"/>
        </w:rPr>
        <w:t xml:space="preserve">he </w:t>
      </w:r>
      <w:r w:rsidR="00782B96" w:rsidRPr="0038045B">
        <w:rPr>
          <w:lang w:val="en-US"/>
        </w:rPr>
        <w:t xml:space="preserve">trends </w:t>
      </w:r>
      <w:r w:rsidR="00D01590" w:rsidRPr="0038045B">
        <w:rPr>
          <w:lang w:val="en-US"/>
        </w:rPr>
        <w:t xml:space="preserve">that are </w:t>
      </w:r>
      <w:r w:rsidR="00BA1BAE" w:rsidRPr="0038045B">
        <w:rPr>
          <w:lang w:val="en-US"/>
        </w:rPr>
        <w:t xml:space="preserve">especially </w:t>
      </w:r>
      <w:r w:rsidR="00D01590" w:rsidRPr="0038045B">
        <w:rPr>
          <w:lang w:val="en-US"/>
        </w:rPr>
        <w:t xml:space="preserve">worth noticing </w:t>
      </w:r>
      <w:r w:rsidR="00782B96" w:rsidRPr="0038045B">
        <w:rPr>
          <w:lang w:val="en-US"/>
        </w:rPr>
        <w:t>for ordinary/regular current accounts</w:t>
      </w:r>
      <w:r w:rsidR="00586610" w:rsidRPr="0038045B">
        <w:rPr>
          <w:lang w:val="en-US"/>
        </w:rPr>
        <w:t xml:space="preserve"> </w:t>
      </w:r>
      <w:r w:rsidR="00782B96" w:rsidRPr="0038045B">
        <w:rPr>
          <w:lang w:val="en-US"/>
        </w:rPr>
        <w:t>are</w:t>
      </w:r>
      <w:r w:rsidR="00D01590" w:rsidRPr="0038045B">
        <w:rPr>
          <w:lang w:val="en-US"/>
        </w:rPr>
        <w:t>:</w:t>
      </w:r>
    </w:p>
    <w:p w14:paraId="63C7ACB2" w14:textId="77777777" w:rsidR="00D01590" w:rsidRPr="0038045B" w:rsidRDefault="003508A7" w:rsidP="00167C7D">
      <w:pPr>
        <w:pStyle w:val="Body"/>
        <w:numPr>
          <w:ilvl w:val="0"/>
          <w:numId w:val="35"/>
        </w:numPr>
        <w:spacing w:line="276" w:lineRule="auto"/>
        <w:rPr>
          <w:lang w:val="en-US"/>
        </w:rPr>
      </w:pPr>
      <w:r w:rsidRPr="0038045B">
        <w:rPr>
          <w:lang w:val="en-US"/>
        </w:rPr>
        <w:t>Some</w:t>
      </w:r>
      <w:r w:rsidR="00167C7D" w:rsidRPr="0038045B">
        <w:rPr>
          <w:lang w:val="en-US"/>
        </w:rPr>
        <w:t xml:space="preserve"> of the banks interviewed </w:t>
      </w:r>
      <w:r w:rsidR="00D01590" w:rsidRPr="0038045B">
        <w:rPr>
          <w:lang w:val="en-US"/>
        </w:rPr>
        <w:t xml:space="preserve">charge new accountholders </w:t>
      </w:r>
      <w:r w:rsidRPr="0038045B">
        <w:rPr>
          <w:lang w:val="en-US"/>
        </w:rPr>
        <w:t xml:space="preserve">upfront </w:t>
      </w:r>
      <w:r w:rsidR="00D01590" w:rsidRPr="0038045B">
        <w:rPr>
          <w:lang w:val="en-US"/>
        </w:rPr>
        <w:t>for the issuance</w:t>
      </w:r>
      <w:r w:rsidR="00167C7D" w:rsidRPr="0038045B">
        <w:rPr>
          <w:lang w:val="en-US"/>
        </w:rPr>
        <w:t xml:space="preserve"> </w:t>
      </w:r>
      <w:r w:rsidR="00D01590" w:rsidRPr="0038045B">
        <w:rPr>
          <w:lang w:val="en-US"/>
        </w:rPr>
        <w:t xml:space="preserve">of the debit card that constitutes the primary means for accessing their account remotely. The typical fee is ALL 500, equivalent to approximately </w:t>
      </w:r>
      <w:r w:rsidR="00167C7D" w:rsidRPr="0038045B">
        <w:rPr>
          <w:lang w:val="en-US"/>
        </w:rPr>
        <w:t xml:space="preserve">USD 4. Most of the banks that do not charge the debit card issuance fee </w:t>
      </w:r>
      <w:r w:rsidR="002653B6" w:rsidRPr="0038045B">
        <w:rPr>
          <w:lang w:val="en-US"/>
        </w:rPr>
        <w:t xml:space="preserve">apply </w:t>
      </w:r>
      <w:r w:rsidR="00167C7D" w:rsidRPr="0038045B">
        <w:rPr>
          <w:lang w:val="en-US"/>
        </w:rPr>
        <w:t xml:space="preserve">an annual debit card maintenance fee that ranges between ALL 500-1500. </w:t>
      </w:r>
      <w:r w:rsidR="002653B6" w:rsidRPr="0038045B">
        <w:rPr>
          <w:lang w:val="en-US"/>
        </w:rPr>
        <w:t>Moreover, al</w:t>
      </w:r>
      <w:r w:rsidR="00167C7D" w:rsidRPr="0038045B">
        <w:rPr>
          <w:lang w:val="en-US"/>
        </w:rPr>
        <w:t>most all of the banks also charge a fee for providing a new PIN to debit card holders.</w:t>
      </w:r>
    </w:p>
    <w:p w14:paraId="7E39130F" w14:textId="77777777" w:rsidR="00D01590" w:rsidRPr="0038045B" w:rsidRDefault="00782B96" w:rsidP="00167C7D">
      <w:pPr>
        <w:pStyle w:val="Body"/>
        <w:numPr>
          <w:ilvl w:val="0"/>
          <w:numId w:val="35"/>
        </w:numPr>
        <w:spacing w:line="276" w:lineRule="auto"/>
        <w:rPr>
          <w:lang w:val="en-US"/>
        </w:rPr>
      </w:pPr>
      <w:r w:rsidRPr="0038045B">
        <w:rPr>
          <w:lang w:val="en-US"/>
        </w:rPr>
        <w:t xml:space="preserve">With only one exception, </w:t>
      </w:r>
      <w:r w:rsidR="00167C7D" w:rsidRPr="0038045B">
        <w:rPr>
          <w:lang w:val="en-US"/>
        </w:rPr>
        <w:t xml:space="preserve">all of the banks charge a monthly account maintenance fee </w:t>
      </w:r>
      <w:r w:rsidR="00167C7D" w:rsidRPr="0038045B">
        <w:rPr>
          <w:lang w:val="en-US"/>
        </w:rPr>
        <w:lastRenderedPageBreak/>
        <w:t xml:space="preserve">(which is separate from the debit card maintenance fee). </w:t>
      </w:r>
      <w:r w:rsidRPr="0038045B">
        <w:rPr>
          <w:lang w:val="en-US"/>
        </w:rPr>
        <w:t>The typical fee is ALL 150, and is levied regardless of the balance that an accountholder maintains in the account.</w:t>
      </w:r>
    </w:p>
    <w:p w14:paraId="6E9D23F4" w14:textId="77777777" w:rsidR="00167C7D" w:rsidRPr="0038045B" w:rsidRDefault="009F5814" w:rsidP="00586610">
      <w:pPr>
        <w:pStyle w:val="Body"/>
        <w:numPr>
          <w:ilvl w:val="0"/>
          <w:numId w:val="35"/>
        </w:numPr>
        <w:spacing w:line="276" w:lineRule="auto"/>
        <w:rPr>
          <w:lang w:val="en-US"/>
        </w:rPr>
      </w:pPr>
      <w:r w:rsidRPr="0038045B">
        <w:rPr>
          <w:lang w:val="en-US"/>
        </w:rPr>
        <w:t>In most cases a</w:t>
      </w:r>
      <w:r w:rsidR="00BA1BAE" w:rsidRPr="0038045B">
        <w:rPr>
          <w:lang w:val="en-US"/>
        </w:rPr>
        <w:t>ccess to online/Internet banking is charged separately</w:t>
      </w:r>
      <w:r w:rsidRPr="0038045B">
        <w:rPr>
          <w:lang w:val="en-US"/>
        </w:rPr>
        <w:t>. A few banks charge a registration fee, while others charge a monthly fee for the use of this service</w:t>
      </w:r>
      <w:r w:rsidR="003508A7" w:rsidRPr="0038045B">
        <w:rPr>
          <w:lang w:val="en-US"/>
        </w:rPr>
        <w:t>, and o</w:t>
      </w:r>
      <w:r w:rsidRPr="0038045B">
        <w:rPr>
          <w:lang w:val="en-US"/>
        </w:rPr>
        <w:t>ne bank charges on a per transaction basis.</w:t>
      </w:r>
    </w:p>
    <w:p w14:paraId="1D792B13" w14:textId="77777777" w:rsidR="009F5814" w:rsidRPr="0038045B" w:rsidRDefault="009F5814" w:rsidP="0006748F">
      <w:pPr>
        <w:pStyle w:val="Body"/>
        <w:numPr>
          <w:ilvl w:val="0"/>
          <w:numId w:val="35"/>
        </w:numPr>
        <w:spacing w:line="276" w:lineRule="auto"/>
        <w:rPr>
          <w:lang w:val="en-US"/>
        </w:rPr>
      </w:pPr>
      <w:r w:rsidRPr="0038045B">
        <w:rPr>
          <w:lang w:val="en-US"/>
        </w:rPr>
        <w:t>There is no differentiated pricing for funds transfers initiated at the branch or online</w:t>
      </w:r>
      <w:r w:rsidR="00586610" w:rsidRPr="0038045B">
        <w:rPr>
          <w:lang w:val="en-US"/>
        </w:rPr>
        <w:t xml:space="preserve"> (at least one bank applies fe</w:t>
      </w:r>
      <w:r w:rsidR="002653B6" w:rsidRPr="0038045B">
        <w:rPr>
          <w:lang w:val="en-US"/>
        </w:rPr>
        <w:t>e</w:t>
      </w:r>
      <w:r w:rsidR="00586610" w:rsidRPr="0038045B">
        <w:rPr>
          <w:lang w:val="en-US"/>
        </w:rPr>
        <w:t>s to those initiated online)</w:t>
      </w:r>
      <w:r w:rsidRPr="0038045B">
        <w:rPr>
          <w:lang w:val="en-US"/>
        </w:rPr>
        <w:t xml:space="preserve">. For interbank transactions via the AIPS or AECH, banks typically charge a maximum fee of ALL 1,500 </w:t>
      </w:r>
      <w:r w:rsidR="00586610" w:rsidRPr="0038045B">
        <w:rPr>
          <w:lang w:val="en-US"/>
        </w:rPr>
        <w:t>or</w:t>
      </w:r>
      <w:r w:rsidRPr="0038045B">
        <w:rPr>
          <w:lang w:val="en-US"/>
        </w:rPr>
        <w:t xml:space="preserve"> ALL 500, respectively. Transfers </w:t>
      </w:r>
      <w:r w:rsidR="00586610" w:rsidRPr="0038045B">
        <w:rPr>
          <w:lang w:val="en-US"/>
        </w:rPr>
        <w:t>of</w:t>
      </w:r>
      <w:r w:rsidRPr="0038045B">
        <w:rPr>
          <w:lang w:val="en-US"/>
        </w:rPr>
        <w:t xml:space="preserve"> smaller amounts may be subject to lower fees.</w:t>
      </w:r>
      <w:r w:rsidRPr="0038045B">
        <w:rPr>
          <w:rStyle w:val="FootnoteReference"/>
          <w:lang w:val="en-US"/>
        </w:rPr>
        <w:footnoteReference w:id="65"/>
      </w:r>
    </w:p>
    <w:p w14:paraId="4C762CE0" w14:textId="77777777" w:rsidR="0006748F" w:rsidRPr="0038045B" w:rsidRDefault="0006748F" w:rsidP="00D01590">
      <w:pPr>
        <w:pStyle w:val="Body"/>
        <w:numPr>
          <w:ilvl w:val="0"/>
          <w:numId w:val="35"/>
        </w:numPr>
        <w:spacing w:after="200" w:line="276" w:lineRule="auto"/>
        <w:rPr>
          <w:lang w:val="en-US"/>
        </w:rPr>
      </w:pPr>
      <w:r w:rsidRPr="0038045B">
        <w:rPr>
          <w:lang w:val="en-US"/>
        </w:rPr>
        <w:t>Regarding bill payments, in general terms there is also no differentiated pricing for paying electronically or in cash at the bank branch.</w:t>
      </w:r>
    </w:p>
    <w:p w14:paraId="6CA47752" w14:textId="77777777" w:rsidR="00037D58" w:rsidRPr="0038045B" w:rsidRDefault="00270590" w:rsidP="00037D58">
      <w:pPr>
        <w:pStyle w:val="Body"/>
        <w:numPr>
          <w:ilvl w:val="0"/>
          <w:numId w:val="15"/>
        </w:numPr>
        <w:spacing w:after="200" w:line="276" w:lineRule="auto"/>
        <w:ind w:left="0" w:firstLine="0"/>
        <w:rPr>
          <w:lang w:val="en-US"/>
        </w:rPr>
      </w:pPr>
      <w:r w:rsidRPr="0038045B">
        <w:rPr>
          <w:lang w:val="en-US"/>
        </w:rPr>
        <w:t xml:space="preserve">As noted earlier, however, </w:t>
      </w:r>
      <w:r w:rsidR="00D01590" w:rsidRPr="0038045B">
        <w:rPr>
          <w:lang w:val="en-US"/>
        </w:rPr>
        <w:t>payroll</w:t>
      </w:r>
      <w:r w:rsidRPr="0038045B">
        <w:rPr>
          <w:lang w:val="en-US"/>
        </w:rPr>
        <w:t xml:space="preserve"> accounts and student accounts </w:t>
      </w:r>
      <w:r w:rsidR="00D01590" w:rsidRPr="0038045B">
        <w:rPr>
          <w:lang w:val="en-US"/>
        </w:rPr>
        <w:t xml:space="preserve">are </w:t>
      </w:r>
      <w:r w:rsidR="003508A7" w:rsidRPr="0038045B">
        <w:rPr>
          <w:lang w:val="en-US"/>
        </w:rPr>
        <w:t xml:space="preserve">generally </w:t>
      </w:r>
      <w:r w:rsidR="00D01590" w:rsidRPr="0038045B">
        <w:rPr>
          <w:lang w:val="en-US"/>
        </w:rPr>
        <w:t xml:space="preserve">subject to </w:t>
      </w:r>
      <w:r w:rsidRPr="0038045B">
        <w:rPr>
          <w:lang w:val="en-US"/>
        </w:rPr>
        <w:t xml:space="preserve">lower </w:t>
      </w:r>
      <w:r w:rsidR="00D01590" w:rsidRPr="0038045B">
        <w:rPr>
          <w:lang w:val="en-US"/>
        </w:rPr>
        <w:t>fees</w:t>
      </w:r>
      <w:r w:rsidRPr="0038045B">
        <w:rPr>
          <w:lang w:val="en-US"/>
        </w:rPr>
        <w:t xml:space="preserve">, although they follow the same </w:t>
      </w:r>
      <w:r w:rsidR="002653B6" w:rsidRPr="0038045B">
        <w:rPr>
          <w:lang w:val="en-US"/>
        </w:rPr>
        <w:t>overall pricing structure as ordinary/regular accounts de</w:t>
      </w:r>
      <w:r w:rsidRPr="0038045B">
        <w:rPr>
          <w:lang w:val="en-US"/>
        </w:rPr>
        <w:t>scribed in the previous paragraph.</w:t>
      </w:r>
    </w:p>
    <w:p w14:paraId="7C827ED8" w14:textId="77777777" w:rsidR="00CD2503" w:rsidRPr="0038045B" w:rsidRDefault="003508A7" w:rsidP="00C80F30">
      <w:pPr>
        <w:pStyle w:val="Body"/>
        <w:numPr>
          <w:ilvl w:val="0"/>
          <w:numId w:val="15"/>
        </w:numPr>
        <w:spacing w:after="200" w:line="276" w:lineRule="auto"/>
        <w:ind w:left="0" w:firstLine="0"/>
        <w:rPr>
          <w:lang w:val="en-US"/>
        </w:rPr>
      </w:pPr>
      <w:r w:rsidRPr="0038045B">
        <w:rPr>
          <w:lang w:val="en-US"/>
        </w:rPr>
        <w:t>According to Vod</w:t>
      </w:r>
      <w:r w:rsidR="002653B6" w:rsidRPr="0038045B">
        <w:rPr>
          <w:lang w:val="en-US"/>
        </w:rPr>
        <w:t xml:space="preserve">afone M-Pesa </w:t>
      </w:r>
      <w:r w:rsidRPr="0038045B">
        <w:rPr>
          <w:lang w:val="en-US"/>
        </w:rPr>
        <w:t xml:space="preserve">and </w:t>
      </w:r>
      <w:r w:rsidR="002653B6" w:rsidRPr="0038045B">
        <w:rPr>
          <w:lang w:val="en-US"/>
        </w:rPr>
        <w:t>EasyPay</w:t>
      </w:r>
      <w:r w:rsidRPr="0038045B">
        <w:rPr>
          <w:lang w:val="en-US"/>
        </w:rPr>
        <w:t>, none of their</w:t>
      </w:r>
      <w:r w:rsidR="002653B6" w:rsidRPr="0038045B">
        <w:rPr>
          <w:lang w:val="en-US"/>
        </w:rPr>
        <w:t xml:space="preserve"> e-money accounts are subject to account opening fees, or monthly or annual account maintenance fees. There are also no charges for account top-ups or for the majority of bill payments that can be made via the account. In contrast, cash-outs and a few bill payments (e.g. water</w:t>
      </w:r>
      <w:r w:rsidR="00E4306A" w:rsidRPr="0038045B">
        <w:rPr>
          <w:lang w:val="en-US"/>
        </w:rPr>
        <w:t>)</w:t>
      </w:r>
      <w:r w:rsidR="002653B6" w:rsidRPr="0038045B">
        <w:rPr>
          <w:lang w:val="en-US"/>
        </w:rPr>
        <w:t xml:space="preserve"> are subject to fees.</w:t>
      </w:r>
    </w:p>
    <w:p w14:paraId="354920A0" w14:textId="77777777" w:rsidR="00CD2503" w:rsidRPr="0038045B" w:rsidRDefault="00CD2503" w:rsidP="00CD2503">
      <w:pPr>
        <w:pStyle w:val="Heading3"/>
        <w:spacing w:before="480" w:after="240"/>
        <w:rPr>
          <w:b w:val="0"/>
          <w:i/>
        </w:rPr>
      </w:pPr>
      <w:bookmarkStart w:id="85" w:name="_Toc476239726"/>
      <w:r w:rsidRPr="0038045B">
        <w:rPr>
          <w:b w:val="0"/>
          <w:i/>
        </w:rPr>
        <w:t>End</w:t>
      </w:r>
      <w:r w:rsidR="00FB628B" w:rsidRPr="0038045B">
        <w:rPr>
          <w:b w:val="0"/>
          <w:i/>
        </w:rPr>
        <w:t>-</w:t>
      </w:r>
      <w:r w:rsidRPr="0038045B">
        <w:rPr>
          <w:b w:val="0"/>
          <w:i/>
        </w:rPr>
        <w:t>customer behavior</w:t>
      </w:r>
      <w:bookmarkEnd w:id="85"/>
    </w:p>
    <w:p w14:paraId="51757337" w14:textId="77777777" w:rsidR="00CD2503" w:rsidRPr="0038045B" w:rsidRDefault="0004533F" w:rsidP="00C80F30">
      <w:pPr>
        <w:pStyle w:val="Body"/>
        <w:numPr>
          <w:ilvl w:val="0"/>
          <w:numId w:val="15"/>
        </w:numPr>
        <w:spacing w:after="200" w:line="276" w:lineRule="auto"/>
        <w:ind w:left="0" w:firstLine="0"/>
        <w:rPr>
          <w:lang w:val="en-US"/>
        </w:rPr>
      </w:pPr>
      <w:r w:rsidRPr="0038045B">
        <w:rPr>
          <w:lang w:val="en-US"/>
        </w:rPr>
        <w:t xml:space="preserve">For </w:t>
      </w:r>
      <w:r w:rsidR="00512750" w:rsidRPr="0038045B">
        <w:rPr>
          <w:lang w:val="en-US"/>
        </w:rPr>
        <w:t xml:space="preserve">the various payment instruments that are available with bank accounts, payment cards are the most widely used instrument, although </w:t>
      </w:r>
      <w:r w:rsidR="008F77E3" w:rsidRPr="0038045B">
        <w:rPr>
          <w:lang w:val="en-US"/>
        </w:rPr>
        <w:t>cash withdrawals using a payment card at the ATM are six times bigger than POS transactions</w:t>
      </w:r>
      <w:r w:rsidR="00512750" w:rsidRPr="0038045B">
        <w:rPr>
          <w:lang w:val="en-US"/>
        </w:rPr>
        <w:t xml:space="preserve">. When it comes to actual payments made, credit transfers initiated at the bank branch are still the most important instrument, although payments with cards at POS terminals with merchants have experienced a threefold increase in volume over the last 5 years. Electronic credit transfers have also increased significantly (for the detailed data see Table 2 in Section 2.3). </w:t>
      </w:r>
    </w:p>
    <w:p w14:paraId="21D1DDB3" w14:textId="77777777" w:rsidR="00E92A85" w:rsidRPr="0038045B" w:rsidRDefault="00BB45B6" w:rsidP="00BB45B6">
      <w:pPr>
        <w:pStyle w:val="Body"/>
        <w:numPr>
          <w:ilvl w:val="0"/>
          <w:numId w:val="15"/>
        </w:numPr>
        <w:spacing w:after="200" w:line="276" w:lineRule="auto"/>
        <w:ind w:left="0" w:firstLine="0"/>
        <w:rPr>
          <w:lang w:val="en-US"/>
        </w:rPr>
      </w:pPr>
      <w:r w:rsidRPr="0038045B">
        <w:rPr>
          <w:lang w:val="en-US"/>
        </w:rPr>
        <w:t>It is worth noting</w:t>
      </w:r>
      <w:r w:rsidR="00E92A85" w:rsidRPr="0038045B">
        <w:rPr>
          <w:lang w:val="en-US"/>
        </w:rPr>
        <w:t xml:space="preserve"> </w:t>
      </w:r>
      <w:r w:rsidR="0004533F" w:rsidRPr="0038045B">
        <w:rPr>
          <w:lang w:val="en-US"/>
        </w:rPr>
        <w:t xml:space="preserve">that </w:t>
      </w:r>
      <w:r w:rsidR="00E92A85" w:rsidRPr="0038045B">
        <w:rPr>
          <w:lang w:val="en-US"/>
        </w:rPr>
        <w:t>payments with card</w:t>
      </w:r>
      <w:r w:rsidR="0004533F" w:rsidRPr="0038045B">
        <w:rPr>
          <w:lang w:val="en-US"/>
        </w:rPr>
        <w:t>s</w:t>
      </w:r>
      <w:r w:rsidR="00E92A85" w:rsidRPr="0038045B">
        <w:rPr>
          <w:lang w:val="en-US"/>
        </w:rPr>
        <w:t xml:space="preserve"> at POS terminal</w:t>
      </w:r>
      <w:r w:rsidR="0004533F" w:rsidRPr="0038045B">
        <w:rPr>
          <w:lang w:val="en-US"/>
        </w:rPr>
        <w:t>s</w:t>
      </w:r>
      <w:r w:rsidR="00E92A85" w:rsidRPr="0038045B">
        <w:rPr>
          <w:lang w:val="en-US"/>
        </w:rPr>
        <w:t xml:space="preserve"> </w:t>
      </w:r>
      <w:r w:rsidR="00512750" w:rsidRPr="0038045B">
        <w:rPr>
          <w:lang w:val="en-US"/>
        </w:rPr>
        <w:t xml:space="preserve">are initiated almost exclusively by individuals, while in the case of credit transfers businesses have an important share, between 30-40% of the total. </w:t>
      </w:r>
      <w:r w:rsidR="00E92A85" w:rsidRPr="0038045B">
        <w:rPr>
          <w:lang w:val="en-US"/>
        </w:rPr>
        <w:t xml:space="preserve">This means that the </w:t>
      </w:r>
      <w:r w:rsidR="00ED1539" w:rsidRPr="0038045B">
        <w:rPr>
          <w:lang w:val="en-US"/>
        </w:rPr>
        <w:t xml:space="preserve">significant </w:t>
      </w:r>
      <w:r w:rsidR="00E92A85" w:rsidRPr="0038045B">
        <w:rPr>
          <w:lang w:val="en-US"/>
        </w:rPr>
        <w:t xml:space="preserve">increase </w:t>
      </w:r>
      <w:r w:rsidR="00ED1539" w:rsidRPr="0038045B">
        <w:rPr>
          <w:lang w:val="en-US"/>
        </w:rPr>
        <w:t xml:space="preserve">that has been observed </w:t>
      </w:r>
      <w:r w:rsidR="00E92A85" w:rsidRPr="0038045B">
        <w:rPr>
          <w:lang w:val="en-US"/>
        </w:rPr>
        <w:t xml:space="preserve">in card usage for payments </w:t>
      </w:r>
      <w:r w:rsidR="00ED1539" w:rsidRPr="0038045B">
        <w:rPr>
          <w:lang w:val="en-US"/>
        </w:rPr>
        <w:t xml:space="preserve">at POS terminals </w:t>
      </w:r>
      <w:r w:rsidR="00E92A85" w:rsidRPr="0038045B">
        <w:rPr>
          <w:lang w:val="en-US"/>
        </w:rPr>
        <w:t xml:space="preserve">has been driven by individuals. </w:t>
      </w:r>
      <w:r w:rsidR="00512750" w:rsidRPr="0038045B">
        <w:rPr>
          <w:lang w:val="en-US"/>
        </w:rPr>
        <w:t xml:space="preserve">It is not possible to </w:t>
      </w:r>
      <w:r w:rsidR="00E92A85" w:rsidRPr="0038045B">
        <w:rPr>
          <w:lang w:val="en-US"/>
        </w:rPr>
        <w:t>establish a trend in behavior for other payment instruments as BoA data only show</w:t>
      </w:r>
      <w:r w:rsidR="0004533F" w:rsidRPr="0038045B">
        <w:rPr>
          <w:lang w:val="en-US"/>
        </w:rPr>
        <w:t>s</w:t>
      </w:r>
      <w:r w:rsidR="00E92A85" w:rsidRPr="0038045B">
        <w:rPr>
          <w:lang w:val="en-US"/>
        </w:rPr>
        <w:t xml:space="preserve"> a break-up between individuals and businesses starting from 2014.</w:t>
      </w:r>
      <w:r w:rsidRPr="0038045B">
        <w:rPr>
          <w:lang w:val="en-US"/>
        </w:rPr>
        <w:t xml:space="preserve"> </w:t>
      </w:r>
      <w:r w:rsidR="003D4E58" w:rsidRPr="0038045B">
        <w:rPr>
          <w:lang w:val="en-US"/>
        </w:rPr>
        <w:t xml:space="preserve">According to BoA data, payments with e-money accounts reached </w:t>
      </w:r>
      <w:r w:rsidRPr="0038045B">
        <w:rPr>
          <w:lang w:val="en-US"/>
        </w:rPr>
        <w:t xml:space="preserve">205,200 transactions in 2015 – a 31% increase </w:t>
      </w:r>
      <w:r w:rsidRPr="0038045B">
        <w:rPr>
          <w:lang w:val="en-US"/>
        </w:rPr>
        <w:lastRenderedPageBreak/>
        <w:t>over the previous year</w:t>
      </w:r>
      <w:r w:rsidR="003D4E58" w:rsidRPr="0038045B">
        <w:rPr>
          <w:lang w:val="en-US"/>
        </w:rPr>
        <w:t>.</w:t>
      </w:r>
      <w:r w:rsidR="003D4E58" w:rsidRPr="0038045B">
        <w:rPr>
          <w:rStyle w:val="FootnoteReference"/>
          <w:lang w:val="en-US"/>
        </w:rPr>
        <w:footnoteReference w:id="66"/>
      </w:r>
    </w:p>
    <w:p w14:paraId="0B32D1E8" w14:textId="77777777" w:rsidR="00BB45B6" w:rsidRPr="0038045B" w:rsidRDefault="00BB45B6" w:rsidP="00BB45B6">
      <w:pPr>
        <w:pStyle w:val="Body"/>
        <w:numPr>
          <w:ilvl w:val="0"/>
          <w:numId w:val="15"/>
        </w:numPr>
        <w:spacing w:after="200" w:line="276" w:lineRule="auto"/>
        <w:ind w:left="0" w:firstLine="0"/>
        <w:rPr>
          <w:lang w:val="en-US"/>
        </w:rPr>
      </w:pPr>
      <w:r w:rsidRPr="0038045B">
        <w:rPr>
          <w:lang w:val="en-US"/>
        </w:rPr>
        <w:t>In total, as of end-2016</w:t>
      </w:r>
      <w:r w:rsidR="00E92A85" w:rsidRPr="0038045B">
        <w:rPr>
          <w:lang w:val="en-US"/>
        </w:rPr>
        <w:t xml:space="preserve"> the total number of cashless payments per capita in Albania was almost </w:t>
      </w:r>
      <w:r w:rsidRPr="0038045B">
        <w:rPr>
          <w:lang w:val="en-US"/>
        </w:rPr>
        <w:t xml:space="preserve">approximately </w:t>
      </w:r>
      <w:r w:rsidR="00E92A85" w:rsidRPr="0038045B">
        <w:rPr>
          <w:lang w:val="en-US"/>
        </w:rPr>
        <w:t>4</w:t>
      </w:r>
      <w:r w:rsidRPr="0038045B">
        <w:rPr>
          <w:lang w:val="en-US"/>
        </w:rPr>
        <w:t>.3</w:t>
      </w:r>
      <w:r w:rsidR="00776739" w:rsidRPr="0038045B">
        <w:rPr>
          <w:lang w:val="en-US"/>
        </w:rPr>
        <w:t xml:space="preserve">. This figure is </w:t>
      </w:r>
      <w:r w:rsidR="00E92A85" w:rsidRPr="0038045B">
        <w:rPr>
          <w:lang w:val="en-US" w:eastAsia="en-US"/>
        </w:rPr>
        <w:t xml:space="preserve">still far from other upper MICs and from developed economies. </w:t>
      </w:r>
    </w:p>
    <w:p w14:paraId="37AB5566" w14:textId="77777777" w:rsidR="00721C85" w:rsidRPr="0038045B" w:rsidRDefault="003508A7" w:rsidP="00BB45B6">
      <w:pPr>
        <w:pStyle w:val="Body"/>
        <w:numPr>
          <w:ilvl w:val="0"/>
          <w:numId w:val="15"/>
        </w:numPr>
        <w:spacing w:after="200" w:line="276" w:lineRule="auto"/>
        <w:ind w:left="0" w:firstLine="0"/>
        <w:rPr>
          <w:lang w:val="en-US"/>
        </w:rPr>
      </w:pPr>
      <w:r w:rsidRPr="0038045B">
        <w:rPr>
          <w:lang w:val="en-US" w:eastAsia="en-US"/>
        </w:rPr>
        <w:t xml:space="preserve">These numbers clearly indicate that </w:t>
      </w:r>
      <w:r w:rsidR="00E92A85" w:rsidRPr="0038045B">
        <w:rPr>
          <w:lang w:val="en-US" w:eastAsia="en-US"/>
        </w:rPr>
        <w:t xml:space="preserve">a large share of individuals </w:t>
      </w:r>
      <w:r w:rsidR="00776739" w:rsidRPr="0038045B">
        <w:rPr>
          <w:lang w:val="en-US" w:eastAsia="en-US"/>
        </w:rPr>
        <w:t xml:space="preserve">in Albania </w:t>
      </w:r>
      <w:r w:rsidR="00E92A85" w:rsidRPr="0038045B">
        <w:rPr>
          <w:lang w:val="en-US" w:eastAsia="en-US"/>
        </w:rPr>
        <w:t>still prefer to pay cash for their daily</w:t>
      </w:r>
      <w:r w:rsidRPr="0038045B">
        <w:rPr>
          <w:lang w:val="en-US" w:eastAsia="en-US"/>
        </w:rPr>
        <w:t xml:space="preserve">, </w:t>
      </w:r>
      <w:r w:rsidR="00E92A85" w:rsidRPr="0038045B">
        <w:rPr>
          <w:lang w:val="en-US" w:eastAsia="en-US"/>
        </w:rPr>
        <w:t>periodical</w:t>
      </w:r>
      <w:r w:rsidRPr="0038045B">
        <w:rPr>
          <w:lang w:val="en-US" w:eastAsia="en-US"/>
        </w:rPr>
        <w:t>/recurrent and one-time</w:t>
      </w:r>
      <w:r w:rsidR="00E92A85" w:rsidRPr="0038045B">
        <w:rPr>
          <w:lang w:val="en-US" w:eastAsia="en-US"/>
        </w:rPr>
        <w:t xml:space="preserve"> purchases. </w:t>
      </w:r>
      <w:r w:rsidR="00E55358" w:rsidRPr="0038045B">
        <w:rPr>
          <w:lang w:val="en-US" w:eastAsia="en-US"/>
        </w:rPr>
        <w:t>Some of the key reasons for this appear to be the higher cost (real or perceived) of having and using bank accounts in Albania</w:t>
      </w:r>
      <w:r w:rsidR="00ED1539" w:rsidRPr="0038045B">
        <w:rPr>
          <w:lang w:val="en-US" w:eastAsia="en-US"/>
        </w:rPr>
        <w:t>:</w:t>
      </w:r>
      <w:r w:rsidR="00E55358" w:rsidRPr="0038045B">
        <w:rPr>
          <w:lang w:val="en-US" w:eastAsia="en-US"/>
        </w:rPr>
        <w:t xml:space="preserve"> </w:t>
      </w:r>
      <w:r w:rsidR="00721C85" w:rsidRPr="0038045B">
        <w:rPr>
          <w:lang w:val="en-US" w:eastAsia="en-US"/>
        </w:rPr>
        <w:t xml:space="preserve">the still low penetration of payment cards and POS terminals in the country and especially outside </w:t>
      </w:r>
      <w:r w:rsidRPr="0038045B">
        <w:rPr>
          <w:lang w:val="en-US" w:eastAsia="en-US"/>
        </w:rPr>
        <w:t xml:space="preserve">the largest </w:t>
      </w:r>
      <w:r w:rsidR="00721C85" w:rsidRPr="0038045B">
        <w:rPr>
          <w:lang w:val="en-US" w:eastAsia="en-US"/>
        </w:rPr>
        <w:t>cities</w:t>
      </w:r>
      <w:r w:rsidR="00ED1539" w:rsidRPr="0038045B">
        <w:rPr>
          <w:lang w:val="en-US" w:eastAsia="en-US"/>
        </w:rPr>
        <w:t>;</w:t>
      </w:r>
      <w:r w:rsidR="00721C85" w:rsidRPr="0038045B">
        <w:rPr>
          <w:lang w:val="en-US" w:eastAsia="en-US"/>
        </w:rPr>
        <w:t xml:space="preserve"> the </w:t>
      </w:r>
      <w:r w:rsidRPr="0038045B">
        <w:rPr>
          <w:lang w:val="en-US" w:eastAsia="en-US"/>
        </w:rPr>
        <w:t xml:space="preserve">fact that e-money accounts were introduced only </w:t>
      </w:r>
      <w:r w:rsidR="00721C85" w:rsidRPr="0038045B">
        <w:rPr>
          <w:lang w:val="en-US" w:eastAsia="en-US"/>
        </w:rPr>
        <w:t>relatively recent</w:t>
      </w:r>
      <w:r w:rsidRPr="0038045B">
        <w:rPr>
          <w:lang w:val="en-US" w:eastAsia="en-US"/>
        </w:rPr>
        <w:t xml:space="preserve">ly </w:t>
      </w:r>
      <w:r w:rsidR="00721C85" w:rsidRPr="0038045B">
        <w:rPr>
          <w:lang w:val="en-US" w:eastAsia="en-US"/>
        </w:rPr>
        <w:t>(</w:t>
      </w:r>
      <w:r w:rsidRPr="0038045B">
        <w:rPr>
          <w:lang w:val="en-US" w:eastAsia="en-US"/>
        </w:rPr>
        <w:t xml:space="preserve">hence there is still limited </w:t>
      </w:r>
      <w:r w:rsidR="00E55358" w:rsidRPr="0038045B">
        <w:rPr>
          <w:lang w:val="en-US" w:eastAsia="en-US"/>
        </w:rPr>
        <w:t xml:space="preserve">awareness </w:t>
      </w:r>
      <w:r w:rsidRPr="0038045B">
        <w:rPr>
          <w:lang w:val="en-US" w:eastAsia="en-US"/>
        </w:rPr>
        <w:t>of this option</w:t>
      </w:r>
      <w:r w:rsidR="00721C85" w:rsidRPr="0038045B">
        <w:rPr>
          <w:lang w:val="en-US" w:eastAsia="en-US"/>
        </w:rPr>
        <w:t>)</w:t>
      </w:r>
      <w:r w:rsidR="00ED1539" w:rsidRPr="0038045B">
        <w:rPr>
          <w:lang w:val="en-US" w:eastAsia="en-US"/>
        </w:rPr>
        <w:t>;</w:t>
      </w:r>
      <w:r w:rsidR="00721C85" w:rsidRPr="0038045B">
        <w:rPr>
          <w:lang w:val="en-US" w:eastAsia="en-US"/>
        </w:rPr>
        <w:t xml:space="preserve"> and</w:t>
      </w:r>
      <w:r w:rsidR="00ED1539" w:rsidRPr="0038045B">
        <w:rPr>
          <w:lang w:val="en-US" w:eastAsia="en-US"/>
        </w:rPr>
        <w:t>,</w:t>
      </w:r>
      <w:r w:rsidR="00721C85" w:rsidRPr="0038045B">
        <w:rPr>
          <w:lang w:val="en-US" w:eastAsia="en-US"/>
        </w:rPr>
        <w:t xml:space="preserve"> the </w:t>
      </w:r>
      <w:r w:rsidR="00177987" w:rsidRPr="0038045B">
        <w:rPr>
          <w:lang w:val="en-US" w:eastAsia="en-US"/>
        </w:rPr>
        <w:t xml:space="preserve">expansion of walk-in bill payment services </w:t>
      </w:r>
      <w:r w:rsidR="00721C85" w:rsidRPr="0038045B">
        <w:rPr>
          <w:lang w:val="en-US" w:eastAsia="en-US"/>
        </w:rPr>
        <w:t xml:space="preserve">facilitated by some of the </w:t>
      </w:r>
      <w:r w:rsidR="00177987" w:rsidRPr="0038045B">
        <w:rPr>
          <w:lang w:val="en-US" w:eastAsia="en-US"/>
        </w:rPr>
        <w:t xml:space="preserve">licensed </w:t>
      </w:r>
      <w:r w:rsidR="00721C85" w:rsidRPr="0038045B">
        <w:rPr>
          <w:lang w:val="en-US" w:eastAsia="en-US"/>
        </w:rPr>
        <w:t>NBFIs that provide payment services</w:t>
      </w:r>
      <w:r w:rsidR="00804A7B" w:rsidRPr="0038045B">
        <w:rPr>
          <w:lang w:val="en-US" w:eastAsia="en-US"/>
        </w:rPr>
        <w:t xml:space="preserve">. </w:t>
      </w:r>
    </w:p>
    <w:p w14:paraId="42F7F2A9" w14:textId="77777777" w:rsidR="00E92A85" w:rsidRPr="0038045B" w:rsidRDefault="00721C85" w:rsidP="00C80F30">
      <w:pPr>
        <w:pStyle w:val="Body"/>
        <w:numPr>
          <w:ilvl w:val="0"/>
          <w:numId w:val="15"/>
        </w:numPr>
        <w:spacing w:after="200" w:line="276" w:lineRule="auto"/>
        <w:ind w:left="0" w:firstLine="0"/>
        <w:rPr>
          <w:lang w:val="en-US"/>
        </w:rPr>
      </w:pPr>
      <w:r w:rsidRPr="0038045B">
        <w:rPr>
          <w:lang w:val="en-US" w:eastAsia="en-US"/>
        </w:rPr>
        <w:t xml:space="preserve">In this last regard, EasyPay, Financial Union Tirana and AK Invest </w:t>
      </w:r>
      <w:r w:rsidR="00E92A85" w:rsidRPr="0038045B">
        <w:rPr>
          <w:lang w:val="en-US" w:eastAsia="en-US"/>
        </w:rPr>
        <w:t xml:space="preserve">have been able to develop </w:t>
      </w:r>
      <w:r w:rsidR="00E55358" w:rsidRPr="0038045B">
        <w:rPr>
          <w:lang w:val="en-US" w:eastAsia="en-US"/>
        </w:rPr>
        <w:t xml:space="preserve">networks of physical agents that receive payments in cash from walk-in customers, and have </w:t>
      </w:r>
      <w:r w:rsidRPr="0038045B">
        <w:rPr>
          <w:lang w:val="en-US" w:eastAsia="en-US"/>
        </w:rPr>
        <w:t xml:space="preserve">therefore </w:t>
      </w:r>
      <w:r w:rsidR="00E55358" w:rsidRPr="0038045B">
        <w:rPr>
          <w:lang w:val="en-US" w:eastAsia="en-US"/>
        </w:rPr>
        <w:t>become a</w:t>
      </w:r>
      <w:r w:rsidR="00E92A85" w:rsidRPr="0038045B">
        <w:rPr>
          <w:lang w:val="en-US" w:eastAsia="en-US"/>
        </w:rPr>
        <w:t xml:space="preserve"> convenient one-stop </w:t>
      </w:r>
      <w:r w:rsidRPr="0038045B">
        <w:rPr>
          <w:lang w:val="en-US" w:eastAsia="en-US"/>
        </w:rPr>
        <w:t xml:space="preserve">for many individuals that wish </w:t>
      </w:r>
      <w:r w:rsidR="00E92A85" w:rsidRPr="0038045B">
        <w:rPr>
          <w:lang w:val="en-US" w:eastAsia="en-US"/>
        </w:rPr>
        <w:t xml:space="preserve">to pay for utilities and other periodical services (e.g. pay </w:t>
      </w:r>
      <w:r w:rsidR="00776739" w:rsidRPr="0038045B">
        <w:rPr>
          <w:lang w:val="en-US" w:eastAsia="en-US"/>
        </w:rPr>
        <w:t>TV</w:t>
      </w:r>
      <w:r w:rsidR="00E92A85" w:rsidRPr="0038045B">
        <w:rPr>
          <w:lang w:val="en-US" w:eastAsia="en-US"/>
        </w:rPr>
        <w:t>, mobile</w:t>
      </w:r>
      <w:r w:rsidR="00177987" w:rsidRPr="0038045B">
        <w:rPr>
          <w:lang w:val="en-US" w:eastAsia="en-US"/>
        </w:rPr>
        <w:t xml:space="preserve"> telephony</w:t>
      </w:r>
      <w:r w:rsidR="00E92A85" w:rsidRPr="0038045B">
        <w:rPr>
          <w:lang w:val="en-US" w:eastAsia="en-US"/>
        </w:rPr>
        <w:t xml:space="preserve">, etc.). </w:t>
      </w:r>
      <w:r w:rsidR="00EF7EB3" w:rsidRPr="0038045B">
        <w:rPr>
          <w:lang w:val="en-US" w:eastAsia="en-US"/>
        </w:rPr>
        <w:t>Albania Post</w:t>
      </w:r>
      <w:r w:rsidRPr="0038045B">
        <w:rPr>
          <w:lang w:val="en-US" w:eastAsia="en-US"/>
        </w:rPr>
        <w:t xml:space="preserve"> also provides a similar service through its own branch network</w:t>
      </w:r>
      <w:r w:rsidR="00E55358" w:rsidRPr="0038045B">
        <w:rPr>
          <w:lang w:val="en-US" w:eastAsia="en-US"/>
        </w:rPr>
        <w:t xml:space="preserve">. </w:t>
      </w:r>
      <w:r w:rsidRPr="0038045B">
        <w:rPr>
          <w:lang w:val="en-US" w:eastAsia="en-US"/>
        </w:rPr>
        <w:t>EasyPay provides these cash payment services in addition to its e-money services,</w:t>
      </w:r>
      <w:r w:rsidRPr="0038045B">
        <w:rPr>
          <w:rStyle w:val="FootnoteReference"/>
          <w:lang w:val="en-US" w:eastAsia="en-US"/>
        </w:rPr>
        <w:footnoteReference w:id="67"/>
      </w:r>
      <w:r w:rsidRPr="0038045B">
        <w:rPr>
          <w:lang w:val="en-US" w:eastAsia="en-US"/>
        </w:rPr>
        <w:t xml:space="preserve"> while the other NBFIs accept </w:t>
      </w:r>
      <w:r w:rsidR="00E55358" w:rsidRPr="0038045B">
        <w:rPr>
          <w:lang w:val="en-US" w:eastAsia="en-US"/>
        </w:rPr>
        <w:t>bill payments in cash only.</w:t>
      </w:r>
      <w:r w:rsidRPr="0038045B">
        <w:rPr>
          <w:lang w:val="en-US" w:eastAsia="en-US"/>
        </w:rPr>
        <w:t xml:space="preserve"> </w:t>
      </w:r>
      <w:r w:rsidR="00E46402" w:rsidRPr="0038045B">
        <w:rPr>
          <w:lang w:val="en-US" w:eastAsia="en-US"/>
        </w:rPr>
        <w:t xml:space="preserve">In terms of </w:t>
      </w:r>
      <w:r w:rsidR="00C468D5" w:rsidRPr="0038045B">
        <w:rPr>
          <w:lang w:val="en-US" w:eastAsia="en-US"/>
        </w:rPr>
        <w:t xml:space="preserve">the </w:t>
      </w:r>
      <w:r w:rsidR="00C468D5" w:rsidRPr="0038045B">
        <w:rPr>
          <w:i/>
          <w:lang w:val="en-US" w:eastAsia="en-US"/>
        </w:rPr>
        <w:t>direct</w:t>
      </w:r>
      <w:r w:rsidR="00C468D5" w:rsidRPr="0038045B">
        <w:rPr>
          <w:lang w:val="en-US" w:eastAsia="en-US"/>
        </w:rPr>
        <w:t xml:space="preserve"> </w:t>
      </w:r>
      <w:r w:rsidR="00E46402" w:rsidRPr="0038045B">
        <w:rPr>
          <w:lang w:val="en-US" w:eastAsia="en-US"/>
        </w:rPr>
        <w:t>costs to the end-customer,</w:t>
      </w:r>
      <w:r w:rsidR="00C468D5" w:rsidRPr="0038045B">
        <w:rPr>
          <w:rStyle w:val="FootnoteReference"/>
          <w:lang w:val="en-US" w:eastAsia="en-US"/>
        </w:rPr>
        <w:footnoteReference w:id="68"/>
      </w:r>
      <w:r w:rsidR="00E46402" w:rsidRPr="0038045B">
        <w:rPr>
          <w:lang w:val="en-US" w:eastAsia="en-US"/>
        </w:rPr>
        <w:t xml:space="preserve"> paying bills and other services in cash is not more expensive </w:t>
      </w:r>
      <w:r w:rsidR="00C468D5" w:rsidRPr="0038045B">
        <w:rPr>
          <w:lang w:val="en-US" w:eastAsia="en-US"/>
        </w:rPr>
        <w:t xml:space="preserve">in Albania </w:t>
      </w:r>
      <w:r w:rsidR="00E46402" w:rsidRPr="0038045B">
        <w:rPr>
          <w:lang w:val="en-US" w:eastAsia="en-US"/>
        </w:rPr>
        <w:t xml:space="preserve">than paying through accounts. </w:t>
      </w:r>
      <w:r w:rsidR="00804A7B" w:rsidRPr="0038045B">
        <w:rPr>
          <w:lang w:val="en-US" w:eastAsia="en-US"/>
        </w:rPr>
        <w:t>Additional details on these and other access points are provided in section 4.2 of this report.</w:t>
      </w:r>
    </w:p>
    <w:p w14:paraId="3D25179C" w14:textId="77777777" w:rsidR="00CD2503" w:rsidRPr="0038045B" w:rsidRDefault="00CD2503" w:rsidP="00CD2503">
      <w:pPr>
        <w:keepNext/>
        <w:spacing w:before="360" w:after="200" w:line="276" w:lineRule="auto"/>
        <w:jc w:val="both"/>
        <w:rPr>
          <w:b/>
          <w:i/>
          <w:szCs w:val="24"/>
          <w:lang w:eastAsia="en-US"/>
        </w:rPr>
      </w:pPr>
      <w:r w:rsidRPr="0038045B">
        <w:rPr>
          <w:b/>
          <w:i/>
          <w:szCs w:val="24"/>
          <w:lang w:eastAsia="en-US"/>
        </w:rPr>
        <w:t>Observations and recommendations</w:t>
      </w:r>
    </w:p>
    <w:p w14:paraId="530789D2" w14:textId="77777777" w:rsidR="00ED1539" w:rsidRPr="0038045B" w:rsidRDefault="00C468D5" w:rsidP="00647F62">
      <w:pPr>
        <w:pStyle w:val="Body"/>
        <w:numPr>
          <w:ilvl w:val="0"/>
          <w:numId w:val="15"/>
        </w:numPr>
        <w:spacing w:after="120" w:line="276" w:lineRule="auto"/>
        <w:ind w:left="0" w:firstLine="0"/>
        <w:rPr>
          <w:i/>
          <w:lang w:val="en-US"/>
        </w:rPr>
      </w:pPr>
      <w:r w:rsidRPr="0038045B">
        <w:rPr>
          <w:i/>
          <w:lang w:val="en-US"/>
        </w:rPr>
        <w:t xml:space="preserve">The BoA and the banking industry should reconsider the existing </w:t>
      </w:r>
      <w:r w:rsidR="00721C85" w:rsidRPr="0038045B">
        <w:rPr>
          <w:i/>
          <w:lang w:val="en-US"/>
        </w:rPr>
        <w:t>pricing structure</w:t>
      </w:r>
      <w:r w:rsidRPr="0038045B">
        <w:rPr>
          <w:i/>
          <w:lang w:val="en-US"/>
        </w:rPr>
        <w:t xml:space="preserve"> for current accounts</w:t>
      </w:r>
      <w:r w:rsidR="005025E1" w:rsidRPr="0038045B">
        <w:rPr>
          <w:i/>
          <w:lang w:val="en-US"/>
        </w:rPr>
        <w:t>. This is because</w:t>
      </w:r>
      <w:r w:rsidR="00647F62" w:rsidRPr="0038045B">
        <w:rPr>
          <w:i/>
          <w:lang w:val="en-US"/>
        </w:rPr>
        <w:t xml:space="preserve">, regardless of price </w:t>
      </w:r>
      <w:r w:rsidR="00647F62" w:rsidRPr="0038045B">
        <w:rPr>
          <w:i/>
          <w:u w:val="single"/>
          <w:lang w:val="en-US"/>
        </w:rPr>
        <w:t>levels</w:t>
      </w:r>
      <w:r w:rsidR="00647F62" w:rsidRPr="0038045B">
        <w:rPr>
          <w:i/>
          <w:lang w:val="en-US"/>
        </w:rPr>
        <w:t>,</w:t>
      </w:r>
      <w:r w:rsidR="005025E1" w:rsidRPr="0038045B">
        <w:rPr>
          <w:i/>
          <w:lang w:val="en-US"/>
        </w:rPr>
        <w:t xml:space="preserve"> upfront costs</w:t>
      </w:r>
      <w:r w:rsidR="00647F62" w:rsidRPr="0038045B">
        <w:rPr>
          <w:i/>
          <w:lang w:val="en-US"/>
        </w:rPr>
        <w:t xml:space="preserve"> for opening a bank account </w:t>
      </w:r>
      <w:r w:rsidR="005025E1" w:rsidRPr="0038045B">
        <w:rPr>
          <w:i/>
          <w:lang w:val="en-US"/>
        </w:rPr>
        <w:t xml:space="preserve">and </w:t>
      </w:r>
      <w:r w:rsidR="00647F62" w:rsidRPr="0038045B">
        <w:rPr>
          <w:i/>
          <w:lang w:val="en-US"/>
        </w:rPr>
        <w:t xml:space="preserve">mandatory monthly/annual maintenance fees are perceived by customers as key negative elements of having an account, especially as those charges are independent of the actual usage of the account or </w:t>
      </w:r>
      <w:r w:rsidR="00ED1539" w:rsidRPr="0038045B">
        <w:rPr>
          <w:i/>
          <w:lang w:val="en-US"/>
        </w:rPr>
        <w:t xml:space="preserve">regardless of whether </w:t>
      </w:r>
      <w:r w:rsidR="00647F62" w:rsidRPr="0038045B">
        <w:rPr>
          <w:i/>
          <w:lang w:val="en-US"/>
        </w:rPr>
        <w:t xml:space="preserve">a customer </w:t>
      </w:r>
      <w:r w:rsidR="00ED1539" w:rsidRPr="0038045B">
        <w:rPr>
          <w:i/>
          <w:lang w:val="en-US"/>
        </w:rPr>
        <w:t xml:space="preserve">is using </w:t>
      </w:r>
      <w:r w:rsidR="00647F62" w:rsidRPr="0038045B">
        <w:rPr>
          <w:i/>
          <w:lang w:val="en-US"/>
        </w:rPr>
        <w:t xml:space="preserve">those </w:t>
      </w:r>
      <w:r w:rsidR="00ED1539" w:rsidRPr="0038045B">
        <w:rPr>
          <w:i/>
          <w:lang w:val="en-US"/>
        </w:rPr>
        <w:t xml:space="preserve">instruments and </w:t>
      </w:r>
      <w:r w:rsidR="00647F62" w:rsidRPr="0038045B">
        <w:rPr>
          <w:i/>
          <w:lang w:val="en-US"/>
        </w:rPr>
        <w:t>channels that are less costly for the bank.</w:t>
      </w:r>
      <w:r w:rsidR="00E46402" w:rsidRPr="0038045B">
        <w:rPr>
          <w:i/>
          <w:lang w:val="en-US"/>
        </w:rPr>
        <w:t xml:space="preserve"> </w:t>
      </w:r>
    </w:p>
    <w:p w14:paraId="633F286F" w14:textId="77777777" w:rsidR="00647F62" w:rsidRPr="0038045B" w:rsidRDefault="00647F62" w:rsidP="00647F62">
      <w:pPr>
        <w:pStyle w:val="Body"/>
        <w:numPr>
          <w:ilvl w:val="0"/>
          <w:numId w:val="15"/>
        </w:numPr>
        <w:spacing w:after="120" w:line="276" w:lineRule="auto"/>
        <w:ind w:left="0" w:firstLine="0"/>
        <w:rPr>
          <w:i/>
          <w:lang w:val="en-US"/>
        </w:rPr>
      </w:pPr>
      <w:r w:rsidRPr="0038045B">
        <w:rPr>
          <w:i/>
          <w:lang w:val="en-US"/>
        </w:rPr>
        <w:t xml:space="preserve">In designing a new pricing structure, </w:t>
      </w:r>
      <w:r w:rsidR="005E0D6F" w:rsidRPr="0038045B">
        <w:rPr>
          <w:i/>
          <w:lang w:val="en-US"/>
        </w:rPr>
        <w:t xml:space="preserve">some </w:t>
      </w:r>
      <w:r w:rsidRPr="0038045B">
        <w:rPr>
          <w:i/>
          <w:lang w:val="en-US"/>
        </w:rPr>
        <w:t>of the premises to be considered are:</w:t>
      </w:r>
    </w:p>
    <w:p w14:paraId="08FF20CA" w14:textId="77777777" w:rsidR="00647F62" w:rsidRPr="0038045B" w:rsidRDefault="00647F62" w:rsidP="00647F62">
      <w:pPr>
        <w:pStyle w:val="Body"/>
        <w:numPr>
          <w:ilvl w:val="0"/>
          <w:numId w:val="36"/>
        </w:numPr>
        <w:spacing w:line="276" w:lineRule="auto"/>
        <w:rPr>
          <w:i/>
          <w:lang w:val="en-US"/>
        </w:rPr>
      </w:pPr>
      <w:r w:rsidRPr="0038045B">
        <w:rPr>
          <w:i/>
          <w:lang w:val="en-US"/>
        </w:rPr>
        <w:t>F</w:t>
      </w:r>
      <w:r w:rsidR="00E46402" w:rsidRPr="0038045B">
        <w:rPr>
          <w:i/>
          <w:lang w:val="en-US"/>
        </w:rPr>
        <w:t>ully electronic payment</w:t>
      </w:r>
      <w:r w:rsidRPr="0038045B">
        <w:rPr>
          <w:i/>
          <w:lang w:val="en-US"/>
        </w:rPr>
        <w:t xml:space="preserve"> alternatives </w:t>
      </w:r>
      <w:r w:rsidR="00E46402" w:rsidRPr="0038045B">
        <w:rPr>
          <w:i/>
          <w:lang w:val="en-US"/>
        </w:rPr>
        <w:t xml:space="preserve">should be less costly </w:t>
      </w:r>
      <w:r w:rsidRPr="0038045B">
        <w:rPr>
          <w:i/>
          <w:lang w:val="en-US"/>
        </w:rPr>
        <w:t xml:space="preserve">for accountholders </w:t>
      </w:r>
      <w:r w:rsidR="00E46402" w:rsidRPr="0038045B">
        <w:rPr>
          <w:i/>
          <w:lang w:val="en-US"/>
        </w:rPr>
        <w:t>than those made in cash, or those that involve cash at some point</w:t>
      </w:r>
      <w:r w:rsidR="005E0D6F" w:rsidRPr="0038045B">
        <w:rPr>
          <w:i/>
          <w:lang w:val="en-US"/>
        </w:rPr>
        <w:t xml:space="preserve"> in the transaction cycle</w:t>
      </w:r>
    </w:p>
    <w:p w14:paraId="3E999F87" w14:textId="77777777" w:rsidR="00647F62" w:rsidRPr="0038045B" w:rsidRDefault="00647F62" w:rsidP="00647F62">
      <w:pPr>
        <w:pStyle w:val="Body"/>
        <w:numPr>
          <w:ilvl w:val="0"/>
          <w:numId w:val="36"/>
        </w:numPr>
        <w:spacing w:line="276" w:lineRule="auto"/>
        <w:rPr>
          <w:i/>
          <w:lang w:val="en-US"/>
        </w:rPr>
      </w:pPr>
      <w:r w:rsidRPr="0038045B">
        <w:rPr>
          <w:i/>
          <w:lang w:val="en-US"/>
        </w:rPr>
        <w:lastRenderedPageBreak/>
        <w:t xml:space="preserve">To the extent possible, </w:t>
      </w:r>
      <w:r w:rsidR="002F01BB" w:rsidRPr="0038045B">
        <w:rPr>
          <w:i/>
          <w:lang w:val="en-US"/>
        </w:rPr>
        <w:t xml:space="preserve">accountholders </w:t>
      </w:r>
      <w:r w:rsidRPr="0038045B">
        <w:rPr>
          <w:i/>
          <w:lang w:val="en-US"/>
        </w:rPr>
        <w:t>should be charged on the basis of the</w:t>
      </w:r>
      <w:r w:rsidR="002F01BB" w:rsidRPr="0038045B">
        <w:rPr>
          <w:i/>
          <w:lang w:val="en-US"/>
        </w:rPr>
        <w:t xml:space="preserve"> intensity with which they use their account and the payment instruments and channels chosen</w:t>
      </w:r>
    </w:p>
    <w:p w14:paraId="2689D616" w14:textId="77777777" w:rsidR="00E46402" w:rsidRPr="0038045B" w:rsidRDefault="002F01BB" w:rsidP="00647F62">
      <w:pPr>
        <w:pStyle w:val="Body"/>
        <w:numPr>
          <w:ilvl w:val="0"/>
          <w:numId w:val="36"/>
        </w:numPr>
        <w:spacing w:after="200" w:line="276" w:lineRule="auto"/>
        <w:rPr>
          <w:i/>
          <w:lang w:val="en-US"/>
        </w:rPr>
      </w:pPr>
      <w:r w:rsidRPr="0038045B">
        <w:rPr>
          <w:i/>
          <w:lang w:val="en-US"/>
        </w:rPr>
        <w:t xml:space="preserve">It is desirable that accountholders maintain funds in their accounts in order to reduce cash in circulation and increase the total amount funds that may be transferred electronically throughout the Albanian banking system. Accountholders </w:t>
      </w:r>
      <w:r w:rsidR="00E46402" w:rsidRPr="0038045B">
        <w:rPr>
          <w:i/>
          <w:lang w:val="en-US"/>
        </w:rPr>
        <w:t>should have a</w:t>
      </w:r>
      <w:r w:rsidRPr="0038045B">
        <w:rPr>
          <w:i/>
          <w:lang w:val="en-US"/>
        </w:rPr>
        <w:t xml:space="preserve"> clear </w:t>
      </w:r>
      <w:r w:rsidR="00E46402" w:rsidRPr="0038045B">
        <w:rPr>
          <w:i/>
          <w:lang w:val="en-US"/>
        </w:rPr>
        <w:t xml:space="preserve">incentive to </w:t>
      </w:r>
      <w:r w:rsidRPr="0038045B">
        <w:rPr>
          <w:i/>
          <w:lang w:val="en-US"/>
        </w:rPr>
        <w:t>do this</w:t>
      </w:r>
      <w:r w:rsidR="00ED1539" w:rsidRPr="0038045B">
        <w:rPr>
          <w:i/>
          <w:lang w:val="en-US"/>
        </w:rPr>
        <w:t>,</w:t>
      </w:r>
      <w:r w:rsidRPr="0038045B">
        <w:rPr>
          <w:i/>
          <w:lang w:val="en-US"/>
        </w:rPr>
        <w:t xml:space="preserve"> or </w:t>
      </w:r>
      <w:r w:rsidR="00E46402" w:rsidRPr="0038045B">
        <w:rPr>
          <w:i/>
          <w:lang w:val="en-US"/>
        </w:rPr>
        <w:t xml:space="preserve">be “rewarded” for </w:t>
      </w:r>
      <w:r w:rsidRPr="0038045B">
        <w:rPr>
          <w:i/>
          <w:lang w:val="en-US"/>
        </w:rPr>
        <w:t xml:space="preserve">it. One way in which this could be implemented </w:t>
      </w:r>
      <w:r w:rsidR="005E0D6F" w:rsidRPr="0038045B">
        <w:rPr>
          <w:i/>
          <w:lang w:val="en-US"/>
        </w:rPr>
        <w:t xml:space="preserve">is by </w:t>
      </w:r>
      <w:r w:rsidRPr="0038045B">
        <w:rPr>
          <w:i/>
          <w:lang w:val="en-US"/>
        </w:rPr>
        <w:t xml:space="preserve">banks </w:t>
      </w:r>
      <w:r w:rsidR="005E0D6F" w:rsidRPr="0038045B">
        <w:rPr>
          <w:i/>
          <w:lang w:val="en-US"/>
        </w:rPr>
        <w:t xml:space="preserve">exempting accountholders from the </w:t>
      </w:r>
      <w:r w:rsidR="00E46402" w:rsidRPr="0038045B">
        <w:rPr>
          <w:i/>
          <w:lang w:val="en-US"/>
        </w:rPr>
        <w:t xml:space="preserve">account maintenance fee </w:t>
      </w:r>
      <w:r w:rsidR="005E0D6F" w:rsidRPr="0038045B">
        <w:rPr>
          <w:i/>
          <w:lang w:val="en-US"/>
        </w:rPr>
        <w:t xml:space="preserve">whenever they </w:t>
      </w:r>
      <w:r w:rsidR="00E46402" w:rsidRPr="0038045B">
        <w:rPr>
          <w:i/>
          <w:lang w:val="en-US"/>
        </w:rPr>
        <w:t xml:space="preserve">keep a certain minimum </w:t>
      </w:r>
      <w:r w:rsidR="005E0D6F" w:rsidRPr="0038045B">
        <w:rPr>
          <w:i/>
          <w:lang w:val="en-US"/>
        </w:rPr>
        <w:t>average balance.</w:t>
      </w:r>
      <w:r w:rsidR="005E0D6F" w:rsidRPr="0038045B">
        <w:rPr>
          <w:rStyle w:val="FootnoteReference"/>
          <w:i/>
          <w:lang w:val="en-US"/>
        </w:rPr>
        <w:footnoteReference w:id="69"/>
      </w:r>
    </w:p>
    <w:p w14:paraId="10E6CDE1" w14:textId="77777777" w:rsidR="00FF4438" w:rsidRPr="0038045B" w:rsidRDefault="005E0D6F" w:rsidP="00D371F2">
      <w:pPr>
        <w:pStyle w:val="Body"/>
        <w:numPr>
          <w:ilvl w:val="0"/>
          <w:numId w:val="15"/>
        </w:numPr>
        <w:spacing w:after="200" w:line="276" w:lineRule="auto"/>
        <w:ind w:left="0" w:firstLine="0"/>
        <w:rPr>
          <w:i/>
          <w:lang w:val="en-US"/>
        </w:rPr>
      </w:pPr>
      <w:r w:rsidRPr="0038045B">
        <w:rPr>
          <w:i/>
          <w:lang w:val="en-US"/>
        </w:rPr>
        <w:t xml:space="preserve">The banking system should consider </w:t>
      </w:r>
      <w:r w:rsidR="00700811" w:rsidRPr="0038045B">
        <w:rPr>
          <w:i/>
          <w:lang w:val="en-US"/>
        </w:rPr>
        <w:t xml:space="preserve">designing and </w:t>
      </w:r>
      <w:r w:rsidRPr="0038045B">
        <w:rPr>
          <w:i/>
          <w:lang w:val="en-US"/>
        </w:rPr>
        <w:t xml:space="preserve">offering a special current account product </w:t>
      </w:r>
      <w:r w:rsidR="00E46402" w:rsidRPr="0038045B">
        <w:rPr>
          <w:i/>
          <w:lang w:val="en-US"/>
        </w:rPr>
        <w:t xml:space="preserve">for </w:t>
      </w:r>
      <w:r w:rsidRPr="0038045B">
        <w:rPr>
          <w:i/>
          <w:lang w:val="en-US"/>
        </w:rPr>
        <w:t xml:space="preserve">currently </w:t>
      </w:r>
      <w:r w:rsidR="00E46402" w:rsidRPr="0038045B">
        <w:rPr>
          <w:i/>
          <w:lang w:val="en-US"/>
        </w:rPr>
        <w:t>unbanked customers</w:t>
      </w:r>
      <w:r w:rsidRPr="0038045B">
        <w:rPr>
          <w:i/>
          <w:lang w:val="en-US"/>
        </w:rPr>
        <w:t xml:space="preserve">. </w:t>
      </w:r>
      <w:r w:rsidR="00700811" w:rsidRPr="0038045B">
        <w:rPr>
          <w:i/>
          <w:lang w:val="en-US"/>
        </w:rPr>
        <w:t>Such a product</w:t>
      </w:r>
      <w:r w:rsidR="00C626B7" w:rsidRPr="0038045B">
        <w:rPr>
          <w:i/>
          <w:lang w:val="en-US"/>
        </w:rPr>
        <w:t xml:space="preserve">, often known as a “basic account”, </w:t>
      </w:r>
      <w:r w:rsidR="007447F1" w:rsidRPr="0038045B">
        <w:rPr>
          <w:i/>
          <w:lang w:val="en-US"/>
        </w:rPr>
        <w:t xml:space="preserve">has been launched </w:t>
      </w:r>
      <w:r w:rsidR="00700811" w:rsidRPr="0038045B">
        <w:rPr>
          <w:i/>
          <w:lang w:val="en-US"/>
        </w:rPr>
        <w:t xml:space="preserve">in </w:t>
      </w:r>
      <w:r w:rsidR="00C626B7" w:rsidRPr="0038045B">
        <w:rPr>
          <w:i/>
          <w:lang w:val="en-US"/>
        </w:rPr>
        <w:t xml:space="preserve">many </w:t>
      </w:r>
      <w:r w:rsidR="00700811" w:rsidRPr="0038045B">
        <w:rPr>
          <w:i/>
          <w:lang w:val="en-US"/>
        </w:rPr>
        <w:t>jurisdiction</w:t>
      </w:r>
      <w:r w:rsidR="00C626B7" w:rsidRPr="0038045B">
        <w:rPr>
          <w:i/>
          <w:lang w:val="en-US"/>
        </w:rPr>
        <w:t xml:space="preserve">s and is being used as an alternative to advance access to </w:t>
      </w:r>
      <w:r w:rsidR="00FF4438" w:rsidRPr="0038045B">
        <w:rPr>
          <w:i/>
          <w:lang w:val="en-US"/>
        </w:rPr>
        <w:t xml:space="preserve">current/transaction </w:t>
      </w:r>
      <w:r w:rsidR="00C626B7" w:rsidRPr="0038045B">
        <w:rPr>
          <w:i/>
          <w:lang w:val="en-US"/>
        </w:rPr>
        <w:t>accounts</w:t>
      </w:r>
      <w:r w:rsidR="00700811" w:rsidRPr="0038045B">
        <w:rPr>
          <w:i/>
          <w:lang w:val="en-US"/>
        </w:rPr>
        <w:t>.</w:t>
      </w:r>
      <w:r w:rsidR="00C626B7" w:rsidRPr="0038045B">
        <w:rPr>
          <w:vertAlign w:val="superscript"/>
        </w:rPr>
        <w:footnoteReference w:id="70"/>
      </w:r>
      <w:r w:rsidR="00C626B7" w:rsidRPr="0038045B">
        <w:rPr>
          <w:i/>
          <w:lang w:val="en-US"/>
        </w:rPr>
        <w:t xml:space="preserve"> </w:t>
      </w:r>
      <w:r w:rsidR="007447F1" w:rsidRPr="0038045B">
        <w:rPr>
          <w:i/>
          <w:lang w:val="en-US"/>
        </w:rPr>
        <w:t xml:space="preserve">In Albania, this </w:t>
      </w:r>
      <w:r w:rsidR="00FF4438" w:rsidRPr="0038045B">
        <w:rPr>
          <w:i/>
          <w:lang w:val="en-US"/>
        </w:rPr>
        <w:t xml:space="preserve">space has been filled to some extent by the NBFIs licensed as e-money issuers. However, the banking system could also play an important role given its capacity to facilitate </w:t>
      </w:r>
      <w:r w:rsidR="00ED1539" w:rsidRPr="0038045B">
        <w:rPr>
          <w:i/>
          <w:lang w:val="en-US"/>
        </w:rPr>
        <w:t xml:space="preserve">that </w:t>
      </w:r>
      <w:r w:rsidR="00FF4438" w:rsidRPr="0038045B">
        <w:rPr>
          <w:i/>
          <w:lang w:val="en-US"/>
        </w:rPr>
        <w:t xml:space="preserve">accountholders also </w:t>
      </w:r>
      <w:r w:rsidR="00ED1539" w:rsidRPr="0038045B">
        <w:rPr>
          <w:i/>
          <w:lang w:val="en-US"/>
        </w:rPr>
        <w:t xml:space="preserve">gain </w:t>
      </w:r>
      <w:r w:rsidR="00FF4438" w:rsidRPr="0038045B">
        <w:rPr>
          <w:i/>
          <w:lang w:val="en-US"/>
        </w:rPr>
        <w:t>access to a broader set of financial services such as credit, savings or investments.</w:t>
      </w:r>
    </w:p>
    <w:p w14:paraId="0174F9F3" w14:textId="77777777" w:rsidR="00CD2503" w:rsidRPr="0038045B" w:rsidRDefault="007447F1" w:rsidP="00D371F2">
      <w:pPr>
        <w:pStyle w:val="Body"/>
        <w:numPr>
          <w:ilvl w:val="0"/>
          <w:numId w:val="15"/>
        </w:numPr>
        <w:spacing w:after="200" w:line="276" w:lineRule="auto"/>
        <w:ind w:left="0" w:firstLine="0"/>
        <w:rPr>
          <w:i/>
          <w:lang w:val="en-US"/>
        </w:rPr>
      </w:pPr>
      <w:r w:rsidRPr="0038045B">
        <w:rPr>
          <w:i/>
          <w:lang w:val="en-US"/>
        </w:rPr>
        <w:t xml:space="preserve">At a minimum, </w:t>
      </w:r>
      <w:r w:rsidR="00FF4438" w:rsidRPr="0038045B">
        <w:rPr>
          <w:i/>
          <w:lang w:val="en-US"/>
        </w:rPr>
        <w:t>these “</w:t>
      </w:r>
      <w:r w:rsidRPr="0038045B">
        <w:rPr>
          <w:i/>
          <w:lang w:val="en-US"/>
        </w:rPr>
        <w:t>b</w:t>
      </w:r>
      <w:r w:rsidR="00863D73" w:rsidRPr="0038045B">
        <w:rPr>
          <w:i/>
          <w:lang w:val="en-US"/>
        </w:rPr>
        <w:t>asic</w:t>
      </w:r>
      <w:r w:rsidR="00FF4438" w:rsidRPr="0038045B">
        <w:rPr>
          <w:i/>
          <w:lang w:val="en-US"/>
        </w:rPr>
        <w:t>”</w:t>
      </w:r>
      <w:r w:rsidR="00863D73" w:rsidRPr="0038045B">
        <w:rPr>
          <w:i/>
          <w:lang w:val="en-US"/>
        </w:rPr>
        <w:t xml:space="preserve"> </w:t>
      </w:r>
      <w:r w:rsidR="00FF4438" w:rsidRPr="0038045B">
        <w:rPr>
          <w:i/>
          <w:lang w:val="en-US"/>
        </w:rPr>
        <w:t xml:space="preserve">bank </w:t>
      </w:r>
      <w:r w:rsidR="00863D73" w:rsidRPr="0038045B">
        <w:rPr>
          <w:i/>
          <w:lang w:val="en-US"/>
        </w:rPr>
        <w:t>account</w:t>
      </w:r>
      <w:r w:rsidRPr="0038045B">
        <w:rPr>
          <w:i/>
          <w:lang w:val="en-US"/>
        </w:rPr>
        <w:t>s</w:t>
      </w:r>
      <w:r w:rsidR="00863D73" w:rsidRPr="0038045B">
        <w:rPr>
          <w:i/>
          <w:lang w:val="en-US"/>
        </w:rPr>
        <w:t xml:space="preserve"> should</w:t>
      </w:r>
      <w:r w:rsidRPr="0038045B">
        <w:rPr>
          <w:i/>
          <w:lang w:val="en-US"/>
        </w:rPr>
        <w:t xml:space="preserve"> make it possible for the target population to store value safely and to send and receive payments electronically at little or no cost. In this last regard, </w:t>
      </w:r>
      <w:r w:rsidR="00720594" w:rsidRPr="0038045B">
        <w:rPr>
          <w:i/>
          <w:lang w:val="en-US"/>
        </w:rPr>
        <w:t>a</w:t>
      </w:r>
      <w:r w:rsidR="00863D73" w:rsidRPr="0038045B">
        <w:rPr>
          <w:i/>
          <w:lang w:val="en-US"/>
        </w:rPr>
        <w:t xml:space="preserve"> PAFI survey </w:t>
      </w:r>
      <w:r w:rsidR="00720594" w:rsidRPr="0038045B">
        <w:rPr>
          <w:i/>
          <w:lang w:val="en-US"/>
        </w:rPr>
        <w:t xml:space="preserve">(see </w:t>
      </w:r>
      <w:r w:rsidR="00863D73" w:rsidRPr="0038045B">
        <w:rPr>
          <w:i/>
          <w:lang w:val="en-US"/>
        </w:rPr>
        <w:t>annex 4</w:t>
      </w:r>
      <w:r w:rsidR="00720594" w:rsidRPr="0038045B">
        <w:rPr>
          <w:i/>
          <w:lang w:val="en-US"/>
        </w:rPr>
        <w:t>)</w:t>
      </w:r>
      <w:r w:rsidR="00863D73" w:rsidRPr="0038045B">
        <w:rPr>
          <w:i/>
          <w:lang w:val="en-US"/>
        </w:rPr>
        <w:t xml:space="preserve"> showed that in some countries basic accounts are offered without any associated fees, but often have a requirement for a minimum balance. In other countries, basic accounts do involve fees, although such fees </w:t>
      </w:r>
      <w:r w:rsidR="00720594" w:rsidRPr="0038045B">
        <w:rPr>
          <w:i/>
          <w:lang w:val="en-US"/>
        </w:rPr>
        <w:t>tend to be very</w:t>
      </w:r>
      <w:r w:rsidR="00863D73" w:rsidRPr="0038045B">
        <w:rPr>
          <w:i/>
          <w:lang w:val="en-US"/>
        </w:rPr>
        <w:t xml:space="preserve"> low. I</w:t>
      </w:r>
      <w:r w:rsidR="00720594" w:rsidRPr="0038045B">
        <w:rPr>
          <w:i/>
          <w:lang w:val="en-US"/>
        </w:rPr>
        <w:t>t should be noted that i</w:t>
      </w:r>
      <w:r w:rsidR="00863D73" w:rsidRPr="0038045B">
        <w:rPr>
          <w:i/>
          <w:lang w:val="en-US"/>
        </w:rPr>
        <w:t xml:space="preserve">n the case of poor individuals, requiring a minimum balance may not be </w:t>
      </w:r>
      <w:r w:rsidR="00720594" w:rsidRPr="0038045B">
        <w:rPr>
          <w:i/>
          <w:lang w:val="en-US"/>
        </w:rPr>
        <w:t>vi</w:t>
      </w:r>
      <w:r w:rsidR="00863D73" w:rsidRPr="0038045B">
        <w:rPr>
          <w:i/>
          <w:lang w:val="en-US"/>
        </w:rPr>
        <w:t xml:space="preserve">able; these </w:t>
      </w:r>
      <w:r w:rsidR="006718E8" w:rsidRPr="0038045B">
        <w:rPr>
          <w:i/>
          <w:lang w:val="en-US"/>
        </w:rPr>
        <w:t>individuals v</w:t>
      </w:r>
      <w:r w:rsidR="00C626B7" w:rsidRPr="0038045B">
        <w:rPr>
          <w:i/>
          <w:lang w:val="en-US"/>
        </w:rPr>
        <w:t xml:space="preserve">ery often prefer a “pay-as-you-go” pricing model </w:t>
      </w:r>
      <w:r w:rsidR="006718E8" w:rsidRPr="0038045B">
        <w:rPr>
          <w:i/>
          <w:lang w:val="en-US"/>
        </w:rPr>
        <w:t xml:space="preserve">by which they are </w:t>
      </w:r>
      <w:r w:rsidR="00E46402" w:rsidRPr="0038045B">
        <w:rPr>
          <w:i/>
          <w:lang w:val="en-US"/>
        </w:rPr>
        <w:t xml:space="preserve">charged </w:t>
      </w:r>
      <w:r w:rsidR="006718E8" w:rsidRPr="0038045B">
        <w:rPr>
          <w:i/>
          <w:lang w:val="en-US"/>
        </w:rPr>
        <w:t xml:space="preserve">for the </w:t>
      </w:r>
      <w:r w:rsidR="00863D73" w:rsidRPr="0038045B">
        <w:rPr>
          <w:i/>
          <w:lang w:val="en-US"/>
        </w:rPr>
        <w:t xml:space="preserve">individual </w:t>
      </w:r>
      <w:r w:rsidR="006718E8" w:rsidRPr="0038045B">
        <w:rPr>
          <w:i/>
          <w:lang w:val="en-US"/>
        </w:rPr>
        <w:t>transactions they perform</w:t>
      </w:r>
      <w:r w:rsidR="00863D73" w:rsidRPr="0038045B">
        <w:rPr>
          <w:i/>
          <w:lang w:val="en-US"/>
        </w:rPr>
        <w:t>, as they perform them.</w:t>
      </w:r>
    </w:p>
    <w:p w14:paraId="7FA57E25" w14:textId="77777777" w:rsidR="009468FD" w:rsidRPr="0038045B" w:rsidRDefault="00FF4438" w:rsidP="001214CB">
      <w:pPr>
        <w:pStyle w:val="Body"/>
        <w:numPr>
          <w:ilvl w:val="0"/>
          <w:numId w:val="15"/>
        </w:numPr>
        <w:spacing w:after="200" w:line="276" w:lineRule="auto"/>
        <w:ind w:left="0" w:firstLine="0"/>
        <w:rPr>
          <w:i/>
          <w:lang w:val="en-US"/>
        </w:rPr>
      </w:pPr>
      <w:r w:rsidRPr="0038045B">
        <w:rPr>
          <w:i/>
          <w:lang w:val="en-US"/>
        </w:rPr>
        <w:t xml:space="preserve">In any </w:t>
      </w:r>
      <w:r w:rsidR="00496C51" w:rsidRPr="0038045B">
        <w:rPr>
          <w:i/>
          <w:lang w:val="en-US"/>
        </w:rPr>
        <w:t>event</w:t>
      </w:r>
      <w:r w:rsidRPr="0038045B">
        <w:rPr>
          <w:i/>
          <w:lang w:val="en-US"/>
        </w:rPr>
        <w:t>, t</w:t>
      </w:r>
      <w:r w:rsidR="007447F1" w:rsidRPr="0038045B">
        <w:rPr>
          <w:i/>
          <w:lang w:val="en-US"/>
        </w:rPr>
        <w:t xml:space="preserve">o be truly useful all transaction/current accounts should be able to accommodate the key transaction and store-of-value needs and habits </w:t>
      </w:r>
      <w:r w:rsidRPr="0038045B">
        <w:rPr>
          <w:i/>
          <w:lang w:val="en-US"/>
        </w:rPr>
        <w:t xml:space="preserve">of their respective </w:t>
      </w:r>
      <w:r w:rsidR="007447F1" w:rsidRPr="0038045B">
        <w:rPr>
          <w:i/>
          <w:lang w:val="en-US"/>
        </w:rPr>
        <w:t>target population</w:t>
      </w:r>
      <w:r w:rsidRPr="0038045B">
        <w:rPr>
          <w:i/>
          <w:lang w:val="en-US"/>
        </w:rPr>
        <w:t>s.</w:t>
      </w:r>
      <w:r w:rsidR="007447F1" w:rsidRPr="0038045B">
        <w:rPr>
          <w:i/>
          <w:lang w:val="en-US"/>
        </w:rPr>
        <w:t xml:space="preserve"> </w:t>
      </w:r>
      <w:r w:rsidR="00F71F3A" w:rsidRPr="0038045B">
        <w:rPr>
          <w:i/>
          <w:lang w:val="en-US"/>
        </w:rPr>
        <w:t>This naturally include</w:t>
      </w:r>
      <w:r w:rsidR="00967307" w:rsidRPr="0038045B">
        <w:rPr>
          <w:i/>
          <w:lang w:val="en-US"/>
        </w:rPr>
        <w:t>s</w:t>
      </w:r>
      <w:r w:rsidR="00F71F3A" w:rsidRPr="0038045B">
        <w:rPr>
          <w:i/>
          <w:lang w:val="en-US"/>
        </w:rPr>
        <w:t xml:space="preserve"> being able to transfer funds and pay electronically to as many parties as possible, although with a </w:t>
      </w:r>
      <w:r w:rsidR="00967307" w:rsidRPr="0038045B">
        <w:rPr>
          <w:i/>
          <w:lang w:val="en-US"/>
        </w:rPr>
        <w:t>strong</w:t>
      </w:r>
      <w:r w:rsidR="00F71F3A" w:rsidRPr="0038045B">
        <w:rPr>
          <w:i/>
          <w:lang w:val="en-US"/>
        </w:rPr>
        <w:t xml:space="preserve"> focus on those parties with which accountholders transact regularly for routine issues. In </w:t>
      </w:r>
      <w:r w:rsidR="00967307" w:rsidRPr="0038045B">
        <w:rPr>
          <w:i/>
          <w:lang w:val="en-US"/>
        </w:rPr>
        <w:t xml:space="preserve">this regard, </w:t>
      </w:r>
      <w:r w:rsidR="00F71F3A" w:rsidRPr="0038045B">
        <w:rPr>
          <w:i/>
          <w:lang w:val="en-US"/>
        </w:rPr>
        <w:t xml:space="preserve">one aspect that </w:t>
      </w:r>
      <w:r w:rsidR="00967307" w:rsidRPr="0038045B">
        <w:rPr>
          <w:i/>
          <w:lang w:val="en-US"/>
        </w:rPr>
        <w:t>w</w:t>
      </w:r>
      <w:r w:rsidR="000718E2" w:rsidRPr="0038045B">
        <w:rPr>
          <w:i/>
          <w:lang w:val="en-US"/>
        </w:rPr>
        <w:t xml:space="preserve">ould increase </w:t>
      </w:r>
      <w:r w:rsidR="00F71F3A" w:rsidRPr="0038045B">
        <w:rPr>
          <w:i/>
          <w:lang w:val="en-US"/>
        </w:rPr>
        <w:t xml:space="preserve">the </w:t>
      </w:r>
      <w:r w:rsidR="000718E2" w:rsidRPr="0038045B">
        <w:rPr>
          <w:i/>
          <w:lang w:val="en-US"/>
        </w:rPr>
        <w:t xml:space="preserve">usefulness of accounts </w:t>
      </w:r>
      <w:r w:rsidR="00967307" w:rsidRPr="0038045B">
        <w:rPr>
          <w:i/>
          <w:lang w:val="en-US"/>
        </w:rPr>
        <w:t xml:space="preserve">in Albania </w:t>
      </w:r>
      <w:r w:rsidR="000718E2" w:rsidRPr="0038045B">
        <w:rPr>
          <w:i/>
          <w:lang w:val="en-US"/>
        </w:rPr>
        <w:t>would be to achieve interoperability between the banking system and e-money issuers, as well as among e-money issuers themselves</w:t>
      </w:r>
      <w:r w:rsidR="00496C51" w:rsidRPr="0038045B">
        <w:rPr>
          <w:i/>
          <w:lang w:val="en-US"/>
        </w:rPr>
        <w:t>.</w:t>
      </w:r>
    </w:p>
    <w:p w14:paraId="0AE54B5B" w14:textId="77777777" w:rsidR="00A0709D" w:rsidRPr="0038045B" w:rsidRDefault="00A0709D" w:rsidP="00A0709D">
      <w:pPr>
        <w:pStyle w:val="Heading2"/>
        <w:spacing w:before="360" w:after="240"/>
        <w:rPr>
          <w:b/>
          <w:sz w:val="24"/>
          <w:szCs w:val="24"/>
          <w:u w:val="none"/>
        </w:rPr>
      </w:pPr>
      <w:bookmarkStart w:id="86" w:name="_Ref441571412"/>
      <w:bookmarkStart w:id="87" w:name="_Ref441575332"/>
      <w:bookmarkStart w:id="88" w:name="_Ref441575338"/>
      <w:bookmarkStart w:id="89" w:name="_Toc476239727"/>
      <w:r w:rsidRPr="0038045B">
        <w:rPr>
          <w:b/>
          <w:sz w:val="24"/>
          <w:szCs w:val="24"/>
          <w:u w:val="none"/>
        </w:rPr>
        <w:t>Readily available access points</w:t>
      </w:r>
      <w:bookmarkEnd w:id="86"/>
      <w:bookmarkEnd w:id="87"/>
      <w:bookmarkEnd w:id="88"/>
      <w:r w:rsidR="005161C7" w:rsidRPr="0038045B">
        <w:rPr>
          <w:b/>
          <w:sz w:val="24"/>
          <w:szCs w:val="24"/>
          <w:u w:val="none"/>
        </w:rPr>
        <w:t xml:space="preserve"> and access channels</w:t>
      </w:r>
      <w:bookmarkEnd w:id="89"/>
    </w:p>
    <w:p w14:paraId="19888F18" w14:textId="77777777" w:rsidR="00517ED2" w:rsidRPr="0038045B" w:rsidRDefault="00517ED2" w:rsidP="00037D58">
      <w:pPr>
        <w:pStyle w:val="Body"/>
        <w:numPr>
          <w:ilvl w:val="0"/>
          <w:numId w:val="15"/>
        </w:numPr>
        <w:spacing w:after="200" w:line="276" w:lineRule="auto"/>
        <w:ind w:left="0" w:firstLine="0"/>
        <w:rPr>
          <w:lang w:val="en-US"/>
        </w:rPr>
      </w:pPr>
      <w:r w:rsidRPr="0038045B">
        <w:rPr>
          <w:lang w:val="en-US"/>
        </w:rPr>
        <w:t xml:space="preserve">As stated in the CPMI-WBG PAFI report, the success of retail payment services </w:t>
      </w:r>
      <w:r w:rsidRPr="0038045B">
        <w:rPr>
          <w:lang w:val="en-US"/>
        </w:rPr>
        <w:lastRenderedPageBreak/>
        <w:t>depends critically on the availability (including physical proximity), quality and reliability of customer service and access points. Customer payment behavior is especially sensitive to the density of access points in close proximity to their home or work place. Limited access to physical access points may reduce the probability that a transaction account or a payment instrument are adopted.</w:t>
      </w:r>
      <w:r w:rsidR="008F5758" w:rsidRPr="0038045B">
        <w:rPr>
          <w:lang w:val="en-US"/>
        </w:rPr>
        <w:t xml:space="preserve"> </w:t>
      </w:r>
    </w:p>
    <w:p w14:paraId="26E64591" w14:textId="77777777" w:rsidR="008F5758" w:rsidRPr="0038045B" w:rsidRDefault="00517ED2" w:rsidP="00EF3147">
      <w:pPr>
        <w:pStyle w:val="Body"/>
        <w:numPr>
          <w:ilvl w:val="0"/>
          <w:numId w:val="15"/>
        </w:numPr>
        <w:spacing w:after="200" w:line="276" w:lineRule="auto"/>
        <w:ind w:left="0" w:firstLine="0"/>
        <w:rPr>
          <w:lang w:val="en-US"/>
        </w:rPr>
      </w:pPr>
      <w:r w:rsidRPr="0038045B">
        <w:rPr>
          <w:lang w:val="en-US"/>
        </w:rPr>
        <w:t xml:space="preserve">From a customer perspective, it is important to differentiate between those access points to be visited for the initial opening of a transaction account and/or the acquiring of specific payment instruments, and those access points utilized for the regular use of the transaction account and/or a specific payment instrument. </w:t>
      </w:r>
      <w:r w:rsidR="00A92948" w:rsidRPr="0038045B">
        <w:rPr>
          <w:lang w:val="en-US"/>
        </w:rPr>
        <w:t>Both topics are discussed below.</w:t>
      </w:r>
      <w:r w:rsidRPr="0038045B">
        <w:rPr>
          <w:lang w:val="en-US"/>
        </w:rPr>
        <w:t xml:space="preserve"> </w:t>
      </w:r>
    </w:p>
    <w:p w14:paraId="6B0787D7" w14:textId="77777777" w:rsidR="004E4F6E" w:rsidRPr="0038045B" w:rsidRDefault="004E4F6E" w:rsidP="004E4F6E">
      <w:pPr>
        <w:pStyle w:val="Heading3"/>
        <w:spacing w:before="480" w:after="240"/>
        <w:rPr>
          <w:b w:val="0"/>
          <w:i/>
        </w:rPr>
      </w:pPr>
      <w:bookmarkStart w:id="90" w:name="_Toc476239728"/>
      <w:r w:rsidRPr="0038045B">
        <w:rPr>
          <w:b w:val="0"/>
          <w:i/>
        </w:rPr>
        <w:t>Bank branches, ATMs and POS devices/terminals</w:t>
      </w:r>
      <w:bookmarkEnd w:id="90"/>
    </w:p>
    <w:p w14:paraId="1AF33DD7" w14:textId="77777777" w:rsidR="00F574A3" w:rsidRPr="0038045B" w:rsidRDefault="00824CF8" w:rsidP="000370A0">
      <w:pPr>
        <w:pStyle w:val="Body"/>
        <w:numPr>
          <w:ilvl w:val="0"/>
          <w:numId w:val="15"/>
        </w:numPr>
        <w:spacing w:before="120" w:after="120" w:line="276" w:lineRule="auto"/>
        <w:ind w:left="0" w:firstLine="0"/>
        <w:rPr>
          <w:lang w:val="en-US" w:eastAsia="en-US"/>
        </w:rPr>
      </w:pPr>
      <w:r w:rsidRPr="0038045B">
        <w:rPr>
          <w:lang w:val="en-US"/>
        </w:rPr>
        <w:t xml:space="preserve">Table 5 shows some basic data on ATMs and POS terminals in Albania. </w:t>
      </w:r>
      <w:r w:rsidR="003C348A" w:rsidRPr="0038045B">
        <w:rPr>
          <w:lang w:val="en-US"/>
        </w:rPr>
        <w:t>ATMs a</w:t>
      </w:r>
      <w:r w:rsidR="003C348A" w:rsidRPr="0038045B">
        <w:rPr>
          <w:lang w:val="en-US" w:eastAsia="en-US"/>
        </w:rPr>
        <w:t xml:space="preserve">re used almost exclusively for cash withdrawals, as only about 15% of the total number of ATMs offer funds transfers functionalities. </w:t>
      </w:r>
      <w:r w:rsidR="00F574A3" w:rsidRPr="0038045B">
        <w:rPr>
          <w:lang w:val="en-US" w:eastAsia="en-US"/>
        </w:rPr>
        <w:t>Over the 2010-2016 period, the number of ATMs expanded at a rate of less than 1% per year on average. In turn, the expansion in the number of POS terminals averaged more than 7% per year.  POS terminals are used almost exclusively for card payments to merchants</w:t>
      </w:r>
      <w:r w:rsidR="00E47BF8" w:rsidRPr="0038045B">
        <w:rPr>
          <w:lang w:val="en-US" w:eastAsia="en-US"/>
        </w:rPr>
        <w:t>, though r</w:t>
      </w:r>
      <w:r w:rsidR="00F574A3" w:rsidRPr="0038045B">
        <w:rPr>
          <w:lang w:val="en-US" w:eastAsia="en-US"/>
        </w:rPr>
        <w:t>ecently some banks introduc</w:t>
      </w:r>
      <w:r w:rsidR="00E47BF8" w:rsidRPr="0038045B">
        <w:rPr>
          <w:lang w:val="en-US" w:eastAsia="en-US"/>
        </w:rPr>
        <w:t>ed</w:t>
      </w:r>
      <w:r w:rsidR="00F574A3" w:rsidRPr="0038045B">
        <w:rPr>
          <w:lang w:val="en-US" w:eastAsia="en-US"/>
        </w:rPr>
        <w:t xml:space="preserve"> cash</w:t>
      </w:r>
      <w:r w:rsidR="007F650A" w:rsidRPr="0038045B">
        <w:rPr>
          <w:lang w:val="en-US" w:eastAsia="en-US"/>
        </w:rPr>
        <w:t>back service</w:t>
      </w:r>
      <w:r w:rsidR="00F574A3" w:rsidRPr="0038045B">
        <w:rPr>
          <w:lang w:val="en-US" w:eastAsia="en-US"/>
        </w:rPr>
        <w:t>s.</w:t>
      </w:r>
      <w:r w:rsidR="00F574A3" w:rsidRPr="0038045B">
        <w:rPr>
          <w:rStyle w:val="FootnoteReference"/>
          <w:lang w:val="en-US" w:eastAsia="en-US"/>
        </w:rPr>
        <w:footnoteReference w:id="71"/>
      </w:r>
      <w:r w:rsidR="00F574A3" w:rsidRPr="0038045B">
        <w:rPr>
          <w:lang w:val="en-US" w:eastAsia="en-US"/>
        </w:rPr>
        <w:t xml:space="preserve"> </w:t>
      </w:r>
    </w:p>
    <w:p w14:paraId="009828F7" w14:textId="77777777" w:rsidR="00824CF8" w:rsidRPr="0038045B" w:rsidRDefault="00824CF8" w:rsidP="00073D7B">
      <w:pPr>
        <w:pStyle w:val="Body"/>
        <w:spacing w:before="120" w:after="120" w:line="276" w:lineRule="auto"/>
        <w:ind w:firstLine="0"/>
        <w:jc w:val="center"/>
        <w:rPr>
          <w:b/>
          <w:lang w:val="en-US"/>
        </w:rPr>
      </w:pPr>
      <w:r w:rsidRPr="0038045B">
        <w:rPr>
          <w:b/>
          <w:lang w:val="en-US"/>
        </w:rPr>
        <w:t xml:space="preserve">Table 5: ATMs and POS terminals in Albania </w:t>
      </w:r>
      <w:r w:rsidR="00073D7B" w:rsidRPr="0038045B">
        <w:rPr>
          <w:b/>
          <w:lang w:val="en-US"/>
        </w:rPr>
        <w:t>(</w:t>
      </w:r>
      <w:r w:rsidRPr="0038045B">
        <w:rPr>
          <w:b/>
          <w:lang w:val="en-US"/>
        </w:rPr>
        <w:t>2016)</w:t>
      </w:r>
    </w:p>
    <w:tbl>
      <w:tblPr>
        <w:tblStyle w:val="TableGrid"/>
        <w:tblW w:w="5958" w:type="dxa"/>
        <w:jc w:val="center"/>
        <w:tblLook w:val="04A0" w:firstRow="1" w:lastRow="0" w:firstColumn="1" w:lastColumn="0" w:noHBand="0" w:noVBand="1"/>
      </w:tblPr>
      <w:tblGrid>
        <w:gridCol w:w="4788"/>
        <w:gridCol w:w="1170"/>
      </w:tblGrid>
      <w:tr w:rsidR="00073D7B" w:rsidRPr="0038045B" w14:paraId="1D1E4D21" w14:textId="77777777" w:rsidTr="00F208FE">
        <w:trPr>
          <w:trHeight w:val="300"/>
          <w:jc w:val="center"/>
        </w:trPr>
        <w:tc>
          <w:tcPr>
            <w:tcW w:w="4788" w:type="dxa"/>
            <w:tcBorders>
              <w:top w:val="single" w:sz="4" w:space="0" w:color="auto"/>
              <w:left w:val="single" w:sz="4" w:space="0" w:color="auto"/>
              <w:bottom w:val="nil"/>
              <w:right w:val="single" w:sz="4" w:space="0" w:color="auto"/>
            </w:tcBorders>
            <w:shd w:val="clear" w:color="auto" w:fill="C6D9F1" w:themeFill="text2" w:themeFillTint="33"/>
            <w:noWrap/>
          </w:tcPr>
          <w:p w14:paraId="6868469F" w14:textId="77777777" w:rsidR="00073D7B" w:rsidRPr="0038045B" w:rsidRDefault="00073D7B" w:rsidP="00073D7B">
            <w:pPr>
              <w:spacing w:after="120"/>
              <w:rPr>
                <w:b/>
                <w:sz w:val="22"/>
                <w:szCs w:val="22"/>
              </w:rPr>
            </w:pPr>
            <w:r w:rsidRPr="0038045B">
              <w:rPr>
                <w:b/>
                <w:sz w:val="22"/>
                <w:szCs w:val="22"/>
              </w:rPr>
              <w:t xml:space="preserve">Automated Teller Machines (ATM ) </w:t>
            </w:r>
          </w:p>
        </w:tc>
        <w:tc>
          <w:tcPr>
            <w:tcW w:w="1170" w:type="dxa"/>
            <w:tcBorders>
              <w:top w:val="single" w:sz="4" w:space="0" w:color="auto"/>
              <w:left w:val="single" w:sz="4" w:space="0" w:color="auto"/>
              <w:bottom w:val="nil"/>
              <w:right w:val="single" w:sz="4" w:space="0" w:color="auto"/>
            </w:tcBorders>
            <w:shd w:val="clear" w:color="auto" w:fill="C6D9F1" w:themeFill="text2" w:themeFillTint="33"/>
          </w:tcPr>
          <w:p w14:paraId="036A3921" w14:textId="77777777" w:rsidR="00073D7B" w:rsidRPr="0038045B" w:rsidRDefault="00073D7B" w:rsidP="00073D7B">
            <w:pPr>
              <w:spacing w:after="120"/>
              <w:rPr>
                <w:b/>
                <w:sz w:val="22"/>
                <w:szCs w:val="22"/>
              </w:rPr>
            </w:pPr>
            <w:r w:rsidRPr="0038045B">
              <w:rPr>
                <w:b/>
                <w:sz w:val="22"/>
                <w:szCs w:val="22"/>
              </w:rPr>
              <w:t>800</w:t>
            </w:r>
          </w:p>
        </w:tc>
      </w:tr>
      <w:tr w:rsidR="00073D7B" w:rsidRPr="0038045B" w14:paraId="777733D4" w14:textId="77777777" w:rsidTr="00F208FE">
        <w:trPr>
          <w:trHeight w:val="300"/>
          <w:jc w:val="center"/>
        </w:trPr>
        <w:tc>
          <w:tcPr>
            <w:tcW w:w="4788" w:type="dxa"/>
            <w:tcBorders>
              <w:top w:val="single" w:sz="4" w:space="0" w:color="auto"/>
              <w:left w:val="single" w:sz="4" w:space="0" w:color="auto"/>
              <w:bottom w:val="nil"/>
              <w:right w:val="single" w:sz="4" w:space="0" w:color="auto"/>
            </w:tcBorders>
            <w:noWrap/>
          </w:tcPr>
          <w:p w14:paraId="2E81AFEC" w14:textId="77777777" w:rsidR="00073D7B" w:rsidRPr="0038045B" w:rsidRDefault="00073D7B" w:rsidP="00073D7B">
            <w:pPr>
              <w:rPr>
                <w:b/>
                <w:bCs/>
                <w:sz w:val="22"/>
                <w:szCs w:val="22"/>
              </w:rPr>
            </w:pPr>
            <w:r w:rsidRPr="0038045B">
              <w:rPr>
                <w:sz w:val="22"/>
                <w:szCs w:val="22"/>
              </w:rPr>
              <w:t xml:space="preserve">of which: </w:t>
            </w:r>
          </w:p>
        </w:tc>
        <w:tc>
          <w:tcPr>
            <w:tcW w:w="1170" w:type="dxa"/>
            <w:tcBorders>
              <w:top w:val="single" w:sz="4" w:space="0" w:color="auto"/>
              <w:left w:val="single" w:sz="4" w:space="0" w:color="auto"/>
              <w:bottom w:val="nil"/>
              <w:right w:val="single" w:sz="4" w:space="0" w:color="auto"/>
            </w:tcBorders>
          </w:tcPr>
          <w:p w14:paraId="4046CEC5" w14:textId="77777777" w:rsidR="00073D7B" w:rsidRPr="0038045B" w:rsidRDefault="00073D7B" w:rsidP="00073D7B">
            <w:pPr>
              <w:rPr>
                <w:b/>
                <w:sz w:val="22"/>
                <w:szCs w:val="22"/>
              </w:rPr>
            </w:pPr>
            <w:r w:rsidRPr="0038045B">
              <w:rPr>
                <w:sz w:val="22"/>
                <w:szCs w:val="22"/>
              </w:rPr>
              <w:t xml:space="preserve"> </w:t>
            </w:r>
          </w:p>
        </w:tc>
      </w:tr>
      <w:tr w:rsidR="00073D7B" w:rsidRPr="0038045B" w14:paraId="6CB2D23E" w14:textId="77777777" w:rsidTr="00F208FE">
        <w:trPr>
          <w:trHeight w:val="300"/>
          <w:jc w:val="center"/>
        </w:trPr>
        <w:tc>
          <w:tcPr>
            <w:tcW w:w="4788" w:type="dxa"/>
            <w:tcBorders>
              <w:top w:val="nil"/>
              <w:left w:val="single" w:sz="4" w:space="0" w:color="auto"/>
              <w:bottom w:val="nil"/>
              <w:right w:val="single" w:sz="4" w:space="0" w:color="auto"/>
            </w:tcBorders>
            <w:noWrap/>
          </w:tcPr>
          <w:p w14:paraId="330C4B2C" w14:textId="77777777" w:rsidR="00073D7B" w:rsidRPr="0038045B" w:rsidRDefault="00073D7B" w:rsidP="00073D7B">
            <w:pPr>
              <w:rPr>
                <w:sz w:val="22"/>
                <w:szCs w:val="22"/>
              </w:rPr>
            </w:pPr>
            <w:r w:rsidRPr="0038045B">
              <w:rPr>
                <w:sz w:val="22"/>
                <w:szCs w:val="22"/>
              </w:rPr>
              <w:t xml:space="preserve">ATM with cash withdrawals function </w:t>
            </w:r>
          </w:p>
        </w:tc>
        <w:tc>
          <w:tcPr>
            <w:tcW w:w="1170" w:type="dxa"/>
            <w:tcBorders>
              <w:top w:val="nil"/>
              <w:left w:val="single" w:sz="4" w:space="0" w:color="auto"/>
              <w:bottom w:val="nil"/>
              <w:right w:val="single" w:sz="4" w:space="0" w:color="auto"/>
            </w:tcBorders>
          </w:tcPr>
          <w:p w14:paraId="79AC93E6" w14:textId="77777777" w:rsidR="00073D7B" w:rsidRPr="0038045B" w:rsidRDefault="00073D7B" w:rsidP="00073D7B">
            <w:pPr>
              <w:rPr>
                <w:sz w:val="22"/>
                <w:szCs w:val="22"/>
              </w:rPr>
            </w:pPr>
            <w:r w:rsidRPr="0038045B">
              <w:rPr>
                <w:sz w:val="22"/>
                <w:szCs w:val="22"/>
              </w:rPr>
              <w:t>776</w:t>
            </w:r>
          </w:p>
        </w:tc>
      </w:tr>
      <w:tr w:rsidR="00073D7B" w:rsidRPr="0038045B" w14:paraId="3ED3B366" w14:textId="77777777" w:rsidTr="00F208FE">
        <w:trPr>
          <w:trHeight w:val="300"/>
          <w:jc w:val="center"/>
        </w:trPr>
        <w:tc>
          <w:tcPr>
            <w:tcW w:w="4788" w:type="dxa"/>
            <w:tcBorders>
              <w:top w:val="nil"/>
              <w:left w:val="single" w:sz="4" w:space="0" w:color="auto"/>
              <w:bottom w:val="nil"/>
              <w:right w:val="single" w:sz="4" w:space="0" w:color="auto"/>
            </w:tcBorders>
            <w:noWrap/>
          </w:tcPr>
          <w:p w14:paraId="23387FBF" w14:textId="77777777" w:rsidR="00073D7B" w:rsidRPr="0038045B" w:rsidRDefault="00073D7B" w:rsidP="00073D7B">
            <w:pPr>
              <w:rPr>
                <w:sz w:val="22"/>
                <w:szCs w:val="22"/>
              </w:rPr>
            </w:pPr>
            <w:r w:rsidRPr="0038045B">
              <w:rPr>
                <w:sz w:val="22"/>
                <w:szCs w:val="22"/>
              </w:rPr>
              <w:t xml:space="preserve">ATM with credit transfer function </w:t>
            </w:r>
          </w:p>
        </w:tc>
        <w:tc>
          <w:tcPr>
            <w:tcW w:w="1170" w:type="dxa"/>
            <w:tcBorders>
              <w:top w:val="nil"/>
              <w:left w:val="single" w:sz="4" w:space="0" w:color="auto"/>
              <w:bottom w:val="nil"/>
              <w:right w:val="single" w:sz="4" w:space="0" w:color="auto"/>
            </w:tcBorders>
          </w:tcPr>
          <w:p w14:paraId="49899987" w14:textId="77777777" w:rsidR="00073D7B" w:rsidRPr="0038045B" w:rsidRDefault="00073D7B" w:rsidP="00073D7B">
            <w:pPr>
              <w:rPr>
                <w:sz w:val="22"/>
                <w:szCs w:val="22"/>
              </w:rPr>
            </w:pPr>
            <w:r w:rsidRPr="0038045B">
              <w:rPr>
                <w:sz w:val="22"/>
                <w:szCs w:val="22"/>
              </w:rPr>
              <w:t xml:space="preserve">120 </w:t>
            </w:r>
          </w:p>
        </w:tc>
      </w:tr>
      <w:tr w:rsidR="00073D7B" w:rsidRPr="0038045B" w14:paraId="2D29E6C4" w14:textId="77777777" w:rsidTr="00F208FE">
        <w:trPr>
          <w:trHeight w:val="300"/>
          <w:jc w:val="center"/>
        </w:trPr>
        <w:tc>
          <w:tcPr>
            <w:tcW w:w="4788" w:type="dxa"/>
            <w:tcBorders>
              <w:top w:val="nil"/>
              <w:left w:val="single" w:sz="4" w:space="0" w:color="auto"/>
              <w:bottom w:val="nil"/>
              <w:right w:val="single" w:sz="4" w:space="0" w:color="auto"/>
            </w:tcBorders>
            <w:noWrap/>
          </w:tcPr>
          <w:p w14:paraId="5A962459" w14:textId="77777777" w:rsidR="00073D7B" w:rsidRPr="0038045B" w:rsidRDefault="00073D7B" w:rsidP="00073D7B">
            <w:pPr>
              <w:rPr>
                <w:sz w:val="22"/>
                <w:szCs w:val="22"/>
              </w:rPr>
            </w:pPr>
            <w:r w:rsidRPr="0038045B">
              <w:rPr>
                <w:sz w:val="22"/>
                <w:szCs w:val="22"/>
              </w:rPr>
              <w:t xml:space="preserve">ATM  with deposits function </w:t>
            </w:r>
          </w:p>
        </w:tc>
        <w:tc>
          <w:tcPr>
            <w:tcW w:w="1170" w:type="dxa"/>
            <w:tcBorders>
              <w:top w:val="nil"/>
              <w:left w:val="single" w:sz="4" w:space="0" w:color="auto"/>
              <w:bottom w:val="nil"/>
              <w:right w:val="single" w:sz="4" w:space="0" w:color="auto"/>
            </w:tcBorders>
          </w:tcPr>
          <w:p w14:paraId="4CFD516F" w14:textId="77777777" w:rsidR="00073D7B" w:rsidRPr="0038045B" w:rsidRDefault="00073D7B" w:rsidP="00073D7B">
            <w:pPr>
              <w:rPr>
                <w:sz w:val="22"/>
                <w:szCs w:val="22"/>
              </w:rPr>
            </w:pPr>
            <w:r w:rsidRPr="0038045B">
              <w:rPr>
                <w:sz w:val="22"/>
                <w:szCs w:val="22"/>
              </w:rPr>
              <w:t>94</w:t>
            </w:r>
          </w:p>
        </w:tc>
      </w:tr>
      <w:tr w:rsidR="00073D7B" w:rsidRPr="0038045B" w14:paraId="323B92EF" w14:textId="77777777" w:rsidTr="00073D7B">
        <w:trPr>
          <w:trHeight w:val="377"/>
          <w:jc w:val="center"/>
        </w:trPr>
        <w:tc>
          <w:tcPr>
            <w:tcW w:w="47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3B86C612" w14:textId="77777777" w:rsidR="00073D7B" w:rsidRPr="0038045B" w:rsidRDefault="00073D7B" w:rsidP="00073D7B">
            <w:pPr>
              <w:rPr>
                <w:b/>
                <w:bCs/>
                <w:sz w:val="22"/>
                <w:szCs w:val="22"/>
              </w:rPr>
            </w:pPr>
            <w:r w:rsidRPr="0038045B">
              <w:rPr>
                <w:b/>
                <w:sz w:val="22"/>
                <w:szCs w:val="22"/>
              </w:rPr>
              <w:t xml:space="preserve">Terminals POS (Point of Sale), of which </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69645A" w14:textId="77777777" w:rsidR="00073D7B" w:rsidRPr="0038045B" w:rsidRDefault="00073D7B" w:rsidP="00073D7B">
            <w:pPr>
              <w:rPr>
                <w:b/>
                <w:sz w:val="22"/>
                <w:szCs w:val="22"/>
              </w:rPr>
            </w:pPr>
            <w:r w:rsidRPr="0038045B">
              <w:rPr>
                <w:sz w:val="22"/>
                <w:szCs w:val="22"/>
              </w:rPr>
              <w:t>7,111</w:t>
            </w:r>
          </w:p>
        </w:tc>
      </w:tr>
      <w:tr w:rsidR="00073D7B" w:rsidRPr="0038045B" w14:paraId="5A96E867" w14:textId="77777777" w:rsidTr="00F208FE">
        <w:trPr>
          <w:trHeight w:val="300"/>
          <w:jc w:val="center"/>
        </w:trPr>
        <w:tc>
          <w:tcPr>
            <w:tcW w:w="4788" w:type="dxa"/>
            <w:tcBorders>
              <w:top w:val="single" w:sz="4" w:space="0" w:color="auto"/>
              <w:left w:val="single" w:sz="4" w:space="0" w:color="auto"/>
              <w:bottom w:val="nil"/>
              <w:right w:val="single" w:sz="4" w:space="0" w:color="auto"/>
            </w:tcBorders>
            <w:noWrap/>
          </w:tcPr>
          <w:p w14:paraId="3280A42E" w14:textId="77777777" w:rsidR="00073D7B" w:rsidRPr="0038045B" w:rsidRDefault="00073D7B" w:rsidP="00073D7B">
            <w:pPr>
              <w:rPr>
                <w:sz w:val="22"/>
                <w:szCs w:val="22"/>
              </w:rPr>
            </w:pPr>
            <w:r w:rsidRPr="0038045B">
              <w:rPr>
                <w:sz w:val="22"/>
                <w:szCs w:val="22"/>
              </w:rPr>
              <w:t>of which:</w:t>
            </w:r>
          </w:p>
        </w:tc>
        <w:tc>
          <w:tcPr>
            <w:tcW w:w="1170" w:type="dxa"/>
            <w:tcBorders>
              <w:top w:val="single" w:sz="4" w:space="0" w:color="auto"/>
              <w:left w:val="single" w:sz="4" w:space="0" w:color="auto"/>
              <w:bottom w:val="nil"/>
              <w:right w:val="single" w:sz="4" w:space="0" w:color="auto"/>
            </w:tcBorders>
          </w:tcPr>
          <w:p w14:paraId="0C274BE3" w14:textId="77777777" w:rsidR="00073D7B" w:rsidRPr="0038045B" w:rsidRDefault="00073D7B" w:rsidP="00073D7B">
            <w:pPr>
              <w:rPr>
                <w:sz w:val="22"/>
                <w:szCs w:val="22"/>
              </w:rPr>
            </w:pPr>
          </w:p>
        </w:tc>
      </w:tr>
      <w:tr w:rsidR="00073D7B" w:rsidRPr="0038045B" w14:paraId="60DA8EF8" w14:textId="77777777" w:rsidTr="00F208FE">
        <w:trPr>
          <w:trHeight w:val="300"/>
          <w:jc w:val="center"/>
        </w:trPr>
        <w:tc>
          <w:tcPr>
            <w:tcW w:w="4788" w:type="dxa"/>
            <w:tcBorders>
              <w:top w:val="nil"/>
              <w:left w:val="single" w:sz="4" w:space="0" w:color="auto"/>
              <w:bottom w:val="nil"/>
              <w:right w:val="single" w:sz="4" w:space="0" w:color="auto"/>
            </w:tcBorders>
            <w:noWrap/>
          </w:tcPr>
          <w:p w14:paraId="6A5EA64F" w14:textId="77777777" w:rsidR="00073D7B" w:rsidRPr="0038045B" w:rsidRDefault="00073D7B" w:rsidP="00073D7B">
            <w:pPr>
              <w:rPr>
                <w:sz w:val="22"/>
                <w:szCs w:val="22"/>
              </w:rPr>
            </w:pPr>
            <w:r w:rsidRPr="0038045B">
              <w:rPr>
                <w:sz w:val="22"/>
                <w:szCs w:val="22"/>
              </w:rPr>
              <w:t>POS Terminals with cash withdrawals function</w:t>
            </w:r>
          </w:p>
        </w:tc>
        <w:tc>
          <w:tcPr>
            <w:tcW w:w="1170" w:type="dxa"/>
            <w:tcBorders>
              <w:top w:val="nil"/>
              <w:left w:val="single" w:sz="4" w:space="0" w:color="auto"/>
              <w:bottom w:val="nil"/>
              <w:right w:val="single" w:sz="4" w:space="0" w:color="auto"/>
            </w:tcBorders>
          </w:tcPr>
          <w:p w14:paraId="4C1F1E4F" w14:textId="77777777" w:rsidR="00073D7B" w:rsidRPr="0038045B" w:rsidRDefault="00073D7B" w:rsidP="00073D7B">
            <w:pPr>
              <w:rPr>
                <w:sz w:val="22"/>
                <w:szCs w:val="22"/>
              </w:rPr>
            </w:pPr>
            <w:r w:rsidRPr="0038045B">
              <w:rPr>
                <w:sz w:val="22"/>
                <w:szCs w:val="22"/>
              </w:rPr>
              <w:t>97</w:t>
            </w:r>
          </w:p>
        </w:tc>
      </w:tr>
      <w:tr w:rsidR="00073D7B" w:rsidRPr="0038045B" w14:paraId="3EB057D1" w14:textId="77777777" w:rsidTr="00F208FE">
        <w:trPr>
          <w:trHeight w:val="300"/>
          <w:jc w:val="center"/>
        </w:trPr>
        <w:tc>
          <w:tcPr>
            <w:tcW w:w="4788" w:type="dxa"/>
            <w:tcBorders>
              <w:top w:val="nil"/>
              <w:left w:val="single" w:sz="4" w:space="0" w:color="auto"/>
              <w:bottom w:val="nil"/>
              <w:right w:val="single" w:sz="4" w:space="0" w:color="auto"/>
            </w:tcBorders>
            <w:noWrap/>
          </w:tcPr>
          <w:p w14:paraId="3BABAADE" w14:textId="77777777" w:rsidR="00073D7B" w:rsidRPr="0038045B" w:rsidRDefault="00073D7B" w:rsidP="00073D7B">
            <w:pPr>
              <w:rPr>
                <w:sz w:val="22"/>
                <w:szCs w:val="22"/>
              </w:rPr>
            </w:pPr>
            <w:r w:rsidRPr="0038045B">
              <w:rPr>
                <w:sz w:val="22"/>
                <w:szCs w:val="22"/>
              </w:rPr>
              <w:t>EFTPOS terminals</w:t>
            </w:r>
          </w:p>
        </w:tc>
        <w:tc>
          <w:tcPr>
            <w:tcW w:w="1170" w:type="dxa"/>
            <w:tcBorders>
              <w:top w:val="nil"/>
              <w:left w:val="single" w:sz="4" w:space="0" w:color="auto"/>
              <w:bottom w:val="nil"/>
              <w:right w:val="single" w:sz="4" w:space="0" w:color="auto"/>
            </w:tcBorders>
          </w:tcPr>
          <w:p w14:paraId="43C6DA45" w14:textId="77777777" w:rsidR="00073D7B" w:rsidRPr="0038045B" w:rsidRDefault="00073D7B" w:rsidP="00073D7B">
            <w:pPr>
              <w:rPr>
                <w:sz w:val="22"/>
                <w:szCs w:val="22"/>
              </w:rPr>
            </w:pPr>
            <w:r w:rsidRPr="0038045B">
              <w:rPr>
                <w:sz w:val="22"/>
                <w:szCs w:val="22"/>
              </w:rPr>
              <w:t>7,014</w:t>
            </w:r>
          </w:p>
        </w:tc>
      </w:tr>
      <w:tr w:rsidR="00073D7B" w:rsidRPr="0038045B" w14:paraId="59FE0C1F" w14:textId="77777777" w:rsidTr="00F208FE">
        <w:trPr>
          <w:trHeight w:val="300"/>
          <w:jc w:val="center"/>
        </w:trPr>
        <w:tc>
          <w:tcPr>
            <w:tcW w:w="4788" w:type="dxa"/>
            <w:tcBorders>
              <w:top w:val="nil"/>
              <w:left w:val="single" w:sz="4" w:space="0" w:color="auto"/>
              <w:bottom w:val="nil"/>
              <w:right w:val="single" w:sz="4" w:space="0" w:color="auto"/>
            </w:tcBorders>
            <w:noWrap/>
          </w:tcPr>
          <w:p w14:paraId="0E25C319" w14:textId="77777777" w:rsidR="00073D7B" w:rsidRPr="0038045B" w:rsidRDefault="00073D7B" w:rsidP="00073D7B">
            <w:pPr>
              <w:rPr>
                <w:sz w:val="22"/>
                <w:szCs w:val="22"/>
              </w:rPr>
            </w:pPr>
            <w:r w:rsidRPr="0038045B">
              <w:rPr>
                <w:sz w:val="22"/>
                <w:szCs w:val="22"/>
              </w:rPr>
              <w:t>Virtual POS terminals</w:t>
            </w:r>
          </w:p>
        </w:tc>
        <w:tc>
          <w:tcPr>
            <w:tcW w:w="1170" w:type="dxa"/>
            <w:tcBorders>
              <w:top w:val="nil"/>
              <w:left w:val="single" w:sz="4" w:space="0" w:color="auto"/>
              <w:bottom w:val="nil"/>
              <w:right w:val="single" w:sz="4" w:space="0" w:color="auto"/>
            </w:tcBorders>
          </w:tcPr>
          <w:p w14:paraId="59BA4536" w14:textId="77777777" w:rsidR="00073D7B" w:rsidRPr="0038045B" w:rsidRDefault="00073D7B" w:rsidP="00073D7B">
            <w:pPr>
              <w:rPr>
                <w:sz w:val="22"/>
                <w:szCs w:val="22"/>
              </w:rPr>
            </w:pPr>
            <w:r w:rsidRPr="0038045B">
              <w:rPr>
                <w:sz w:val="22"/>
                <w:szCs w:val="22"/>
              </w:rPr>
              <w:t>28</w:t>
            </w:r>
          </w:p>
        </w:tc>
      </w:tr>
      <w:tr w:rsidR="00073D7B" w:rsidRPr="0038045B" w14:paraId="35F21A0C" w14:textId="77777777" w:rsidTr="00F208FE">
        <w:trPr>
          <w:trHeight w:val="300"/>
          <w:jc w:val="center"/>
        </w:trPr>
        <w:tc>
          <w:tcPr>
            <w:tcW w:w="4788" w:type="dxa"/>
            <w:tcBorders>
              <w:top w:val="nil"/>
              <w:left w:val="single" w:sz="4" w:space="0" w:color="auto"/>
              <w:bottom w:val="single" w:sz="4" w:space="0" w:color="auto"/>
              <w:right w:val="single" w:sz="4" w:space="0" w:color="auto"/>
            </w:tcBorders>
            <w:noWrap/>
          </w:tcPr>
          <w:p w14:paraId="0223E37F" w14:textId="77777777" w:rsidR="00073D7B" w:rsidRPr="0038045B" w:rsidRDefault="00073D7B" w:rsidP="00073D7B">
            <w:pPr>
              <w:rPr>
                <w:sz w:val="22"/>
                <w:szCs w:val="22"/>
              </w:rPr>
            </w:pPr>
            <w:r w:rsidRPr="0038045B">
              <w:rPr>
                <w:sz w:val="22"/>
                <w:szCs w:val="22"/>
              </w:rPr>
              <w:t>E-money terminals</w:t>
            </w:r>
          </w:p>
        </w:tc>
        <w:tc>
          <w:tcPr>
            <w:tcW w:w="1170" w:type="dxa"/>
            <w:tcBorders>
              <w:top w:val="nil"/>
              <w:left w:val="single" w:sz="4" w:space="0" w:color="auto"/>
              <w:bottom w:val="single" w:sz="4" w:space="0" w:color="auto"/>
              <w:right w:val="single" w:sz="4" w:space="0" w:color="auto"/>
            </w:tcBorders>
          </w:tcPr>
          <w:p w14:paraId="35DB37A2" w14:textId="77777777" w:rsidR="00073D7B" w:rsidRPr="0038045B" w:rsidRDefault="00073D7B" w:rsidP="00073D7B">
            <w:pPr>
              <w:rPr>
                <w:sz w:val="22"/>
                <w:szCs w:val="22"/>
              </w:rPr>
            </w:pPr>
            <w:r w:rsidRPr="0038045B">
              <w:rPr>
                <w:sz w:val="22"/>
                <w:szCs w:val="22"/>
              </w:rPr>
              <w:t>680</w:t>
            </w:r>
          </w:p>
        </w:tc>
      </w:tr>
    </w:tbl>
    <w:p w14:paraId="23DE00D3" w14:textId="77777777" w:rsidR="00824CF8" w:rsidRPr="0038045B" w:rsidRDefault="00824CF8" w:rsidP="00824CF8">
      <w:pPr>
        <w:pStyle w:val="Body"/>
        <w:spacing w:after="200" w:line="276" w:lineRule="auto"/>
        <w:ind w:left="1350" w:firstLine="0"/>
        <w:rPr>
          <w:i/>
          <w:sz w:val="20"/>
          <w:lang w:val="en-US"/>
        </w:rPr>
      </w:pPr>
      <w:r w:rsidRPr="0038045B">
        <w:rPr>
          <w:i/>
          <w:sz w:val="20"/>
          <w:lang w:val="en-US"/>
        </w:rPr>
        <w:t>Source: Bank of Albania.</w:t>
      </w:r>
    </w:p>
    <w:p w14:paraId="16D2568D" w14:textId="77777777" w:rsidR="000370A0" w:rsidRPr="0038045B" w:rsidRDefault="000370A0" w:rsidP="0059574B">
      <w:pPr>
        <w:pStyle w:val="Body"/>
        <w:numPr>
          <w:ilvl w:val="0"/>
          <w:numId w:val="15"/>
        </w:numPr>
        <w:spacing w:after="200" w:line="276" w:lineRule="auto"/>
        <w:ind w:left="0" w:firstLine="0"/>
        <w:rPr>
          <w:lang w:val="en-US"/>
        </w:rPr>
      </w:pPr>
      <w:r w:rsidRPr="0038045B">
        <w:rPr>
          <w:lang w:val="en-US"/>
        </w:rPr>
        <w:t>Overall, banking and retail payments infrastructure is less developed in Albania than in neighboring countries and peer upper MICs.</w:t>
      </w:r>
      <w:r w:rsidRPr="0038045B">
        <w:rPr>
          <w:lang w:val="en-US" w:eastAsia="en-US"/>
        </w:rPr>
        <w:t xml:space="preserve"> </w:t>
      </w:r>
      <w:r w:rsidR="00C75F1B" w:rsidRPr="0038045B">
        <w:rPr>
          <w:lang w:val="en-US" w:eastAsia="en-US"/>
        </w:rPr>
        <w:t>As of 2016</w:t>
      </w:r>
      <w:r w:rsidRPr="0038045B">
        <w:rPr>
          <w:lang w:val="en-US" w:eastAsia="en-US"/>
        </w:rPr>
        <w:t>, there were 3</w:t>
      </w:r>
      <w:r w:rsidR="00F83F9B" w:rsidRPr="0038045B">
        <w:rPr>
          <w:lang w:val="en-US" w:eastAsia="en-US"/>
        </w:rPr>
        <w:t>4</w:t>
      </w:r>
      <w:r w:rsidRPr="0038045B">
        <w:rPr>
          <w:lang w:val="en-US" w:eastAsia="en-US"/>
        </w:rPr>
        <w:t xml:space="preserve"> ATMs per 100,000 adults in Albania, as compared to 5</w:t>
      </w:r>
      <w:r w:rsidR="00F83F9B" w:rsidRPr="0038045B">
        <w:rPr>
          <w:lang w:val="en-US" w:eastAsia="en-US"/>
        </w:rPr>
        <w:t>6</w:t>
      </w:r>
      <w:r w:rsidRPr="0038045B">
        <w:rPr>
          <w:lang w:val="en-US" w:eastAsia="en-US"/>
        </w:rPr>
        <w:t>.</w:t>
      </w:r>
      <w:r w:rsidR="00F83F9B" w:rsidRPr="0038045B">
        <w:rPr>
          <w:lang w:val="en-US" w:eastAsia="en-US"/>
        </w:rPr>
        <w:t>4</w:t>
      </w:r>
      <w:r w:rsidRPr="0038045B">
        <w:rPr>
          <w:lang w:val="en-US" w:eastAsia="en-US"/>
        </w:rPr>
        <w:t xml:space="preserve"> for developing coun</w:t>
      </w:r>
      <w:r w:rsidR="00F83F9B" w:rsidRPr="0038045B">
        <w:rPr>
          <w:lang w:val="en-US" w:eastAsia="en-US"/>
        </w:rPr>
        <w:t>tries in the ECA region (2015</w:t>
      </w:r>
      <w:r w:rsidRPr="0038045B">
        <w:rPr>
          <w:lang w:val="en-US" w:eastAsia="en-US"/>
        </w:rPr>
        <w:t>). Upper MICs average 5</w:t>
      </w:r>
      <w:r w:rsidR="00EE1D96" w:rsidRPr="0038045B">
        <w:rPr>
          <w:lang w:val="en-US" w:eastAsia="en-US"/>
        </w:rPr>
        <w:t>1</w:t>
      </w:r>
      <w:r w:rsidRPr="0038045B">
        <w:rPr>
          <w:lang w:val="en-US" w:eastAsia="en-US"/>
        </w:rPr>
        <w:t>.</w:t>
      </w:r>
      <w:r w:rsidR="00EE1D96" w:rsidRPr="0038045B">
        <w:rPr>
          <w:lang w:val="en-US" w:eastAsia="en-US"/>
        </w:rPr>
        <w:t>1</w:t>
      </w:r>
      <w:r w:rsidRPr="0038045B">
        <w:rPr>
          <w:lang w:val="en-US" w:eastAsia="en-US"/>
        </w:rPr>
        <w:t xml:space="preserve"> ATMs per 100,000 adults. Point-of-sale (POS) terminals increased </w:t>
      </w:r>
      <w:r w:rsidRPr="0038045B">
        <w:rPr>
          <w:lang w:val="en-US" w:eastAsia="en-US"/>
        </w:rPr>
        <w:lastRenderedPageBreak/>
        <w:t xml:space="preserve">to </w:t>
      </w:r>
      <w:r w:rsidR="00EE1D96" w:rsidRPr="0038045B">
        <w:rPr>
          <w:lang w:val="en-US" w:eastAsia="en-US"/>
        </w:rPr>
        <w:t>302</w:t>
      </w:r>
      <w:r w:rsidRPr="0038045B">
        <w:rPr>
          <w:lang w:val="en-US" w:eastAsia="en-US"/>
        </w:rPr>
        <w:t xml:space="preserve"> per 100,000 adults in 2015, as compared to 726 in Kosovo, 1,101 in Serbia, and over 2,000 in Montenegro. </w:t>
      </w:r>
      <w:r w:rsidR="00EE1D96" w:rsidRPr="0038045B">
        <w:rPr>
          <w:rStyle w:val="FootnoteReference"/>
          <w:lang w:val="en-US" w:eastAsia="en-US"/>
        </w:rPr>
        <w:footnoteReference w:id="72"/>
      </w:r>
    </w:p>
    <w:p w14:paraId="1E4F2608" w14:textId="77777777" w:rsidR="00F574A3" w:rsidRPr="0038045B" w:rsidRDefault="00E47BF8" w:rsidP="00F574A3">
      <w:pPr>
        <w:pStyle w:val="Body"/>
        <w:numPr>
          <w:ilvl w:val="0"/>
          <w:numId w:val="15"/>
        </w:numPr>
        <w:spacing w:before="120" w:after="120" w:line="276" w:lineRule="auto"/>
        <w:ind w:left="0" w:firstLine="0"/>
        <w:rPr>
          <w:lang w:val="en-US" w:eastAsia="en-US"/>
        </w:rPr>
      </w:pPr>
      <w:r w:rsidRPr="0038045B">
        <w:rPr>
          <w:lang w:val="en-US" w:eastAsia="en-US"/>
        </w:rPr>
        <w:t>Geographical c</w:t>
      </w:r>
      <w:r w:rsidR="00F574A3" w:rsidRPr="0038045B">
        <w:rPr>
          <w:lang w:val="en-US" w:eastAsia="en-US"/>
        </w:rPr>
        <w:t>overage of ATMs and POS terminals is limited. In fact, according to BoA data, as of 2015 about 57% of the ATMs and 80% of POS terminals in Albania were concentrated in the Tirana region.</w:t>
      </w:r>
      <w:r w:rsidRPr="0038045B">
        <w:rPr>
          <w:lang w:val="en-US" w:eastAsia="en-US"/>
        </w:rPr>
        <w:t xml:space="preserve"> Coverage is further limited by the fact that there is limited interoperability of these access channels (see section 3.3).</w:t>
      </w:r>
    </w:p>
    <w:p w14:paraId="5D72CD55" w14:textId="77777777" w:rsidR="008F5758" w:rsidRPr="0038045B" w:rsidRDefault="00EE1D96" w:rsidP="001214CB">
      <w:pPr>
        <w:pStyle w:val="Body"/>
        <w:numPr>
          <w:ilvl w:val="0"/>
          <w:numId w:val="15"/>
        </w:numPr>
        <w:spacing w:after="200" w:line="276" w:lineRule="auto"/>
        <w:ind w:left="0" w:firstLine="0"/>
        <w:rPr>
          <w:lang w:val="en-US"/>
        </w:rPr>
      </w:pPr>
      <w:r w:rsidRPr="0038045B">
        <w:rPr>
          <w:lang w:val="en-US" w:eastAsia="en-US"/>
        </w:rPr>
        <w:t>Banking infrastructure in general is more concentrated</w:t>
      </w:r>
      <w:r w:rsidR="005565AC" w:rsidRPr="0038045B">
        <w:rPr>
          <w:lang w:val="en-US" w:eastAsia="en-US"/>
        </w:rPr>
        <w:t xml:space="preserve"> </w:t>
      </w:r>
      <w:r w:rsidR="005565AC" w:rsidRPr="0038045B">
        <w:rPr>
          <w:lang w:val="en-US"/>
        </w:rPr>
        <w:t xml:space="preserve">in major cities. </w:t>
      </w:r>
      <w:r w:rsidRPr="0038045B">
        <w:rPr>
          <w:lang w:val="en-US" w:eastAsia="en-US"/>
        </w:rPr>
        <w:t xml:space="preserve">As of 2015, the number of bank branches per 100,000 adults was 21.9. </w:t>
      </w:r>
      <w:r w:rsidR="001214CB" w:rsidRPr="0038045B">
        <w:rPr>
          <w:lang w:val="en-US" w:eastAsia="en-US"/>
        </w:rPr>
        <w:t>This figure is similar t</w:t>
      </w:r>
      <w:r w:rsidR="000370A0" w:rsidRPr="0038045B">
        <w:rPr>
          <w:lang w:val="en-US" w:eastAsia="en-US"/>
        </w:rPr>
        <w:t>o neighboring countries</w:t>
      </w:r>
      <w:r w:rsidR="00E47BF8" w:rsidRPr="0038045B">
        <w:rPr>
          <w:lang w:val="en-US" w:eastAsia="en-US"/>
        </w:rPr>
        <w:t xml:space="preserve">: </w:t>
      </w:r>
      <w:r w:rsidR="000370A0" w:rsidRPr="0038045B">
        <w:rPr>
          <w:lang w:val="en-US" w:eastAsia="en-US"/>
        </w:rPr>
        <w:t>developing countries in the ECA region average 22.</w:t>
      </w:r>
      <w:r w:rsidRPr="0038045B">
        <w:rPr>
          <w:lang w:val="en-US" w:eastAsia="en-US"/>
        </w:rPr>
        <w:t>1</w:t>
      </w:r>
      <w:r w:rsidR="00E47BF8" w:rsidRPr="0038045B">
        <w:rPr>
          <w:lang w:val="en-US" w:eastAsia="en-US"/>
        </w:rPr>
        <w:t xml:space="preserve">, while </w:t>
      </w:r>
      <w:r w:rsidR="000370A0" w:rsidRPr="0038045B">
        <w:rPr>
          <w:lang w:val="en-US" w:eastAsia="en-US"/>
        </w:rPr>
        <w:t xml:space="preserve">upper MICs </w:t>
      </w:r>
      <w:r w:rsidR="00E47BF8" w:rsidRPr="0038045B">
        <w:rPr>
          <w:lang w:val="en-US" w:eastAsia="en-US"/>
        </w:rPr>
        <w:t xml:space="preserve">in general average </w:t>
      </w:r>
      <w:r w:rsidR="000370A0" w:rsidRPr="0038045B">
        <w:rPr>
          <w:lang w:val="en-US" w:eastAsia="en-US"/>
        </w:rPr>
        <w:t>1</w:t>
      </w:r>
      <w:r w:rsidRPr="0038045B">
        <w:rPr>
          <w:lang w:val="en-US" w:eastAsia="en-US"/>
        </w:rPr>
        <w:t>5</w:t>
      </w:r>
      <w:r w:rsidR="000370A0" w:rsidRPr="0038045B">
        <w:rPr>
          <w:lang w:val="en-US" w:eastAsia="en-US"/>
        </w:rPr>
        <w:t>.</w:t>
      </w:r>
      <w:r w:rsidRPr="0038045B">
        <w:rPr>
          <w:lang w:val="en-US" w:eastAsia="en-US"/>
        </w:rPr>
        <w:t>9</w:t>
      </w:r>
      <w:r w:rsidR="000370A0" w:rsidRPr="0038045B">
        <w:rPr>
          <w:lang w:val="en-US" w:eastAsia="en-US"/>
        </w:rPr>
        <w:t xml:space="preserve">. </w:t>
      </w:r>
      <w:r w:rsidR="00E47BF8" w:rsidRPr="0038045B">
        <w:rPr>
          <w:lang w:val="en-US" w:eastAsia="en-US"/>
        </w:rPr>
        <w:t>It should be noted, however, that in addition to branches</w:t>
      </w:r>
      <w:r w:rsidR="007F650A" w:rsidRPr="0038045B">
        <w:rPr>
          <w:lang w:val="en-US" w:eastAsia="en-US"/>
        </w:rPr>
        <w:t>, banks</w:t>
      </w:r>
      <w:r w:rsidR="00E47BF8" w:rsidRPr="0038045B">
        <w:rPr>
          <w:lang w:val="en-US" w:eastAsia="en-US"/>
        </w:rPr>
        <w:t xml:space="preserve"> many MICs also provide in-person services via agents, </w:t>
      </w:r>
      <w:r w:rsidR="007F650A" w:rsidRPr="0038045B">
        <w:rPr>
          <w:lang w:val="en-US" w:eastAsia="en-US"/>
        </w:rPr>
        <w:t xml:space="preserve">which is </w:t>
      </w:r>
      <w:r w:rsidR="00E47BF8" w:rsidRPr="0038045B">
        <w:rPr>
          <w:lang w:val="en-US" w:eastAsia="en-US"/>
        </w:rPr>
        <w:t>a business model that has not been developed in Albania for the banking sector</w:t>
      </w:r>
      <w:r w:rsidR="001214CB" w:rsidRPr="0038045B">
        <w:rPr>
          <w:lang w:val="en-US" w:eastAsia="en-US"/>
        </w:rPr>
        <w:t>. Moreover, most of the banks interviewed i</w:t>
      </w:r>
      <w:r w:rsidR="001214CB" w:rsidRPr="0038045B">
        <w:rPr>
          <w:lang w:val="en-US"/>
        </w:rPr>
        <w:t>nformed that they have been closing down branches in recent years, and they expect this trend to continue.</w:t>
      </w:r>
    </w:p>
    <w:p w14:paraId="183C1A36" w14:textId="77777777" w:rsidR="004E4F6E" w:rsidRPr="0038045B" w:rsidRDefault="004E4F6E" w:rsidP="004E4F6E">
      <w:pPr>
        <w:pStyle w:val="Heading3"/>
        <w:spacing w:before="480" w:after="240"/>
        <w:rPr>
          <w:b w:val="0"/>
          <w:i/>
        </w:rPr>
      </w:pPr>
      <w:bookmarkStart w:id="91" w:name="_Toc476239729"/>
      <w:r w:rsidRPr="0038045B">
        <w:rPr>
          <w:b w:val="0"/>
          <w:i/>
        </w:rPr>
        <w:t>Post</w:t>
      </w:r>
      <w:r w:rsidR="00E40B67" w:rsidRPr="0038045B">
        <w:rPr>
          <w:b w:val="0"/>
          <w:i/>
        </w:rPr>
        <w:t xml:space="preserve"> Office, non-bank PSPs and other financial institutions</w:t>
      </w:r>
      <w:bookmarkEnd w:id="91"/>
    </w:p>
    <w:p w14:paraId="54C64569" w14:textId="77777777" w:rsidR="00184FBE" w:rsidRPr="0038045B" w:rsidRDefault="001214CB" w:rsidP="00C80F30">
      <w:pPr>
        <w:pStyle w:val="Body"/>
        <w:numPr>
          <w:ilvl w:val="0"/>
          <w:numId w:val="15"/>
        </w:numPr>
        <w:spacing w:after="200" w:line="276" w:lineRule="auto"/>
        <w:ind w:left="0" w:firstLine="0"/>
        <w:rPr>
          <w:lang w:val="en-US"/>
        </w:rPr>
      </w:pPr>
      <w:r w:rsidRPr="0038045B">
        <w:rPr>
          <w:lang w:val="en-US"/>
        </w:rPr>
        <w:t xml:space="preserve">Different from banks, e-money issuers in Albania have developed a network of third-party owned physical access points (i.e. agents) in addition to own locations/branches. </w:t>
      </w:r>
      <w:r w:rsidR="00184FBE" w:rsidRPr="0038045B">
        <w:rPr>
          <w:lang w:val="en-US"/>
        </w:rPr>
        <w:t xml:space="preserve">Vodafone M-Pesa has a network of 307 access points, of which 147 are </w:t>
      </w:r>
      <w:r w:rsidR="005565AC" w:rsidRPr="0038045B">
        <w:rPr>
          <w:lang w:val="en-US"/>
        </w:rPr>
        <w:t>so-called “</w:t>
      </w:r>
      <w:r w:rsidR="00184FBE" w:rsidRPr="0038045B">
        <w:rPr>
          <w:lang w:val="en-US"/>
        </w:rPr>
        <w:t>Vodafone shops</w:t>
      </w:r>
      <w:r w:rsidR="005565AC" w:rsidRPr="0038045B">
        <w:rPr>
          <w:lang w:val="en-US"/>
        </w:rPr>
        <w:t xml:space="preserve">” (they distribute Vodafone products, but </w:t>
      </w:r>
      <w:r w:rsidR="00184FBE" w:rsidRPr="0038045B">
        <w:rPr>
          <w:lang w:val="en-US"/>
        </w:rPr>
        <w:t xml:space="preserve">only 3 of </w:t>
      </w:r>
      <w:r w:rsidR="005565AC" w:rsidRPr="0038045B">
        <w:rPr>
          <w:lang w:val="en-US"/>
        </w:rPr>
        <w:t xml:space="preserve">these shops </w:t>
      </w:r>
      <w:r w:rsidR="00184FBE" w:rsidRPr="0038045B">
        <w:rPr>
          <w:lang w:val="en-US"/>
        </w:rPr>
        <w:t xml:space="preserve">are actually owned by </w:t>
      </w:r>
      <w:r w:rsidR="007F650A" w:rsidRPr="0038045B">
        <w:rPr>
          <w:lang w:val="en-US"/>
        </w:rPr>
        <w:t>Vodafone</w:t>
      </w:r>
      <w:r w:rsidR="00184FBE" w:rsidRPr="0038045B">
        <w:rPr>
          <w:lang w:val="en-US"/>
        </w:rPr>
        <w:t xml:space="preserve">). E-money accounts may be opened at any of the locations. Vodafone shops </w:t>
      </w:r>
      <w:r w:rsidR="005565AC" w:rsidRPr="0038045B">
        <w:rPr>
          <w:lang w:val="en-US"/>
        </w:rPr>
        <w:t xml:space="preserve">provide </w:t>
      </w:r>
      <w:r w:rsidR="007F650A" w:rsidRPr="0038045B">
        <w:rPr>
          <w:lang w:val="en-US"/>
        </w:rPr>
        <w:t xml:space="preserve">payment-related </w:t>
      </w:r>
      <w:r w:rsidR="005565AC" w:rsidRPr="0038045B">
        <w:rPr>
          <w:lang w:val="en-US"/>
        </w:rPr>
        <w:t xml:space="preserve">services </w:t>
      </w:r>
      <w:r w:rsidR="00184FBE" w:rsidRPr="0038045B">
        <w:rPr>
          <w:lang w:val="en-US"/>
        </w:rPr>
        <w:t xml:space="preserve">exclusively </w:t>
      </w:r>
      <w:r w:rsidR="005565AC" w:rsidRPr="0038045B">
        <w:rPr>
          <w:lang w:val="en-US"/>
        </w:rPr>
        <w:t xml:space="preserve">to </w:t>
      </w:r>
      <w:r w:rsidR="00184FBE" w:rsidRPr="0038045B">
        <w:rPr>
          <w:lang w:val="en-US"/>
        </w:rPr>
        <w:t>Vodafone M-Pesa, but other</w:t>
      </w:r>
      <w:r w:rsidR="005565AC" w:rsidRPr="0038045B">
        <w:rPr>
          <w:lang w:val="en-US"/>
        </w:rPr>
        <w:t xml:space="preserve"> access points are free to </w:t>
      </w:r>
      <w:r w:rsidR="00184FBE" w:rsidRPr="0038045B">
        <w:rPr>
          <w:lang w:val="en-US"/>
        </w:rPr>
        <w:t xml:space="preserve">provide services to other e-money issuers or </w:t>
      </w:r>
      <w:r w:rsidR="005565AC" w:rsidRPr="0038045B">
        <w:rPr>
          <w:lang w:val="en-US"/>
        </w:rPr>
        <w:t xml:space="preserve">to </w:t>
      </w:r>
      <w:r w:rsidR="00184FBE" w:rsidRPr="0038045B">
        <w:rPr>
          <w:lang w:val="en-US"/>
        </w:rPr>
        <w:t xml:space="preserve">other payment service providers. </w:t>
      </w:r>
    </w:p>
    <w:p w14:paraId="5561A509" w14:textId="77777777" w:rsidR="00611C8C" w:rsidRPr="0038045B" w:rsidRDefault="00184FBE" w:rsidP="00C80F30">
      <w:pPr>
        <w:pStyle w:val="Body"/>
        <w:numPr>
          <w:ilvl w:val="0"/>
          <w:numId w:val="15"/>
        </w:numPr>
        <w:spacing w:after="200" w:line="276" w:lineRule="auto"/>
        <w:ind w:left="0" w:firstLine="0"/>
        <w:rPr>
          <w:lang w:val="en-US"/>
        </w:rPr>
      </w:pPr>
      <w:r w:rsidRPr="0038045B">
        <w:rPr>
          <w:lang w:val="en-US"/>
        </w:rPr>
        <w:t>EasyPay has a network of nearly 300 agents, which are exclusive. An e-money account may be opened at any of these agents</w:t>
      </w:r>
      <w:r w:rsidR="005565AC" w:rsidRPr="0038045B">
        <w:rPr>
          <w:lang w:val="en-US"/>
        </w:rPr>
        <w:t>.</w:t>
      </w:r>
      <w:r w:rsidRPr="0038045B">
        <w:rPr>
          <w:lang w:val="en-US"/>
        </w:rPr>
        <w:t xml:space="preserve"> </w:t>
      </w:r>
      <w:r w:rsidR="005565AC" w:rsidRPr="0038045B">
        <w:rPr>
          <w:lang w:val="en-US"/>
        </w:rPr>
        <w:t>Al</w:t>
      </w:r>
      <w:r w:rsidRPr="0038045B">
        <w:rPr>
          <w:lang w:val="en-US"/>
        </w:rPr>
        <w:t xml:space="preserve">l services available for walk-in customers (essentially bill payments in cash) are also available for e-money accounts via online services. </w:t>
      </w:r>
      <w:r w:rsidR="005565AC" w:rsidRPr="0038045B">
        <w:rPr>
          <w:lang w:val="en-US"/>
        </w:rPr>
        <w:t xml:space="preserve">However, at present only 64 of these agents offer top-ups of e-money accounts. </w:t>
      </w:r>
    </w:p>
    <w:p w14:paraId="1E052695" w14:textId="77777777" w:rsidR="00E40B67" w:rsidRPr="0038045B" w:rsidRDefault="00EF7EB3" w:rsidP="00C80F30">
      <w:pPr>
        <w:pStyle w:val="Body"/>
        <w:numPr>
          <w:ilvl w:val="0"/>
          <w:numId w:val="15"/>
        </w:numPr>
        <w:spacing w:after="200" w:line="276" w:lineRule="auto"/>
        <w:ind w:left="0" w:firstLine="0"/>
        <w:rPr>
          <w:lang w:val="en-US"/>
        </w:rPr>
      </w:pPr>
      <w:r w:rsidRPr="0038045B">
        <w:rPr>
          <w:lang w:val="en-US"/>
        </w:rPr>
        <w:t>Albania Post</w:t>
      </w:r>
      <w:r w:rsidR="00FD3D1C" w:rsidRPr="0038045B">
        <w:rPr>
          <w:lang w:val="en-US"/>
        </w:rPr>
        <w:t xml:space="preserve"> is also licensed by the BoA as a NBFI providing payment services. It has 5</w:t>
      </w:r>
      <w:r w:rsidR="005565AC" w:rsidRPr="0038045B">
        <w:rPr>
          <w:lang w:val="en-US"/>
        </w:rPr>
        <w:t>37</w:t>
      </w:r>
      <w:r w:rsidR="00FD3D1C" w:rsidRPr="0038045B">
        <w:rPr>
          <w:lang w:val="en-US"/>
        </w:rPr>
        <w:t xml:space="preserve"> branches </w:t>
      </w:r>
      <w:r w:rsidR="005565AC" w:rsidRPr="0038045B">
        <w:rPr>
          <w:lang w:val="en-US"/>
        </w:rPr>
        <w:t xml:space="preserve">through which, in addition to postal services, </w:t>
      </w:r>
      <w:r w:rsidR="00FD3D1C" w:rsidRPr="0038045B">
        <w:rPr>
          <w:lang w:val="en-US"/>
        </w:rPr>
        <w:t>government payments</w:t>
      </w:r>
      <w:r w:rsidR="00E620A2" w:rsidRPr="0038045B">
        <w:rPr>
          <w:rStyle w:val="FootnoteReference"/>
          <w:lang w:val="en-US"/>
        </w:rPr>
        <w:footnoteReference w:id="73"/>
      </w:r>
      <w:r w:rsidR="005565AC" w:rsidRPr="0038045B">
        <w:rPr>
          <w:lang w:val="en-US"/>
        </w:rPr>
        <w:t xml:space="preserve"> and p</w:t>
      </w:r>
      <w:r w:rsidR="00FD3D1C" w:rsidRPr="0038045B">
        <w:rPr>
          <w:lang w:val="en-US"/>
        </w:rPr>
        <w:t>ensions</w:t>
      </w:r>
      <w:r w:rsidR="005565AC" w:rsidRPr="0038045B">
        <w:rPr>
          <w:lang w:val="en-US"/>
        </w:rPr>
        <w:t xml:space="preserve"> are distributed and paid in cash. In fact, pension payments represent nearly 75% of the total volume of payments handled by </w:t>
      </w:r>
      <w:r w:rsidRPr="0038045B">
        <w:rPr>
          <w:lang w:val="en-US"/>
        </w:rPr>
        <w:t>Albania Post</w:t>
      </w:r>
      <w:r w:rsidR="005565AC" w:rsidRPr="0038045B">
        <w:rPr>
          <w:lang w:val="en-US"/>
        </w:rPr>
        <w:t xml:space="preserve">. On the side of collections, taxes and </w:t>
      </w:r>
      <w:r w:rsidR="00FD3D1C" w:rsidRPr="0038045B">
        <w:rPr>
          <w:lang w:val="en-US"/>
        </w:rPr>
        <w:t>some utilit</w:t>
      </w:r>
      <w:r w:rsidR="005565AC" w:rsidRPr="0038045B">
        <w:rPr>
          <w:lang w:val="en-US"/>
        </w:rPr>
        <w:t>ies</w:t>
      </w:r>
      <w:r w:rsidR="00FD3D1C" w:rsidRPr="0038045B">
        <w:rPr>
          <w:lang w:val="en-US"/>
        </w:rPr>
        <w:t xml:space="preserve"> </w:t>
      </w:r>
      <w:r w:rsidR="005565AC" w:rsidRPr="0038045B">
        <w:rPr>
          <w:lang w:val="en-US"/>
        </w:rPr>
        <w:t xml:space="preserve">may be paid at the branches of this entity. </w:t>
      </w:r>
      <w:r w:rsidR="00C16CF8" w:rsidRPr="0038045B">
        <w:rPr>
          <w:lang w:val="en-US"/>
        </w:rPr>
        <w:t>Plan</w:t>
      </w:r>
      <w:r w:rsidR="00E620A2" w:rsidRPr="0038045B">
        <w:rPr>
          <w:lang w:val="en-US"/>
        </w:rPr>
        <w:t>s</w:t>
      </w:r>
      <w:r w:rsidR="00C16CF8" w:rsidRPr="0038045B">
        <w:rPr>
          <w:lang w:val="en-US"/>
        </w:rPr>
        <w:t xml:space="preserve"> are underway b</w:t>
      </w:r>
      <w:r w:rsidRPr="0038045B">
        <w:rPr>
          <w:lang w:val="en-US"/>
        </w:rPr>
        <w:t xml:space="preserve">etween one of the banks and Albania Post </w:t>
      </w:r>
      <w:r w:rsidR="00C16CF8" w:rsidRPr="0038045B">
        <w:rPr>
          <w:lang w:val="en-US"/>
        </w:rPr>
        <w:t>to equip the latter with POS terminals to provide cash back/cash withdrawals to those bank’s accountholders.</w:t>
      </w:r>
    </w:p>
    <w:p w14:paraId="46A5F393" w14:textId="77777777" w:rsidR="00804A7B" w:rsidRPr="0038045B" w:rsidRDefault="00C16CF8" w:rsidP="00186692">
      <w:pPr>
        <w:pStyle w:val="Body"/>
        <w:numPr>
          <w:ilvl w:val="0"/>
          <w:numId w:val="15"/>
        </w:numPr>
        <w:spacing w:after="200" w:line="276" w:lineRule="auto"/>
        <w:ind w:left="0" w:firstLine="0"/>
        <w:rPr>
          <w:lang w:val="en-US"/>
        </w:rPr>
      </w:pPr>
      <w:r w:rsidRPr="0038045B">
        <w:rPr>
          <w:lang w:val="en-US"/>
        </w:rPr>
        <w:lastRenderedPageBreak/>
        <w:t xml:space="preserve">Other relevant networks are those of the two </w:t>
      </w:r>
      <w:r w:rsidR="00804A7B" w:rsidRPr="0038045B">
        <w:rPr>
          <w:lang w:val="en-US"/>
        </w:rPr>
        <w:t xml:space="preserve">NBFIs that are the </w:t>
      </w:r>
      <w:r w:rsidRPr="0038045B">
        <w:rPr>
          <w:lang w:val="en-US"/>
        </w:rPr>
        <w:t>major remittance service providers</w:t>
      </w:r>
      <w:r w:rsidR="00804A7B" w:rsidRPr="0038045B">
        <w:rPr>
          <w:lang w:val="en-US"/>
        </w:rPr>
        <w:t xml:space="preserve"> in Albania</w:t>
      </w:r>
      <w:r w:rsidRPr="0038045B">
        <w:rPr>
          <w:lang w:val="en-US"/>
        </w:rPr>
        <w:t xml:space="preserve">, Financial Union Tirana and </w:t>
      </w:r>
      <w:r w:rsidR="00804A7B" w:rsidRPr="0038045B">
        <w:rPr>
          <w:lang w:val="en-US" w:eastAsia="en-US"/>
        </w:rPr>
        <w:t xml:space="preserve">AK Invest. At present, both networks provide payment services in cash only (remittances and utilities payments) and do not act as agents for banks. Financial Union Tirana has a network of approximately 500 outlets combining own and third-party owned. AK Invest has 180 outlets, of which 80 are actually branches of </w:t>
      </w:r>
      <w:r w:rsidR="00EF7EB3" w:rsidRPr="0038045B">
        <w:rPr>
          <w:lang w:val="en-US"/>
        </w:rPr>
        <w:t>Albania Post</w:t>
      </w:r>
      <w:r w:rsidR="00804A7B" w:rsidRPr="0038045B">
        <w:rPr>
          <w:lang w:val="en-US" w:eastAsia="en-US"/>
        </w:rPr>
        <w:t xml:space="preserve">. AK Invest requires exclusivity to its agents, with the exception of the </w:t>
      </w:r>
      <w:r w:rsidR="00EF7EB3" w:rsidRPr="0038045B">
        <w:rPr>
          <w:lang w:val="en-US"/>
        </w:rPr>
        <w:t>Albania Post</w:t>
      </w:r>
      <w:r w:rsidR="00804A7B" w:rsidRPr="0038045B">
        <w:rPr>
          <w:lang w:val="en-US" w:eastAsia="en-US"/>
        </w:rPr>
        <w:t xml:space="preserve">. </w:t>
      </w:r>
    </w:p>
    <w:p w14:paraId="677E393F" w14:textId="77777777" w:rsidR="00E620A2" w:rsidRPr="0038045B" w:rsidRDefault="00E620A2" w:rsidP="00186692">
      <w:pPr>
        <w:pStyle w:val="Body"/>
        <w:numPr>
          <w:ilvl w:val="0"/>
          <w:numId w:val="15"/>
        </w:numPr>
        <w:spacing w:after="200" w:line="276" w:lineRule="auto"/>
        <w:ind w:left="0" w:firstLine="0"/>
        <w:rPr>
          <w:lang w:val="en-US"/>
        </w:rPr>
      </w:pPr>
      <w:r w:rsidRPr="0038045B">
        <w:rPr>
          <w:lang w:val="en-US" w:eastAsia="en-US"/>
        </w:rPr>
        <w:t>Savings and Credit Associations (SCAs)</w:t>
      </w:r>
      <w:r w:rsidR="00E43E1A" w:rsidRPr="0038045B">
        <w:rPr>
          <w:lang w:val="en-US" w:eastAsia="en-US"/>
        </w:rPr>
        <w:t xml:space="preserve"> also have a relevant branch network, the largest being Fed Invest with 82 branches, many of them in rural areas in the south and center of the country. SCAs’ </w:t>
      </w:r>
      <w:r w:rsidR="009C5540" w:rsidRPr="0038045B">
        <w:rPr>
          <w:lang w:val="en-US" w:eastAsia="en-US"/>
        </w:rPr>
        <w:t>are legally able t</w:t>
      </w:r>
      <w:r w:rsidR="00E43E1A" w:rsidRPr="0038045B">
        <w:rPr>
          <w:lang w:val="en-US" w:eastAsia="en-US"/>
        </w:rPr>
        <w:t xml:space="preserve">o provide certain payment services (cash payments, as SCAs cannot issue current accounts), although none of them have yet started to implement any specific project in this area. </w:t>
      </w:r>
    </w:p>
    <w:p w14:paraId="706726D6" w14:textId="77777777" w:rsidR="00B91505" w:rsidRPr="0038045B" w:rsidRDefault="00B91505" w:rsidP="00B91505">
      <w:pPr>
        <w:pStyle w:val="Heading3"/>
        <w:spacing w:before="480" w:after="240"/>
        <w:rPr>
          <w:b w:val="0"/>
          <w:i/>
        </w:rPr>
      </w:pPr>
      <w:bookmarkStart w:id="92" w:name="_Toc476239730"/>
      <w:r w:rsidRPr="0038045B">
        <w:rPr>
          <w:b w:val="0"/>
          <w:i/>
        </w:rPr>
        <w:t>Other payment networks</w:t>
      </w:r>
      <w:r w:rsidR="00333998" w:rsidRPr="0038045B">
        <w:rPr>
          <w:b w:val="0"/>
          <w:i/>
        </w:rPr>
        <w:t xml:space="preserve"> led by distributors</w:t>
      </w:r>
      <w:bookmarkEnd w:id="92"/>
    </w:p>
    <w:p w14:paraId="4049D0BC" w14:textId="77777777" w:rsidR="004E4F6E" w:rsidRPr="0038045B" w:rsidRDefault="00331345" w:rsidP="00C80F30">
      <w:pPr>
        <w:pStyle w:val="Body"/>
        <w:numPr>
          <w:ilvl w:val="0"/>
          <w:numId w:val="15"/>
        </w:numPr>
        <w:spacing w:after="200" w:line="276" w:lineRule="auto"/>
        <w:ind w:left="0" w:firstLine="0"/>
        <w:rPr>
          <w:lang w:val="en-US"/>
        </w:rPr>
      </w:pPr>
      <w:r w:rsidRPr="0038045B">
        <w:rPr>
          <w:lang w:val="en-US"/>
        </w:rPr>
        <w:t xml:space="preserve">In </w:t>
      </w:r>
      <w:r w:rsidR="00E40B67" w:rsidRPr="0038045B">
        <w:rPr>
          <w:lang w:val="en-US"/>
        </w:rPr>
        <w:t>Albania</w:t>
      </w:r>
      <w:r w:rsidR="00333998" w:rsidRPr="0038045B">
        <w:rPr>
          <w:lang w:val="en-US"/>
        </w:rPr>
        <w:t xml:space="preserve"> </w:t>
      </w:r>
      <w:r w:rsidR="009C5540" w:rsidRPr="0038045B">
        <w:rPr>
          <w:lang w:val="en-US"/>
        </w:rPr>
        <w:t>there are currently no payment networks others than the ones already described in 4.2.1 and 4.2.2.</w:t>
      </w:r>
    </w:p>
    <w:p w14:paraId="6AD992D6" w14:textId="77777777" w:rsidR="00725622" w:rsidRPr="0038045B" w:rsidRDefault="00725622" w:rsidP="00725622">
      <w:pPr>
        <w:keepNext/>
        <w:spacing w:before="360" w:after="200" w:line="276" w:lineRule="auto"/>
        <w:jc w:val="both"/>
        <w:rPr>
          <w:b/>
          <w:i/>
          <w:color w:val="000000" w:themeColor="text1"/>
          <w:szCs w:val="24"/>
          <w:lang w:eastAsia="en-US"/>
        </w:rPr>
      </w:pPr>
      <w:r w:rsidRPr="0038045B">
        <w:rPr>
          <w:b/>
          <w:i/>
          <w:szCs w:val="24"/>
          <w:lang w:eastAsia="en-US"/>
        </w:rPr>
        <w:t>Observations and recommendations</w:t>
      </w:r>
    </w:p>
    <w:p w14:paraId="37E31414" w14:textId="77777777" w:rsidR="0068274C" w:rsidRPr="0038045B" w:rsidRDefault="00C36D33" w:rsidP="00E40B67">
      <w:pPr>
        <w:pStyle w:val="Body"/>
        <w:numPr>
          <w:ilvl w:val="0"/>
          <w:numId w:val="15"/>
        </w:numPr>
        <w:spacing w:after="200" w:line="276" w:lineRule="auto"/>
        <w:ind w:left="0" w:firstLine="0"/>
        <w:rPr>
          <w:i/>
          <w:lang w:val="en-US"/>
        </w:rPr>
      </w:pPr>
      <w:r w:rsidRPr="0038045B">
        <w:rPr>
          <w:i/>
          <w:lang w:val="en-US"/>
        </w:rPr>
        <w:t xml:space="preserve">Developing the agent banking business model in Albania could prove highly beneficial </w:t>
      </w:r>
      <w:r w:rsidR="00710282" w:rsidRPr="0038045B">
        <w:rPr>
          <w:i/>
          <w:lang w:val="en-US"/>
        </w:rPr>
        <w:t xml:space="preserve">to </w:t>
      </w:r>
      <w:r w:rsidRPr="0038045B">
        <w:rPr>
          <w:i/>
          <w:lang w:val="en-US"/>
        </w:rPr>
        <w:t>increas</w:t>
      </w:r>
      <w:r w:rsidR="00710282" w:rsidRPr="0038045B">
        <w:rPr>
          <w:i/>
          <w:lang w:val="en-US"/>
        </w:rPr>
        <w:t>e</w:t>
      </w:r>
      <w:r w:rsidRPr="0038045B">
        <w:rPr>
          <w:i/>
          <w:lang w:val="en-US"/>
        </w:rPr>
        <w:t xml:space="preserve"> the reachability and convenience of bank current</w:t>
      </w:r>
      <w:r w:rsidR="0076512E" w:rsidRPr="0038045B">
        <w:rPr>
          <w:i/>
          <w:lang w:val="en-US"/>
        </w:rPr>
        <w:t>/transaction</w:t>
      </w:r>
      <w:r w:rsidRPr="0038045B">
        <w:rPr>
          <w:i/>
          <w:lang w:val="en-US"/>
        </w:rPr>
        <w:t xml:space="preserve"> accounts to the population, especially for those individuals that live/work far from major financial districts. As it is the case in numerous countries in which this model has been implemented successfully,</w:t>
      </w:r>
      <w:r w:rsidRPr="0038045B">
        <w:rPr>
          <w:rStyle w:val="FootnoteReference"/>
          <w:i/>
          <w:lang w:val="en-US"/>
        </w:rPr>
        <w:footnoteReference w:id="74"/>
      </w:r>
      <w:r w:rsidRPr="0038045B">
        <w:rPr>
          <w:i/>
          <w:lang w:val="en-US"/>
        </w:rPr>
        <w:t xml:space="preserve"> agents (e.g. small family shops, </w:t>
      </w:r>
      <w:r w:rsidR="00710282" w:rsidRPr="0038045B">
        <w:rPr>
          <w:i/>
          <w:lang w:val="en-US"/>
        </w:rPr>
        <w:t xml:space="preserve">convenience stores, </w:t>
      </w:r>
      <w:r w:rsidRPr="0038045B">
        <w:rPr>
          <w:i/>
          <w:lang w:val="en-US"/>
        </w:rPr>
        <w:t xml:space="preserve">gas stations, </w:t>
      </w:r>
      <w:r w:rsidR="0076512E" w:rsidRPr="0038045B">
        <w:rPr>
          <w:i/>
          <w:lang w:val="en-US"/>
        </w:rPr>
        <w:t xml:space="preserve">real sector retailer chains, </w:t>
      </w:r>
      <w:r w:rsidRPr="0038045B">
        <w:rPr>
          <w:i/>
          <w:lang w:val="en-US"/>
        </w:rPr>
        <w:t xml:space="preserve">etc.) perform basic transactional operations on behalf of </w:t>
      </w:r>
      <w:r w:rsidR="00710282" w:rsidRPr="0038045B">
        <w:rPr>
          <w:i/>
          <w:lang w:val="en-US"/>
        </w:rPr>
        <w:t xml:space="preserve">one or more </w:t>
      </w:r>
      <w:r w:rsidRPr="0038045B">
        <w:rPr>
          <w:i/>
          <w:lang w:val="en-US"/>
        </w:rPr>
        <w:t xml:space="preserve">banks, </w:t>
      </w:r>
      <w:r w:rsidR="00710282" w:rsidRPr="0038045B">
        <w:rPr>
          <w:i/>
          <w:lang w:val="en-US"/>
        </w:rPr>
        <w:t xml:space="preserve">although </w:t>
      </w:r>
      <w:r w:rsidRPr="0038045B">
        <w:rPr>
          <w:i/>
          <w:lang w:val="en-US"/>
        </w:rPr>
        <w:t xml:space="preserve">the </w:t>
      </w:r>
      <w:r w:rsidR="00710282" w:rsidRPr="0038045B">
        <w:rPr>
          <w:i/>
          <w:lang w:val="en-US"/>
        </w:rPr>
        <w:t xml:space="preserve">banks always maintain </w:t>
      </w:r>
      <w:r w:rsidRPr="0038045B">
        <w:rPr>
          <w:i/>
          <w:lang w:val="en-US"/>
        </w:rPr>
        <w:t xml:space="preserve">full responsibility vis-à-vis customers and authorities for those operations. </w:t>
      </w:r>
      <w:r w:rsidR="00710282" w:rsidRPr="0038045B">
        <w:rPr>
          <w:i/>
          <w:lang w:val="en-US"/>
        </w:rPr>
        <w:t xml:space="preserve">The operations </w:t>
      </w:r>
      <w:r w:rsidRPr="0038045B">
        <w:rPr>
          <w:i/>
          <w:lang w:val="en-US"/>
        </w:rPr>
        <w:t xml:space="preserve">typically </w:t>
      </w:r>
      <w:r w:rsidR="00710282" w:rsidRPr="0038045B">
        <w:rPr>
          <w:i/>
          <w:lang w:val="en-US"/>
        </w:rPr>
        <w:t xml:space="preserve">performed by agents </w:t>
      </w:r>
      <w:r w:rsidRPr="0038045B">
        <w:rPr>
          <w:i/>
          <w:lang w:val="en-US"/>
        </w:rPr>
        <w:t xml:space="preserve">include cash withdrawals </w:t>
      </w:r>
      <w:r w:rsidR="00710282" w:rsidRPr="0038045B">
        <w:rPr>
          <w:i/>
          <w:lang w:val="en-US"/>
        </w:rPr>
        <w:t>from/</w:t>
      </w:r>
      <w:r w:rsidRPr="0038045B">
        <w:rPr>
          <w:i/>
          <w:lang w:val="en-US"/>
        </w:rPr>
        <w:t>deposits to bank accounts (</w:t>
      </w:r>
      <w:r w:rsidR="00710282" w:rsidRPr="0038045B">
        <w:rPr>
          <w:i/>
          <w:lang w:val="en-US"/>
        </w:rPr>
        <w:t xml:space="preserve">often </w:t>
      </w:r>
      <w:r w:rsidRPr="0038045B">
        <w:rPr>
          <w:i/>
          <w:lang w:val="en-US"/>
        </w:rPr>
        <w:t xml:space="preserve">up to a certain limit), </w:t>
      </w:r>
      <w:r w:rsidR="00710282" w:rsidRPr="0038045B">
        <w:rPr>
          <w:i/>
          <w:lang w:val="en-US"/>
        </w:rPr>
        <w:t xml:space="preserve">payment of utilities </w:t>
      </w:r>
      <w:r w:rsidR="003C2785" w:rsidRPr="0038045B">
        <w:rPr>
          <w:i/>
          <w:lang w:val="en-US"/>
        </w:rPr>
        <w:t>and p</w:t>
      </w:r>
      <w:r w:rsidR="00710282" w:rsidRPr="0038045B">
        <w:rPr>
          <w:i/>
          <w:lang w:val="en-US"/>
        </w:rPr>
        <w:t>ayment of loan installments</w:t>
      </w:r>
      <w:r w:rsidR="003C2785" w:rsidRPr="0038045B">
        <w:rPr>
          <w:i/>
          <w:lang w:val="en-US"/>
        </w:rPr>
        <w:t xml:space="preserve"> via the bank account or in cash</w:t>
      </w:r>
      <w:r w:rsidR="00710282" w:rsidRPr="0038045B">
        <w:rPr>
          <w:i/>
          <w:lang w:val="en-US"/>
        </w:rPr>
        <w:t>, etc.</w:t>
      </w:r>
      <w:r w:rsidR="00710282" w:rsidRPr="0038045B">
        <w:rPr>
          <w:rStyle w:val="FootnoteReference"/>
          <w:i/>
          <w:lang w:val="en-US"/>
        </w:rPr>
        <w:footnoteReference w:id="75"/>
      </w:r>
    </w:p>
    <w:p w14:paraId="1D861251" w14:textId="77777777" w:rsidR="00EA7679" w:rsidRPr="0038045B" w:rsidRDefault="00EA7679" w:rsidP="00E40B67">
      <w:pPr>
        <w:pStyle w:val="Body"/>
        <w:numPr>
          <w:ilvl w:val="0"/>
          <w:numId w:val="15"/>
        </w:numPr>
        <w:spacing w:after="200" w:line="276" w:lineRule="auto"/>
        <w:ind w:left="0" w:firstLine="0"/>
        <w:rPr>
          <w:i/>
          <w:lang w:val="en-US"/>
        </w:rPr>
      </w:pPr>
      <w:r w:rsidRPr="0038045B">
        <w:rPr>
          <w:i/>
          <w:lang w:val="en-US"/>
        </w:rPr>
        <w:t xml:space="preserve">Should the agent banking model be implemented in Albania, </w:t>
      </w:r>
      <w:r w:rsidR="00EF7EB3" w:rsidRPr="0038045B">
        <w:rPr>
          <w:i/>
          <w:lang w:val="en-US"/>
        </w:rPr>
        <w:t xml:space="preserve">Albania Post </w:t>
      </w:r>
      <w:r w:rsidRPr="0038045B">
        <w:rPr>
          <w:i/>
          <w:lang w:val="en-US"/>
        </w:rPr>
        <w:t>and SCAs</w:t>
      </w:r>
      <w:r w:rsidR="004E3658" w:rsidRPr="0038045B">
        <w:rPr>
          <w:i/>
          <w:lang w:val="en-US"/>
        </w:rPr>
        <w:t>, among other entities,</w:t>
      </w:r>
      <w:r w:rsidRPr="0038045B">
        <w:rPr>
          <w:i/>
          <w:lang w:val="en-US"/>
        </w:rPr>
        <w:t xml:space="preserve"> could play a major role as agents given </w:t>
      </w:r>
      <w:r w:rsidR="007D4E9B" w:rsidRPr="0038045B">
        <w:rPr>
          <w:i/>
          <w:lang w:val="en-US"/>
        </w:rPr>
        <w:t>their experience in serving rural and other isolated communiti</w:t>
      </w:r>
      <w:r w:rsidR="00DD487F" w:rsidRPr="0038045B">
        <w:rPr>
          <w:i/>
          <w:lang w:val="en-US"/>
        </w:rPr>
        <w:t>es</w:t>
      </w:r>
      <w:r w:rsidR="004E3658" w:rsidRPr="0038045B">
        <w:rPr>
          <w:i/>
          <w:lang w:val="en-US"/>
        </w:rPr>
        <w:t>.</w:t>
      </w:r>
      <w:r w:rsidR="00DD487F" w:rsidRPr="0038045B">
        <w:rPr>
          <w:i/>
          <w:lang w:val="en-US"/>
        </w:rPr>
        <w:t xml:space="preserve"> In any case, banks should be able to freely select those agents that they believe are most appropriate to their business plan and needs.</w:t>
      </w:r>
    </w:p>
    <w:p w14:paraId="3B79791B" w14:textId="77777777" w:rsidR="003C2785" w:rsidRPr="0038045B" w:rsidRDefault="003C2785" w:rsidP="003C2785">
      <w:pPr>
        <w:pStyle w:val="Body"/>
        <w:numPr>
          <w:ilvl w:val="0"/>
          <w:numId w:val="15"/>
        </w:numPr>
        <w:spacing w:after="200" w:line="276" w:lineRule="auto"/>
        <w:ind w:left="0" w:firstLine="0"/>
        <w:rPr>
          <w:i/>
          <w:lang w:val="en-US"/>
        </w:rPr>
      </w:pPr>
      <w:r w:rsidRPr="0038045B">
        <w:rPr>
          <w:i/>
          <w:lang w:val="en-US"/>
        </w:rPr>
        <w:t xml:space="preserve">It should also be noted that the effective reach of access points can also be augmented </w:t>
      </w:r>
      <w:r w:rsidRPr="0038045B">
        <w:rPr>
          <w:i/>
          <w:lang w:val="en-US"/>
        </w:rPr>
        <w:lastRenderedPageBreak/>
        <w:t>by achieving higher levels of interoperability of the existing channels and outlets (and of any new ones th</w:t>
      </w:r>
      <w:r w:rsidR="009306A9" w:rsidRPr="0038045B">
        <w:rPr>
          <w:i/>
          <w:lang w:val="en-US"/>
        </w:rPr>
        <w:t>at may be added in the future).</w:t>
      </w:r>
      <w:r w:rsidR="009306A9" w:rsidRPr="0038045B">
        <w:rPr>
          <w:rStyle w:val="FootnoteReference"/>
          <w:i/>
          <w:lang w:val="en-US"/>
        </w:rPr>
        <w:footnoteReference w:id="76"/>
      </w:r>
    </w:p>
    <w:p w14:paraId="3E27C5D1" w14:textId="77777777" w:rsidR="00EA7679" w:rsidRPr="0038045B" w:rsidRDefault="003C2785" w:rsidP="00C36D33">
      <w:pPr>
        <w:pStyle w:val="Body"/>
        <w:numPr>
          <w:ilvl w:val="0"/>
          <w:numId w:val="15"/>
        </w:numPr>
        <w:spacing w:after="200" w:line="276" w:lineRule="auto"/>
        <w:ind w:left="0" w:firstLine="0"/>
        <w:rPr>
          <w:i/>
          <w:lang w:val="en-US"/>
        </w:rPr>
      </w:pPr>
      <w:r w:rsidRPr="0038045B">
        <w:rPr>
          <w:i/>
          <w:lang w:val="en-US"/>
        </w:rPr>
        <w:t>In this same vein, f</w:t>
      </w:r>
      <w:r w:rsidR="00EA7679" w:rsidRPr="0038045B">
        <w:rPr>
          <w:i/>
          <w:lang w:val="en-US"/>
        </w:rPr>
        <w:t xml:space="preserve">or existing agent networks – as well as for any new ones that </w:t>
      </w:r>
      <w:r w:rsidRPr="0038045B">
        <w:rPr>
          <w:i/>
          <w:lang w:val="en-US"/>
        </w:rPr>
        <w:t>may</w:t>
      </w:r>
      <w:r w:rsidR="00EA7679" w:rsidRPr="0038045B">
        <w:rPr>
          <w:i/>
          <w:lang w:val="en-US"/>
        </w:rPr>
        <w:t xml:space="preserve"> be developed </w:t>
      </w:r>
      <w:r w:rsidR="004E3658" w:rsidRPr="0038045B">
        <w:rPr>
          <w:i/>
          <w:lang w:val="en-US"/>
        </w:rPr>
        <w:t>in the future including any agent banking ones</w:t>
      </w:r>
      <w:r w:rsidR="00EA7679" w:rsidRPr="0038045B">
        <w:rPr>
          <w:i/>
          <w:lang w:val="en-US"/>
        </w:rPr>
        <w:t xml:space="preserve"> </w:t>
      </w:r>
      <w:r w:rsidR="00DD487F" w:rsidRPr="0038045B">
        <w:rPr>
          <w:i/>
          <w:lang w:val="en-US"/>
        </w:rPr>
        <w:t>–</w:t>
      </w:r>
      <w:r w:rsidR="00EA7679" w:rsidRPr="0038045B">
        <w:rPr>
          <w:i/>
          <w:lang w:val="en-US"/>
        </w:rPr>
        <w:t xml:space="preserve"> authorities should</w:t>
      </w:r>
      <w:r w:rsidR="00DD487F" w:rsidRPr="0038045B">
        <w:rPr>
          <w:i/>
          <w:lang w:val="en-US"/>
        </w:rPr>
        <w:t>, as a general rule,</w:t>
      </w:r>
      <w:r w:rsidR="00EA7679" w:rsidRPr="0038045B">
        <w:rPr>
          <w:i/>
          <w:lang w:val="en-US"/>
        </w:rPr>
        <w:t xml:space="preserve"> forbid exclusivity agreements. A short period of exclusivity could be justified in certain cases by the need to invest in training and equipment, but such justification does not hold for open-ended exclusivity. </w:t>
      </w:r>
    </w:p>
    <w:p w14:paraId="16DCC7EF" w14:textId="77777777" w:rsidR="00BA2A13" w:rsidRPr="0038045B" w:rsidRDefault="00BA2A13" w:rsidP="00BA2A13">
      <w:pPr>
        <w:pStyle w:val="Heading2"/>
        <w:spacing w:before="360" w:after="240"/>
        <w:rPr>
          <w:b/>
          <w:sz w:val="24"/>
          <w:szCs w:val="24"/>
          <w:u w:val="none"/>
        </w:rPr>
      </w:pPr>
      <w:bookmarkStart w:id="93" w:name="_Toc476239731"/>
      <w:r w:rsidRPr="0038045B">
        <w:rPr>
          <w:b/>
          <w:sz w:val="24"/>
          <w:szCs w:val="24"/>
          <w:u w:val="none"/>
        </w:rPr>
        <w:t>Financial literacy</w:t>
      </w:r>
      <w:bookmarkEnd w:id="93"/>
    </w:p>
    <w:p w14:paraId="2EEEC99B" w14:textId="77777777" w:rsidR="00976D84" w:rsidRPr="0038045B" w:rsidRDefault="00976D84" w:rsidP="00C80F30">
      <w:pPr>
        <w:pStyle w:val="ListParagraph"/>
        <w:numPr>
          <w:ilvl w:val="0"/>
          <w:numId w:val="15"/>
        </w:numPr>
        <w:spacing w:after="200" w:line="276" w:lineRule="auto"/>
        <w:ind w:left="0" w:firstLine="0"/>
        <w:jc w:val="both"/>
      </w:pPr>
      <w:r w:rsidRPr="0038045B">
        <w:t>Obtaining access to a transaction account is a necessary but not sufficient condition for the effective use of the electronic payment instruments associated with such accounts. Educational and outreach efforts are often needed to enable new and even existing accountholders to effectively make use of retail payment services.</w:t>
      </w:r>
    </w:p>
    <w:p w14:paraId="19B9187A" w14:textId="77777777" w:rsidR="00F13FD9" w:rsidRPr="0038045B" w:rsidRDefault="00F13FD9" w:rsidP="00C80F30">
      <w:pPr>
        <w:pStyle w:val="ListParagraph"/>
        <w:numPr>
          <w:ilvl w:val="0"/>
          <w:numId w:val="15"/>
        </w:numPr>
        <w:spacing w:after="200" w:line="276" w:lineRule="auto"/>
        <w:ind w:left="0" w:firstLine="0"/>
        <w:jc w:val="both"/>
      </w:pPr>
      <w:r w:rsidRPr="0038045B">
        <w:rPr>
          <w:rFonts w:cs="Segoe UI"/>
        </w:rPr>
        <w:t xml:space="preserve">The process of transferring knowledge on the management of financial resources and on the usage of financial products and services is referred to as financial literacy, financial education or other similar terms. In the payments context, some of the key efforts in this regard include demonstration of the advantages of using the electronic payment services – </w:t>
      </w:r>
      <w:r w:rsidR="0074270C" w:rsidRPr="0038045B">
        <w:rPr>
          <w:rFonts w:cs="Segoe UI"/>
        </w:rPr>
        <w:t>i.e.</w:t>
      </w:r>
      <w:r w:rsidRPr="0038045B">
        <w:rPr>
          <w:rFonts w:cs="Segoe UI"/>
        </w:rPr>
        <w:t xml:space="preserve"> the safety, protections, recourse mechanisms, speed and convenience –, learning how to use specific payment instruments, such as a debit card or an electronic funds transfer, as well as building the trust and comfort of the clients with a transaction account and its use. Factual information on the reliability of the available services, including information on the operational performance of ATMs and POS devices, can also help address potential customer concerns regarding the accessibility of their funds. For the purposes of this report, this kind of efforts are referred to generally as “financial literacy” efforts.</w:t>
      </w:r>
    </w:p>
    <w:p w14:paraId="6CECB9A3" w14:textId="77777777" w:rsidR="00F13FD9" w:rsidRPr="0038045B" w:rsidRDefault="00F13FD9" w:rsidP="00C80F30">
      <w:pPr>
        <w:pStyle w:val="ListParagraph"/>
        <w:numPr>
          <w:ilvl w:val="0"/>
          <w:numId w:val="15"/>
        </w:numPr>
        <w:spacing w:after="200" w:line="276" w:lineRule="auto"/>
        <w:ind w:left="0" w:firstLine="0"/>
        <w:jc w:val="both"/>
      </w:pPr>
      <w:r w:rsidRPr="0038045B">
        <w:rPr>
          <w:lang w:eastAsia="en-GB"/>
        </w:rPr>
        <w:t>Another relevant aspect in this context is the level to which end-users are aware, or could become aware, of the financial product and service options available to them. End-users, even some of the most knowledgeable ones, may not have easy access to, or be familiar with, certain tools that can assist them in accessing useful, trustable and up</w:t>
      </w:r>
      <w:r w:rsidR="008467E4" w:rsidRPr="0038045B">
        <w:rPr>
          <w:lang w:eastAsia="en-GB"/>
        </w:rPr>
        <w:t>d</w:t>
      </w:r>
      <w:r w:rsidRPr="0038045B">
        <w:rPr>
          <w:lang w:eastAsia="en-GB"/>
        </w:rPr>
        <w:t>ated information on such options. Sub-optimal choices are frequent under such circumstances.</w:t>
      </w:r>
    </w:p>
    <w:p w14:paraId="509AA0B1" w14:textId="77777777" w:rsidR="00F13FD9" w:rsidRPr="0038045B" w:rsidRDefault="00F363B1" w:rsidP="00F13FD9">
      <w:pPr>
        <w:pStyle w:val="Heading3"/>
        <w:spacing w:before="480" w:after="240"/>
        <w:rPr>
          <w:b w:val="0"/>
          <w:i/>
        </w:rPr>
      </w:pPr>
      <w:bookmarkStart w:id="94" w:name="_Toc476239732"/>
      <w:r w:rsidRPr="0038045B">
        <w:rPr>
          <w:b w:val="0"/>
          <w:i/>
        </w:rPr>
        <w:lastRenderedPageBreak/>
        <w:t>Awareness and f</w:t>
      </w:r>
      <w:r w:rsidR="00F13FD9" w:rsidRPr="0038045B">
        <w:rPr>
          <w:b w:val="0"/>
          <w:i/>
        </w:rPr>
        <w:t xml:space="preserve">inancial literacy efforts in </w:t>
      </w:r>
      <w:r w:rsidR="00A92948" w:rsidRPr="0038045B">
        <w:rPr>
          <w:b w:val="0"/>
          <w:i/>
        </w:rPr>
        <w:t>Albania</w:t>
      </w:r>
      <w:bookmarkEnd w:id="94"/>
    </w:p>
    <w:p w14:paraId="57139784" w14:textId="77777777" w:rsidR="009D2760" w:rsidRPr="0038045B" w:rsidRDefault="009D2760" w:rsidP="009D2760">
      <w:pPr>
        <w:pStyle w:val="ListParagraph"/>
        <w:numPr>
          <w:ilvl w:val="0"/>
          <w:numId w:val="15"/>
        </w:numPr>
        <w:spacing w:after="200" w:line="276" w:lineRule="auto"/>
        <w:ind w:left="0" w:firstLine="0"/>
        <w:jc w:val="both"/>
        <w:rPr>
          <w:rFonts w:eastAsiaTheme="minorEastAsia"/>
        </w:rPr>
      </w:pPr>
      <w:r w:rsidRPr="0038045B">
        <w:rPr>
          <w:rFonts w:eastAsiaTheme="minorEastAsia"/>
          <w:color w:val="000000"/>
        </w:rPr>
        <w:t xml:space="preserve">For a number of years, the BoA has been engaged in promoting financial literacy and awareness. In the Medium-term Development Strategy of the Bank of Albania (2016-2018), promoting financial literacy is one of the key objectives. </w:t>
      </w:r>
      <w:r w:rsidRPr="0038045B">
        <w:rPr>
          <w:rFonts w:eastAsiaTheme="minorEastAsia"/>
        </w:rPr>
        <w:t xml:space="preserve">The aim is to establish a genuine financial literacy in </w:t>
      </w:r>
      <w:r w:rsidR="00F208FE" w:rsidRPr="0038045B">
        <w:rPr>
          <w:rFonts w:eastAsiaTheme="minorEastAsia"/>
        </w:rPr>
        <w:t xml:space="preserve">the </w:t>
      </w:r>
      <w:r w:rsidRPr="0038045B">
        <w:rPr>
          <w:rFonts w:eastAsiaTheme="minorEastAsia"/>
        </w:rPr>
        <w:t>Albanian society by</w:t>
      </w:r>
      <w:r w:rsidR="00F208FE" w:rsidRPr="0038045B">
        <w:rPr>
          <w:rFonts w:eastAsiaTheme="minorEastAsia"/>
        </w:rPr>
        <w:t xml:space="preserve"> helping </w:t>
      </w:r>
      <w:r w:rsidRPr="0038045B">
        <w:rPr>
          <w:rFonts w:eastAsiaTheme="minorEastAsia"/>
        </w:rPr>
        <w:t xml:space="preserve">consumers, </w:t>
      </w:r>
      <w:r w:rsidR="00F208FE" w:rsidRPr="0038045B">
        <w:rPr>
          <w:rFonts w:eastAsiaTheme="minorEastAsia"/>
        </w:rPr>
        <w:t>businesses</w:t>
      </w:r>
      <w:r w:rsidRPr="0038045B">
        <w:rPr>
          <w:rFonts w:eastAsiaTheme="minorEastAsia"/>
        </w:rPr>
        <w:t xml:space="preserve"> and investors </w:t>
      </w:r>
      <w:r w:rsidR="00F208FE" w:rsidRPr="0038045B">
        <w:rPr>
          <w:rFonts w:eastAsiaTheme="minorEastAsia"/>
        </w:rPr>
        <w:t xml:space="preserve">in making </w:t>
      </w:r>
      <w:r w:rsidRPr="0038045B">
        <w:rPr>
          <w:rFonts w:eastAsiaTheme="minorEastAsia"/>
        </w:rPr>
        <w:t xml:space="preserve">financial decisions more </w:t>
      </w:r>
      <w:r w:rsidR="00F208FE" w:rsidRPr="0038045B">
        <w:rPr>
          <w:rFonts w:eastAsiaTheme="minorEastAsia"/>
        </w:rPr>
        <w:t>wisely</w:t>
      </w:r>
      <w:r w:rsidRPr="0038045B">
        <w:rPr>
          <w:rFonts w:eastAsiaTheme="minorEastAsia"/>
        </w:rPr>
        <w:t>.</w:t>
      </w:r>
    </w:p>
    <w:p w14:paraId="25A88E67" w14:textId="69CF6FC2" w:rsidR="00D32C58" w:rsidRPr="0038045B" w:rsidRDefault="00D32C58" w:rsidP="00E17A9B">
      <w:pPr>
        <w:pStyle w:val="ListParagraph"/>
        <w:numPr>
          <w:ilvl w:val="0"/>
          <w:numId w:val="15"/>
        </w:numPr>
        <w:spacing w:after="200" w:line="276" w:lineRule="auto"/>
        <w:ind w:left="0" w:firstLine="0"/>
        <w:jc w:val="both"/>
        <w:rPr>
          <w:rFonts w:eastAsiaTheme="minorEastAsia"/>
        </w:rPr>
      </w:pPr>
      <w:r w:rsidRPr="0038045B">
        <w:rPr>
          <w:rFonts w:eastAsiaTheme="minorEastAsia"/>
          <w:lang w:val="en-GB"/>
        </w:rPr>
        <w:t>At the more general level, starting from 2006 the BoA has been very active in the publication and distribution of educational materials and delivering educational activities. These publications inform the public in a simple language about the functions, objectives and the activity of the BoA. Among these materials, the BoA has published brochures on payment services and products, including consumer rights and responsibilities, which are distributed also through the commercial bank network. Further dissemination of information is supported by the BoA’s Training and Research Centre in Berat (South of Albania). This Centre was established with the purpose to organize and host activities related primarily to issues on central banking as well as macro economy, commercial banking, financial system, banking supervision and financial literacy. The Centre serves as a rendezvous for workshops, training sessions, and roundtables for enhancing scientific knowledge on central banking.</w:t>
      </w:r>
    </w:p>
    <w:p w14:paraId="4E6BCB07" w14:textId="1E6DEA1B" w:rsidR="004A0D37" w:rsidRPr="0038045B" w:rsidRDefault="00D32C58" w:rsidP="00E17A9B">
      <w:pPr>
        <w:pStyle w:val="ListParagraph"/>
        <w:numPr>
          <w:ilvl w:val="0"/>
          <w:numId w:val="15"/>
        </w:numPr>
        <w:spacing w:after="200" w:line="276" w:lineRule="auto"/>
        <w:ind w:left="0" w:firstLine="0"/>
        <w:jc w:val="both"/>
        <w:rPr>
          <w:rFonts w:eastAsiaTheme="minorEastAsia"/>
        </w:rPr>
      </w:pPr>
      <w:r w:rsidRPr="0038045B">
        <w:rPr>
          <w:lang w:val="en-GB"/>
        </w:rPr>
        <w:t xml:space="preserve">Financial literacy is partially integrated into the national pre-university curriculum at both primary/elementary and secondary/high school levels, named </w:t>
      </w:r>
      <w:r w:rsidRPr="0038045B">
        <w:rPr>
          <w:rFonts w:eastAsiaTheme="minorEastAsia"/>
          <w:lang w:val="en-GB"/>
        </w:rPr>
        <w:t>“Personal finance in your hands”</w:t>
      </w:r>
      <w:r w:rsidRPr="0038045B">
        <w:rPr>
          <w:lang w:val="en-GB"/>
        </w:rPr>
        <w:t xml:space="preserve">. Both these courses are not mandatory. In contrast, there is a dedicated and mandatory course for high school students, in economic education. The BoA trains the teachers that will teach these courses to students. The courses include an introduction of payment systems and services. There are also other </w:t>
      </w:r>
      <w:r w:rsidRPr="0038045B">
        <w:rPr>
          <w:rFonts w:eastAsiaTheme="minorEastAsia"/>
          <w:lang w:val="en-GB"/>
        </w:rPr>
        <w:t xml:space="preserve">awareness campaigns for primary and secondary school students led by the BoA in partnership with the AAB and the Ministry of Education and Sport. Topics include information on Bank of Albania role in the economy, the Albanian money, functions of money, main financial products and services, payment instruments, personal budget administration, saving and investing, etc. These campaigns are further intensified during the Global Money Week, where a number of promotional events and competitions are performed all over the country, including some discussion sessions that are aired in TV. </w:t>
      </w:r>
      <w:r w:rsidRPr="0038045B">
        <w:rPr>
          <w:lang w:val="en-GB"/>
        </w:rPr>
        <w:t>BoA is a regular member of the OECD’s International Network on Financial Education (INFE) since 2011, and has been part of the Financial Literacy first and second measurements (</w:t>
      </w:r>
      <w:hyperlink r:id="rId18" w:history="1">
        <w:r w:rsidRPr="0038045B">
          <w:rPr>
            <w:rStyle w:val="Hyperlink"/>
            <w:lang w:val="en-GB"/>
          </w:rPr>
          <w:t>http://www.oecd.org/daf/fin/financial-education/measuringfinancialliteracy.htm</w:t>
        </w:r>
      </w:hyperlink>
      <w:r w:rsidRPr="0038045B">
        <w:rPr>
          <w:lang w:val="en-GB"/>
        </w:rPr>
        <w:t>).</w:t>
      </w:r>
    </w:p>
    <w:p w14:paraId="18589B92" w14:textId="79BAE10D" w:rsidR="009D2760" w:rsidRPr="0038045B" w:rsidRDefault="00044EFC" w:rsidP="009D2760">
      <w:pPr>
        <w:pStyle w:val="ListParagraph"/>
        <w:numPr>
          <w:ilvl w:val="0"/>
          <w:numId w:val="15"/>
        </w:numPr>
        <w:spacing w:after="200" w:line="276" w:lineRule="auto"/>
        <w:ind w:left="0" w:firstLine="0"/>
        <w:jc w:val="both"/>
      </w:pPr>
      <w:r w:rsidRPr="0038045B">
        <w:t>The AAB signed a Memorandum of Cooperation with the BoA on joint activities and initiatives of financial education in 2014, and i</w:t>
      </w:r>
      <w:r w:rsidR="009D2760" w:rsidRPr="0038045B">
        <w:t xml:space="preserve">s also active </w:t>
      </w:r>
      <w:r w:rsidR="00736D49" w:rsidRPr="0038045B">
        <w:t xml:space="preserve">on its own </w:t>
      </w:r>
      <w:r w:rsidR="009D2760" w:rsidRPr="0038045B">
        <w:t>in the financial literacy space</w:t>
      </w:r>
      <w:r w:rsidRPr="0038045B">
        <w:t xml:space="preserve">. Main activities include </w:t>
      </w:r>
      <w:r w:rsidR="009D2760" w:rsidRPr="0038045B">
        <w:t xml:space="preserve">publications, workshops and lectures in high schools and universities, as well as through a larger visibility in the social networks, with free </w:t>
      </w:r>
      <w:r w:rsidR="009D2760" w:rsidRPr="0038045B">
        <w:lastRenderedPageBreak/>
        <w:t xml:space="preserve">accessible materials and videos. Since 2012, </w:t>
      </w:r>
      <w:r w:rsidR="0076512E" w:rsidRPr="0038045B">
        <w:t xml:space="preserve">the </w:t>
      </w:r>
      <w:r w:rsidR="009D2760" w:rsidRPr="0038045B">
        <w:t xml:space="preserve">AAB is </w:t>
      </w:r>
      <w:r w:rsidR="00736D49" w:rsidRPr="0038045B">
        <w:t xml:space="preserve">an </w:t>
      </w:r>
      <w:r w:rsidR="009D2760" w:rsidRPr="0038045B">
        <w:t>affiliate member of the OECD</w:t>
      </w:r>
      <w:r w:rsidR="00736D49" w:rsidRPr="0038045B">
        <w:t>’s</w:t>
      </w:r>
      <w:r w:rsidR="009D2760" w:rsidRPr="0038045B">
        <w:t xml:space="preserve"> International Network on Financial Education (INFE). .</w:t>
      </w:r>
    </w:p>
    <w:p w14:paraId="1A54E338" w14:textId="77777777" w:rsidR="009D2760" w:rsidRPr="0038045B" w:rsidRDefault="009D2760" w:rsidP="009D2760">
      <w:pPr>
        <w:pStyle w:val="ListParagraph"/>
        <w:numPr>
          <w:ilvl w:val="0"/>
          <w:numId w:val="15"/>
        </w:numPr>
        <w:spacing w:after="200" w:line="276" w:lineRule="auto"/>
        <w:ind w:left="0" w:firstLine="0"/>
        <w:jc w:val="both"/>
      </w:pPr>
      <w:r w:rsidRPr="0038045B">
        <w:t xml:space="preserve">Another association committed to financial literacy and education is </w:t>
      </w:r>
      <w:r w:rsidR="00F208FE" w:rsidRPr="0038045B">
        <w:t>“</w:t>
      </w:r>
      <w:r w:rsidRPr="0038045B">
        <w:t>Junior Achievement</w:t>
      </w:r>
      <w:r w:rsidR="00F208FE" w:rsidRPr="0038045B">
        <w:t>”</w:t>
      </w:r>
      <w:r w:rsidRPr="0038045B">
        <w:t xml:space="preserve"> (JA), through its program applied in 150 secondary schools in Albania, where students are </w:t>
      </w:r>
      <w:r w:rsidR="0076512E" w:rsidRPr="0038045B">
        <w:t>“</w:t>
      </w:r>
      <w:r w:rsidRPr="0038045B">
        <w:t>challenged</w:t>
      </w:r>
      <w:r w:rsidR="0076512E" w:rsidRPr="0038045B">
        <w:t xml:space="preserve">” on their </w:t>
      </w:r>
      <w:r w:rsidRPr="0038045B">
        <w:t>knowledge about financial terminology, cost-benefit analysis, raising the initial capital investment through shareholders, setting financial goals, preparing simple financial statements (inflows-outflows), etc. In cooperation with the B</w:t>
      </w:r>
      <w:r w:rsidR="00186692" w:rsidRPr="0038045B">
        <w:t>oA</w:t>
      </w:r>
      <w:r w:rsidRPr="0038045B">
        <w:t xml:space="preserve"> and </w:t>
      </w:r>
      <w:r w:rsidR="00186692" w:rsidRPr="0038045B">
        <w:t>the AAB</w:t>
      </w:r>
      <w:r w:rsidRPr="0038045B">
        <w:t xml:space="preserve">, JA is </w:t>
      </w:r>
      <w:r w:rsidR="00186692" w:rsidRPr="0038045B">
        <w:t xml:space="preserve">also </w:t>
      </w:r>
      <w:r w:rsidRPr="0038045B">
        <w:t>performing various programs/events through the country, such as: open lessons from BoA’s and commercial banks representatives with students of finance at the universities of Tirana, Elbasan, Durres and Korçe</w:t>
      </w:r>
      <w:r w:rsidR="00186692" w:rsidRPr="0038045B">
        <w:t>;</w:t>
      </w:r>
      <w:r w:rsidRPr="0038045B">
        <w:t xml:space="preserve"> visits of students to commercial banks branches</w:t>
      </w:r>
      <w:r w:rsidR="00186692" w:rsidRPr="0038045B">
        <w:t>;</w:t>
      </w:r>
      <w:r w:rsidRPr="0038045B">
        <w:t xml:space="preserve"> Competition “Acting like bankers” at the University of Integrated Studies, Durres, etc.</w:t>
      </w:r>
    </w:p>
    <w:p w14:paraId="459D9124" w14:textId="77777777" w:rsidR="00186692" w:rsidRPr="0038045B" w:rsidRDefault="00186692" w:rsidP="009D2760">
      <w:pPr>
        <w:pStyle w:val="ListParagraph"/>
        <w:numPr>
          <w:ilvl w:val="0"/>
          <w:numId w:val="15"/>
        </w:numPr>
        <w:spacing w:after="200" w:line="276" w:lineRule="auto"/>
        <w:ind w:left="0" w:firstLine="0"/>
        <w:jc w:val="both"/>
      </w:pPr>
      <w:r w:rsidRPr="0038045B">
        <w:t>The role of individual banks is essentially limited to onboarding</w:t>
      </w:r>
      <w:r w:rsidR="00044EFC" w:rsidRPr="0038045B">
        <w:t xml:space="preserve"> of new customers.</w:t>
      </w:r>
    </w:p>
    <w:p w14:paraId="48D5FBF4" w14:textId="77777777" w:rsidR="009D2760" w:rsidRPr="0038045B" w:rsidRDefault="009D2760" w:rsidP="009D2760">
      <w:pPr>
        <w:keepNext/>
        <w:spacing w:before="360" w:after="200" w:line="276" w:lineRule="auto"/>
        <w:jc w:val="both"/>
        <w:rPr>
          <w:b/>
          <w:i/>
          <w:color w:val="000000"/>
          <w:szCs w:val="24"/>
          <w:lang w:eastAsia="en-US"/>
        </w:rPr>
      </w:pPr>
      <w:r w:rsidRPr="0038045B">
        <w:rPr>
          <w:b/>
          <w:i/>
          <w:szCs w:val="24"/>
          <w:lang w:eastAsia="en-US"/>
        </w:rPr>
        <w:t>Observations and recommendations</w:t>
      </w:r>
    </w:p>
    <w:p w14:paraId="542F8C5E" w14:textId="77777777" w:rsidR="00A14D98" w:rsidRPr="0038045B" w:rsidRDefault="00044EFC" w:rsidP="00E17A9B">
      <w:pPr>
        <w:pStyle w:val="Body"/>
        <w:numPr>
          <w:ilvl w:val="0"/>
          <w:numId w:val="15"/>
        </w:numPr>
        <w:tabs>
          <w:tab w:val="left" w:pos="270"/>
        </w:tabs>
        <w:spacing w:after="200" w:line="276" w:lineRule="auto"/>
        <w:ind w:left="0" w:firstLine="0"/>
        <w:rPr>
          <w:i/>
          <w:lang w:val="en-US"/>
        </w:rPr>
      </w:pPr>
      <w:r w:rsidRPr="0038045B">
        <w:rPr>
          <w:i/>
          <w:lang w:val="en-US"/>
        </w:rPr>
        <w:t>T</w:t>
      </w:r>
      <w:r w:rsidR="009D2760" w:rsidRPr="0038045B">
        <w:rPr>
          <w:i/>
          <w:lang w:val="en-US"/>
        </w:rPr>
        <w:t xml:space="preserve">he </w:t>
      </w:r>
      <w:r w:rsidRPr="0038045B">
        <w:rPr>
          <w:i/>
          <w:lang w:val="en-US"/>
        </w:rPr>
        <w:t xml:space="preserve">BoA, the </w:t>
      </w:r>
      <w:r w:rsidR="009D2760" w:rsidRPr="0038045B">
        <w:rPr>
          <w:i/>
          <w:lang w:val="en-US"/>
        </w:rPr>
        <w:t>government and financial sector entities are active in the promotion of financial literacy</w:t>
      </w:r>
      <w:r w:rsidRPr="0038045B">
        <w:rPr>
          <w:i/>
          <w:lang w:val="en-US"/>
        </w:rPr>
        <w:t xml:space="preserve"> in Albania</w:t>
      </w:r>
      <w:r w:rsidR="009D2760" w:rsidRPr="0038045B">
        <w:rPr>
          <w:i/>
          <w:lang w:val="en-US"/>
        </w:rPr>
        <w:t>. Led by the B</w:t>
      </w:r>
      <w:r w:rsidRPr="0038045B">
        <w:rPr>
          <w:i/>
          <w:lang w:val="en-US"/>
        </w:rPr>
        <w:t>oA</w:t>
      </w:r>
      <w:r w:rsidR="009D2760" w:rsidRPr="0038045B">
        <w:rPr>
          <w:i/>
          <w:lang w:val="en-US"/>
        </w:rPr>
        <w:t xml:space="preserve"> </w:t>
      </w:r>
      <w:r w:rsidRPr="0038045B">
        <w:rPr>
          <w:i/>
          <w:lang w:val="en-US"/>
        </w:rPr>
        <w:t>and the AAB</w:t>
      </w:r>
      <w:r w:rsidR="009D2760" w:rsidRPr="0038045B">
        <w:rPr>
          <w:i/>
          <w:lang w:val="en-US"/>
        </w:rPr>
        <w:t xml:space="preserve">, </w:t>
      </w:r>
      <w:r w:rsidRPr="0038045B">
        <w:rPr>
          <w:i/>
          <w:lang w:val="en-US"/>
        </w:rPr>
        <w:t xml:space="preserve">existing </w:t>
      </w:r>
      <w:r w:rsidR="009D2760" w:rsidRPr="0038045B">
        <w:rPr>
          <w:i/>
          <w:lang w:val="en-US"/>
        </w:rPr>
        <w:t xml:space="preserve">financial education initiatives are mostly focused at increasing the level of financial literacy among </w:t>
      </w:r>
      <w:r w:rsidRPr="0038045B">
        <w:rPr>
          <w:i/>
          <w:lang w:val="en-US"/>
        </w:rPr>
        <w:t xml:space="preserve">school </w:t>
      </w:r>
      <w:r w:rsidR="009D2760" w:rsidRPr="0038045B">
        <w:rPr>
          <w:i/>
          <w:lang w:val="en-US"/>
        </w:rPr>
        <w:t>students. These are commendable efforts</w:t>
      </w:r>
      <w:r w:rsidR="00A14D98" w:rsidRPr="0038045B">
        <w:rPr>
          <w:i/>
          <w:lang w:val="en-US"/>
        </w:rPr>
        <w:t>,</w:t>
      </w:r>
      <w:r w:rsidR="009D2760" w:rsidRPr="0038045B">
        <w:rPr>
          <w:i/>
          <w:lang w:val="en-US"/>
        </w:rPr>
        <w:t xml:space="preserve"> and should be continued and strengthened.</w:t>
      </w:r>
      <w:r w:rsidR="0078070B" w:rsidRPr="0038045B">
        <w:rPr>
          <w:i/>
          <w:lang w:val="en-US"/>
        </w:rPr>
        <w:t xml:space="preserve"> </w:t>
      </w:r>
    </w:p>
    <w:p w14:paraId="3F28CBFD" w14:textId="77777777" w:rsidR="0078070B" w:rsidRPr="0038045B" w:rsidRDefault="0078070B" w:rsidP="00E17A9B">
      <w:pPr>
        <w:pStyle w:val="Body"/>
        <w:numPr>
          <w:ilvl w:val="0"/>
          <w:numId w:val="15"/>
        </w:numPr>
        <w:tabs>
          <w:tab w:val="left" w:pos="270"/>
        </w:tabs>
        <w:spacing w:after="200" w:line="276" w:lineRule="auto"/>
        <w:ind w:left="0" w:firstLine="0"/>
        <w:rPr>
          <w:i/>
          <w:lang w:val="en-US"/>
        </w:rPr>
      </w:pPr>
      <w:r w:rsidRPr="0038045B">
        <w:rPr>
          <w:i/>
          <w:lang w:val="en-US"/>
        </w:rPr>
        <w:t>In particular, initiatives to advance financial literacy still seem to a certain extent limited and with no explicit long-range strategy</w:t>
      </w:r>
      <w:r w:rsidR="00A14D98" w:rsidRPr="0038045B">
        <w:rPr>
          <w:i/>
          <w:lang w:val="en-US"/>
        </w:rPr>
        <w:t>. C</w:t>
      </w:r>
      <w:r w:rsidRPr="0038045B">
        <w:rPr>
          <w:i/>
          <w:lang w:val="en-US"/>
        </w:rPr>
        <w:t xml:space="preserve">oordination of the </w:t>
      </w:r>
      <w:r w:rsidR="00A14D98" w:rsidRPr="0038045B">
        <w:rPr>
          <w:i/>
          <w:lang w:val="en-US"/>
        </w:rPr>
        <w:t xml:space="preserve">various </w:t>
      </w:r>
      <w:r w:rsidRPr="0038045B">
        <w:rPr>
          <w:i/>
          <w:lang w:val="en-US"/>
        </w:rPr>
        <w:t>efforts could be further improved</w:t>
      </w:r>
      <w:r w:rsidR="00A14D98" w:rsidRPr="0038045B">
        <w:rPr>
          <w:i/>
          <w:lang w:val="en-US"/>
        </w:rPr>
        <w:t>. P</w:t>
      </w:r>
      <w:r w:rsidRPr="0038045B">
        <w:rPr>
          <w:i/>
          <w:lang w:val="en-US"/>
        </w:rPr>
        <w:t xml:space="preserve">articipation </w:t>
      </w:r>
      <w:r w:rsidR="00A14D98" w:rsidRPr="0038045B">
        <w:rPr>
          <w:i/>
          <w:lang w:val="en-US"/>
        </w:rPr>
        <w:t xml:space="preserve">in these efforts by additional </w:t>
      </w:r>
      <w:r w:rsidRPr="0038045B">
        <w:rPr>
          <w:i/>
          <w:lang w:val="en-US"/>
        </w:rPr>
        <w:t xml:space="preserve">stakeholders from </w:t>
      </w:r>
      <w:r w:rsidR="00A14D98" w:rsidRPr="0038045B">
        <w:rPr>
          <w:i/>
          <w:lang w:val="en-US"/>
        </w:rPr>
        <w:t xml:space="preserve">at least </w:t>
      </w:r>
      <w:r w:rsidRPr="0038045B">
        <w:rPr>
          <w:i/>
          <w:lang w:val="en-US"/>
        </w:rPr>
        <w:t>the public sector</w:t>
      </w:r>
      <w:r w:rsidR="00A14D98" w:rsidRPr="0038045B">
        <w:rPr>
          <w:i/>
          <w:lang w:val="en-US"/>
        </w:rPr>
        <w:t xml:space="preserve"> is also recommended (e.g. authorities responsible for consumer education, labor and employment, social protection, among others).</w:t>
      </w:r>
      <w:r w:rsidRPr="0038045B">
        <w:rPr>
          <w:i/>
          <w:lang w:val="en-US"/>
        </w:rPr>
        <w:t xml:space="preserve"> </w:t>
      </w:r>
    </w:p>
    <w:p w14:paraId="1B267A96" w14:textId="77777777" w:rsidR="007157B7" w:rsidRPr="0038045B" w:rsidRDefault="0078070B" w:rsidP="007157B7">
      <w:pPr>
        <w:pStyle w:val="Body"/>
        <w:numPr>
          <w:ilvl w:val="0"/>
          <w:numId w:val="15"/>
        </w:numPr>
        <w:tabs>
          <w:tab w:val="left" w:pos="270"/>
        </w:tabs>
        <w:spacing w:after="200" w:line="276" w:lineRule="auto"/>
        <w:ind w:left="0" w:firstLine="0"/>
        <w:rPr>
          <w:i/>
          <w:lang w:val="en-US"/>
        </w:rPr>
      </w:pPr>
      <w:r w:rsidRPr="0038045B">
        <w:rPr>
          <w:i/>
          <w:lang w:val="en-US"/>
        </w:rPr>
        <w:t>T</w:t>
      </w:r>
      <w:r w:rsidR="007157B7" w:rsidRPr="0038045B">
        <w:rPr>
          <w:i/>
          <w:lang w:val="en-US"/>
        </w:rPr>
        <w:t xml:space="preserve">he BoA </w:t>
      </w:r>
      <w:r w:rsidRPr="0038045B">
        <w:rPr>
          <w:i/>
          <w:lang w:val="en-US"/>
        </w:rPr>
        <w:t xml:space="preserve">should </w:t>
      </w:r>
      <w:r w:rsidR="007157B7" w:rsidRPr="0038045B">
        <w:rPr>
          <w:i/>
          <w:lang w:val="en-US"/>
        </w:rPr>
        <w:t xml:space="preserve">measure </w:t>
      </w:r>
      <w:r w:rsidR="005530F2" w:rsidRPr="0038045B">
        <w:rPr>
          <w:i/>
          <w:lang w:val="en-US"/>
        </w:rPr>
        <w:t xml:space="preserve">as objectively as possible the </w:t>
      </w:r>
      <w:r w:rsidR="007157B7" w:rsidRPr="0038045B">
        <w:rPr>
          <w:i/>
          <w:lang w:val="en-US"/>
        </w:rPr>
        <w:t xml:space="preserve">effectiveness of the financial education </w:t>
      </w:r>
      <w:r w:rsidR="005530F2" w:rsidRPr="0038045B">
        <w:rPr>
          <w:i/>
          <w:lang w:val="en-US"/>
        </w:rPr>
        <w:t xml:space="preserve">efforts and </w:t>
      </w:r>
      <w:r w:rsidR="007157B7" w:rsidRPr="0038045B">
        <w:rPr>
          <w:i/>
          <w:lang w:val="en-US"/>
        </w:rPr>
        <w:t>program</w:t>
      </w:r>
      <w:r w:rsidR="005530F2" w:rsidRPr="0038045B">
        <w:rPr>
          <w:i/>
          <w:lang w:val="en-US"/>
        </w:rPr>
        <w:t>s it has u</w:t>
      </w:r>
      <w:r w:rsidR="007157B7" w:rsidRPr="0038045B">
        <w:rPr>
          <w:i/>
          <w:lang w:val="en-US"/>
        </w:rPr>
        <w:t>ndertaken so far</w:t>
      </w:r>
      <w:r w:rsidR="00AB1092" w:rsidRPr="0038045B">
        <w:rPr>
          <w:i/>
          <w:lang w:val="en-US"/>
        </w:rPr>
        <w:t xml:space="preserve"> (e.g. in terms of how many more people are now aware of existing payment and other financial products, how many have changed their behavior as a result of the information that was made available to them, etc.).</w:t>
      </w:r>
      <w:r w:rsidR="005530F2" w:rsidRPr="0038045B">
        <w:rPr>
          <w:i/>
          <w:lang w:val="en-US"/>
        </w:rPr>
        <w:t xml:space="preserve"> This is crucial </w:t>
      </w:r>
      <w:r w:rsidRPr="0038045B">
        <w:rPr>
          <w:i/>
          <w:lang w:val="en-US"/>
        </w:rPr>
        <w:t xml:space="preserve">in order </w:t>
      </w:r>
      <w:r w:rsidR="005530F2" w:rsidRPr="0038045B">
        <w:rPr>
          <w:i/>
          <w:lang w:val="en-US"/>
        </w:rPr>
        <w:t>for the BoA to make informed decisions on whether it should continue to pursue its current path, or if it is necessary to make changes</w:t>
      </w:r>
      <w:r w:rsidR="00AB1092" w:rsidRPr="0038045B">
        <w:rPr>
          <w:i/>
          <w:lang w:val="en-US"/>
        </w:rPr>
        <w:t xml:space="preserve"> and/or adjustments</w:t>
      </w:r>
      <w:r w:rsidR="005530F2" w:rsidRPr="0038045B">
        <w:rPr>
          <w:i/>
          <w:lang w:val="en-US"/>
        </w:rPr>
        <w:t xml:space="preserve"> to aspects such as the training materials themselves, the form in which these are delivered and/or distributed, the target group(s), etc.</w:t>
      </w:r>
      <w:r w:rsidR="00AB1092" w:rsidRPr="0038045B">
        <w:rPr>
          <w:i/>
          <w:lang w:val="en-US"/>
        </w:rPr>
        <w:t xml:space="preserve"> </w:t>
      </w:r>
    </w:p>
    <w:p w14:paraId="2E397F85" w14:textId="77777777" w:rsidR="009D2760" w:rsidRPr="0038045B" w:rsidRDefault="00947D83" w:rsidP="00E17A9B">
      <w:pPr>
        <w:pStyle w:val="Body"/>
        <w:numPr>
          <w:ilvl w:val="0"/>
          <w:numId w:val="15"/>
        </w:numPr>
        <w:tabs>
          <w:tab w:val="left" w:pos="270"/>
        </w:tabs>
        <w:spacing w:after="200" w:line="276" w:lineRule="auto"/>
        <w:ind w:left="0" w:firstLine="0"/>
        <w:rPr>
          <w:i/>
          <w:lang w:val="en-US"/>
        </w:rPr>
      </w:pPr>
      <w:r w:rsidRPr="0038045B">
        <w:rPr>
          <w:i/>
          <w:lang w:val="en-US"/>
        </w:rPr>
        <w:t>It is highly important that f</w:t>
      </w:r>
      <w:r w:rsidR="009D2760" w:rsidRPr="0038045B">
        <w:rPr>
          <w:i/>
          <w:lang w:val="en-US"/>
        </w:rPr>
        <w:t xml:space="preserve">inancial literacy efforts specifically address </w:t>
      </w:r>
      <w:r w:rsidR="005530F2" w:rsidRPr="0038045B">
        <w:rPr>
          <w:i/>
          <w:lang w:val="en-US"/>
        </w:rPr>
        <w:t xml:space="preserve">how bank and e-money accounts can effectively help meet an individual’s </w:t>
      </w:r>
      <w:r w:rsidR="007157B7" w:rsidRPr="0038045B">
        <w:rPr>
          <w:i/>
          <w:lang w:val="en-US"/>
        </w:rPr>
        <w:t>payment and store-of-value needs</w:t>
      </w:r>
      <w:r w:rsidR="009D2760" w:rsidRPr="0038045B">
        <w:rPr>
          <w:i/>
          <w:lang w:val="en-US"/>
        </w:rPr>
        <w:t>,</w:t>
      </w:r>
      <w:r w:rsidR="007157B7" w:rsidRPr="0038045B">
        <w:rPr>
          <w:i/>
          <w:lang w:val="en-US"/>
        </w:rPr>
        <w:t xml:space="preserve"> and should target those individuals that do not have an account and those that obtained one only recently</w:t>
      </w:r>
      <w:r w:rsidR="009D2760" w:rsidRPr="0038045B">
        <w:rPr>
          <w:i/>
          <w:lang w:val="en-US"/>
        </w:rPr>
        <w:t xml:space="preserve">. Remittances – as a basic service that is often the first to be accessed by the un(der)served population – should also be well covered </w:t>
      </w:r>
      <w:r w:rsidR="005530F2" w:rsidRPr="0038045B">
        <w:rPr>
          <w:i/>
          <w:lang w:val="en-US"/>
        </w:rPr>
        <w:t xml:space="preserve">by awareness and literacy efforts </w:t>
      </w:r>
      <w:r w:rsidR="009D2760" w:rsidRPr="0038045B">
        <w:rPr>
          <w:i/>
          <w:lang w:val="en-US"/>
        </w:rPr>
        <w:t xml:space="preserve">and </w:t>
      </w:r>
      <w:r w:rsidR="009D2760" w:rsidRPr="0038045B">
        <w:rPr>
          <w:i/>
          <w:lang w:val="en-US"/>
        </w:rPr>
        <w:lastRenderedPageBreak/>
        <w:t>the users of remittance services should be targeted by dedicated initiatives.</w:t>
      </w:r>
    </w:p>
    <w:p w14:paraId="6EDDDF8A" w14:textId="77777777" w:rsidR="007157B7" w:rsidRPr="0038045B" w:rsidRDefault="007157B7" w:rsidP="007157B7">
      <w:pPr>
        <w:pStyle w:val="Body"/>
        <w:numPr>
          <w:ilvl w:val="0"/>
          <w:numId w:val="15"/>
        </w:numPr>
        <w:tabs>
          <w:tab w:val="left" w:pos="270"/>
        </w:tabs>
        <w:spacing w:after="200" w:line="276" w:lineRule="auto"/>
        <w:ind w:left="0" w:firstLine="0"/>
        <w:rPr>
          <w:i/>
          <w:lang w:val="en-US"/>
        </w:rPr>
      </w:pPr>
      <w:r w:rsidRPr="0038045B">
        <w:rPr>
          <w:i/>
          <w:lang w:val="en-US"/>
        </w:rPr>
        <w:t>P</w:t>
      </w:r>
      <w:r w:rsidR="00AB1092" w:rsidRPr="0038045B">
        <w:rPr>
          <w:i/>
          <w:lang w:val="en-US"/>
        </w:rPr>
        <w:t xml:space="preserve">ayment service providers </w:t>
      </w:r>
      <w:r w:rsidRPr="0038045B">
        <w:rPr>
          <w:i/>
          <w:lang w:val="en-US"/>
        </w:rPr>
        <w:t>should continue providing hands-on training where needed as part of a product roll-out. Special emphasis should be placed on new users with limited first-hand exposure to electronic payment ser</w:t>
      </w:r>
      <w:r w:rsidR="00AB1092" w:rsidRPr="0038045B">
        <w:rPr>
          <w:i/>
          <w:lang w:val="en-US"/>
        </w:rPr>
        <w:t>vices.</w:t>
      </w:r>
      <w:r w:rsidRPr="0038045B">
        <w:rPr>
          <w:i/>
          <w:lang w:val="en-US"/>
        </w:rPr>
        <w:t xml:space="preserve"> </w:t>
      </w:r>
      <w:r w:rsidR="00AB1092" w:rsidRPr="0038045B">
        <w:rPr>
          <w:i/>
          <w:lang w:val="en-US"/>
        </w:rPr>
        <w:t xml:space="preserve">Moreover, PSPs should make sure that their customers </w:t>
      </w:r>
      <w:r w:rsidR="0078070B" w:rsidRPr="0038045B">
        <w:rPr>
          <w:i/>
          <w:lang w:val="en-US"/>
        </w:rPr>
        <w:t xml:space="preserve">can easily and smoothly </w:t>
      </w:r>
      <w:r w:rsidR="00AB1092" w:rsidRPr="0038045B">
        <w:rPr>
          <w:i/>
          <w:lang w:val="en-US"/>
        </w:rPr>
        <w:t>obtain c</w:t>
      </w:r>
      <w:r w:rsidR="005530F2" w:rsidRPr="0038045B">
        <w:rPr>
          <w:i/>
          <w:lang w:val="en-US"/>
        </w:rPr>
        <w:t xml:space="preserve">lear and accurate information on the risks embedded in the usage of accounts, the basic security measures associated with them, and the overall </w:t>
      </w:r>
      <w:r w:rsidR="0078070B" w:rsidRPr="0038045B">
        <w:rPr>
          <w:i/>
          <w:lang w:val="en-US"/>
        </w:rPr>
        <w:t xml:space="preserve">obligations and </w:t>
      </w:r>
      <w:r w:rsidR="005530F2" w:rsidRPr="0038045B">
        <w:rPr>
          <w:i/>
          <w:lang w:val="en-US"/>
        </w:rPr>
        <w:t xml:space="preserve">rights of </w:t>
      </w:r>
      <w:r w:rsidR="00AB1092" w:rsidRPr="0038045B">
        <w:rPr>
          <w:i/>
          <w:lang w:val="en-US"/>
        </w:rPr>
        <w:t xml:space="preserve">both the </w:t>
      </w:r>
      <w:r w:rsidR="005530F2" w:rsidRPr="0038045B">
        <w:rPr>
          <w:i/>
          <w:lang w:val="en-US"/>
        </w:rPr>
        <w:t xml:space="preserve">PSPs and </w:t>
      </w:r>
      <w:r w:rsidR="0078070B" w:rsidRPr="0038045B">
        <w:rPr>
          <w:i/>
          <w:lang w:val="en-US"/>
        </w:rPr>
        <w:t>accountholders</w:t>
      </w:r>
      <w:r w:rsidR="005530F2" w:rsidRPr="0038045B">
        <w:rPr>
          <w:i/>
          <w:lang w:val="en-US"/>
        </w:rPr>
        <w:t>.</w:t>
      </w:r>
    </w:p>
    <w:p w14:paraId="50D5A33F" w14:textId="77777777" w:rsidR="00BA2A13" w:rsidRPr="0038045B" w:rsidRDefault="00BA2A13" w:rsidP="00BA2A13">
      <w:pPr>
        <w:pStyle w:val="Heading2"/>
        <w:spacing w:before="360" w:after="240"/>
        <w:rPr>
          <w:b/>
          <w:sz w:val="24"/>
          <w:szCs w:val="24"/>
          <w:u w:val="none"/>
        </w:rPr>
      </w:pPr>
      <w:bookmarkStart w:id="95" w:name="_Toc476239733"/>
      <w:r w:rsidRPr="0038045B">
        <w:rPr>
          <w:b/>
          <w:sz w:val="24"/>
          <w:szCs w:val="24"/>
          <w:u w:val="none"/>
        </w:rPr>
        <w:t>L</w:t>
      </w:r>
      <w:r w:rsidR="00035E5C" w:rsidRPr="0038045B">
        <w:rPr>
          <w:b/>
          <w:sz w:val="24"/>
          <w:szCs w:val="24"/>
          <w:u w:val="none"/>
        </w:rPr>
        <w:t>everaging l</w:t>
      </w:r>
      <w:r w:rsidRPr="0038045B">
        <w:rPr>
          <w:b/>
          <w:sz w:val="24"/>
          <w:szCs w:val="24"/>
          <w:u w:val="none"/>
        </w:rPr>
        <w:t xml:space="preserve">arge volume </w:t>
      </w:r>
      <w:r w:rsidR="00035E5C" w:rsidRPr="0038045B">
        <w:rPr>
          <w:b/>
          <w:sz w:val="24"/>
          <w:szCs w:val="24"/>
          <w:u w:val="none"/>
        </w:rPr>
        <w:t>recurrent payments</w:t>
      </w:r>
      <w:bookmarkEnd w:id="95"/>
    </w:p>
    <w:p w14:paraId="2EE49A4E" w14:textId="77777777" w:rsidR="00D338DD" w:rsidRPr="0038045B" w:rsidRDefault="00D338DD" w:rsidP="00C80F30">
      <w:pPr>
        <w:pStyle w:val="ListParagraph"/>
        <w:numPr>
          <w:ilvl w:val="0"/>
          <w:numId w:val="15"/>
        </w:numPr>
        <w:spacing w:after="200" w:line="276" w:lineRule="auto"/>
        <w:ind w:left="0" w:firstLine="0"/>
        <w:jc w:val="both"/>
      </w:pPr>
      <w:r w:rsidRPr="0038045B">
        <w:t xml:space="preserve">Large-volume recurrent payment streams can be leveraged to advance financial inclusion objectives through various channels. The most obvious one is by directly providing transaction accounts to unserved and underserved </w:t>
      </w:r>
      <w:r w:rsidR="005126E4" w:rsidRPr="0038045B">
        <w:t>end-users</w:t>
      </w:r>
      <w:r w:rsidRPr="0038045B">
        <w:t xml:space="preserve">, mainly individuals. In addition, these </w:t>
      </w:r>
      <w:r w:rsidR="005126E4" w:rsidRPr="0038045B">
        <w:t xml:space="preserve">payment </w:t>
      </w:r>
      <w:r w:rsidRPr="0038045B">
        <w:t>streams can be leveraged to drive investment in core retail payments infrastructure as well as in distribution channels and in the development of new payment products and services.</w:t>
      </w:r>
      <w:r w:rsidR="001D1503" w:rsidRPr="0038045B">
        <w:rPr>
          <w:rStyle w:val="FootnoteReference"/>
        </w:rPr>
        <w:footnoteReference w:id="77"/>
      </w:r>
    </w:p>
    <w:p w14:paraId="130063D4" w14:textId="77777777" w:rsidR="009C2067" w:rsidRPr="0038045B" w:rsidRDefault="009F0C12" w:rsidP="009C2067">
      <w:pPr>
        <w:pStyle w:val="Heading3"/>
        <w:spacing w:before="480" w:after="240"/>
        <w:rPr>
          <w:b w:val="0"/>
          <w:i/>
        </w:rPr>
      </w:pPr>
      <w:bookmarkStart w:id="96" w:name="_Toc476239734"/>
      <w:r w:rsidRPr="0038045B">
        <w:rPr>
          <w:b w:val="0"/>
          <w:i/>
        </w:rPr>
        <w:t>G</w:t>
      </w:r>
      <w:r w:rsidR="009C2067" w:rsidRPr="0038045B">
        <w:rPr>
          <w:b w:val="0"/>
          <w:i/>
        </w:rPr>
        <w:t xml:space="preserve">overnment </w:t>
      </w:r>
      <w:r w:rsidRPr="0038045B">
        <w:rPr>
          <w:b w:val="0"/>
          <w:i/>
        </w:rPr>
        <w:t xml:space="preserve">disbursements </w:t>
      </w:r>
      <w:r w:rsidR="00D73CF0" w:rsidRPr="0038045B">
        <w:rPr>
          <w:b w:val="0"/>
          <w:i/>
        </w:rPr>
        <w:t>and collections</w:t>
      </w:r>
      <w:bookmarkEnd w:id="96"/>
    </w:p>
    <w:p w14:paraId="1102660E" w14:textId="77777777" w:rsidR="001B23D2" w:rsidRPr="0038045B" w:rsidRDefault="009F0C12" w:rsidP="0070650E">
      <w:pPr>
        <w:pStyle w:val="ListParagraph"/>
        <w:numPr>
          <w:ilvl w:val="0"/>
          <w:numId w:val="15"/>
        </w:numPr>
        <w:spacing w:after="200" w:line="276" w:lineRule="auto"/>
        <w:ind w:left="0" w:firstLine="0"/>
        <w:jc w:val="both"/>
      </w:pPr>
      <w:r w:rsidRPr="0038045B">
        <w:t>Public sector mass disbursements typically include recurrent payments of social benefits</w:t>
      </w:r>
      <w:r w:rsidR="00A92948" w:rsidRPr="0038045B">
        <w:t xml:space="preserve"> or grants, </w:t>
      </w:r>
      <w:r w:rsidRPr="0038045B">
        <w:t>wages</w:t>
      </w:r>
      <w:r w:rsidR="006E296E" w:rsidRPr="0038045B">
        <w:t>, pensions and other social security payments and contributions</w:t>
      </w:r>
      <w:r w:rsidRPr="0038045B">
        <w:t>.</w:t>
      </w:r>
      <w:r w:rsidR="006E296E" w:rsidRPr="0038045B">
        <w:t xml:space="preserve"> </w:t>
      </w:r>
    </w:p>
    <w:p w14:paraId="2411D6BE" w14:textId="77777777" w:rsidR="0070650E" w:rsidRPr="0038045B" w:rsidRDefault="0070650E" w:rsidP="0070650E">
      <w:pPr>
        <w:numPr>
          <w:ilvl w:val="0"/>
          <w:numId w:val="15"/>
        </w:numPr>
        <w:spacing w:after="200" w:line="276" w:lineRule="auto"/>
        <w:ind w:left="0" w:firstLine="0"/>
        <w:jc w:val="both"/>
        <w:rPr>
          <w:szCs w:val="24"/>
        </w:rPr>
      </w:pPr>
      <w:r w:rsidRPr="0038045B">
        <w:rPr>
          <w:szCs w:val="24"/>
        </w:rPr>
        <w:t>Salary payments – regardless of whether the employer is the public sector or a private enterprise – represent 23</w:t>
      </w:r>
      <w:r w:rsidR="009C166B" w:rsidRPr="0038045B">
        <w:rPr>
          <w:szCs w:val="24"/>
        </w:rPr>
        <w:t xml:space="preserve">% </w:t>
      </w:r>
      <w:r w:rsidRPr="0038045B">
        <w:rPr>
          <w:szCs w:val="24"/>
        </w:rPr>
        <w:t>(by volume) of total annual payments received by Albanian adults. The public sector alone in Albania employs 164,120 individuals</w:t>
      </w:r>
      <w:r w:rsidR="00522DA3" w:rsidRPr="0038045B">
        <w:rPr>
          <w:szCs w:val="24"/>
        </w:rPr>
        <w:t>.</w:t>
      </w:r>
      <w:r w:rsidRPr="0038045B">
        <w:rPr>
          <w:szCs w:val="24"/>
          <w:vertAlign w:val="superscript"/>
        </w:rPr>
        <w:footnoteReference w:id="78"/>
      </w:r>
      <w:r w:rsidRPr="0038045B">
        <w:rPr>
          <w:szCs w:val="24"/>
        </w:rPr>
        <w:t xml:space="preserve"> At the level of Albania’s central government, wages and other compensations are generally paid through bank accounts. It is understood that at the municipality level, the same practice is followed, thus wages are generally paid through accounts. Demand-side data seems to substantiate these conclusions in that it estimates that 80</w:t>
      </w:r>
      <w:r w:rsidR="009C166B" w:rsidRPr="0038045B">
        <w:rPr>
          <w:szCs w:val="24"/>
        </w:rPr>
        <w:t xml:space="preserve">% </w:t>
      </w:r>
      <w:r w:rsidRPr="0038045B">
        <w:rPr>
          <w:szCs w:val="24"/>
        </w:rPr>
        <w:t>of all public employees own a debit card. On the other hand, these data also suggest tha</w:t>
      </w:r>
      <w:r w:rsidR="009C166B" w:rsidRPr="0038045B">
        <w:rPr>
          <w:szCs w:val="24"/>
        </w:rPr>
        <w:t>t of all debit card holders, 78%</w:t>
      </w:r>
      <w:r w:rsidRPr="0038045B">
        <w:rPr>
          <w:szCs w:val="24"/>
        </w:rPr>
        <w:t xml:space="preserve"> use the card exclusively for cash withdrawals, i.e. even though salaries are channeled through bank accounts, the beneficiary often withdraws the entire balance in cash from the bank branch or ATM on pay-day</w:t>
      </w:r>
      <w:r w:rsidR="00522DA3" w:rsidRPr="0038045B">
        <w:rPr>
          <w:szCs w:val="24"/>
        </w:rPr>
        <w:t>.</w:t>
      </w:r>
      <w:r w:rsidRPr="0038045B">
        <w:rPr>
          <w:szCs w:val="24"/>
          <w:vertAlign w:val="superscript"/>
        </w:rPr>
        <w:footnoteReference w:id="79"/>
      </w:r>
    </w:p>
    <w:p w14:paraId="5B67FE94" w14:textId="77777777" w:rsidR="0070650E" w:rsidRPr="0038045B" w:rsidRDefault="0070650E" w:rsidP="0070650E">
      <w:pPr>
        <w:numPr>
          <w:ilvl w:val="0"/>
          <w:numId w:val="15"/>
        </w:numPr>
        <w:spacing w:after="200" w:line="276" w:lineRule="auto"/>
        <w:ind w:left="0" w:firstLine="0"/>
        <w:jc w:val="both"/>
        <w:rPr>
          <w:szCs w:val="24"/>
        </w:rPr>
      </w:pPr>
      <w:r w:rsidRPr="0038045B">
        <w:rPr>
          <w:szCs w:val="24"/>
        </w:rPr>
        <w:lastRenderedPageBreak/>
        <w:t xml:space="preserve">Payments of the Social Security Institute (SSI) include sickness cash benefits, maternity/paternity cash benefits, unemployment insurance payments, compensations for work-related injuries/illness, and pensions – old-age, invalidity, survivor’s. The SSI also administers </w:t>
      </w:r>
      <w:r w:rsidR="003870C7" w:rsidRPr="0038045B">
        <w:rPr>
          <w:szCs w:val="24"/>
        </w:rPr>
        <w:t xml:space="preserve">some </w:t>
      </w:r>
      <w:r w:rsidRPr="0038045B">
        <w:rPr>
          <w:szCs w:val="24"/>
        </w:rPr>
        <w:t xml:space="preserve">social assistance programs, including cash transfers directed to low-income individuals (e.g., </w:t>
      </w:r>
      <w:r w:rsidRPr="0038045B">
        <w:rPr>
          <w:i/>
          <w:szCs w:val="24"/>
        </w:rPr>
        <w:t>Ndihma Ekonomike</w:t>
      </w:r>
      <w:r w:rsidRPr="0038045B">
        <w:rPr>
          <w:szCs w:val="24"/>
        </w:rPr>
        <w:t xml:space="preserve">). These payments are delivered either through accounts or in cash at the bank teller, although the exact breakdown is not available and may vary from bank to bank. Of all SSI payments, old-age pensions concentrate the largest volume, and are disbursed almost exclusively in cash at the locations of the </w:t>
      </w:r>
      <w:r w:rsidR="003870C7" w:rsidRPr="0038045B">
        <w:rPr>
          <w:szCs w:val="24"/>
        </w:rPr>
        <w:t>Albania Post</w:t>
      </w:r>
      <w:r w:rsidRPr="0038045B">
        <w:rPr>
          <w:szCs w:val="24"/>
        </w:rPr>
        <w:t xml:space="preserve">. </w:t>
      </w:r>
      <w:r w:rsidR="003D3102" w:rsidRPr="0038045B">
        <w:rPr>
          <w:szCs w:val="24"/>
          <w:lang w:val="en-GB"/>
        </w:rPr>
        <w:t>Of all Albanian Post’s cash disbursements, old-age pensions represent about 75% in volume terms.</w:t>
      </w:r>
      <w:r w:rsidR="003D3102" w:rsidRPr="0038045B">
        <w:rPr>
          <w:i/>
          <w:szCs w:val="24"/>
          <w:lang w:val="en-GB"/>
        </w:rPr>
        <w:t xml:space="preserve"> </w:t>
      </w:r>
      <w:r w:rsidRPr="0038045B">
        <w:rPr>
          <w:szCs w:val="24"/>
        </w:rPr>
        <w:t>In recent years, there have been attempts to channel pensions through electronic means via the banking system, although with limited success. A survey of consumers including recipients of social benefits and pensioners revealed that the great majority of these payments (98</w:t>
      </w:r>
      <w:r w:rsidR="009C166B" w:rsidRPr="0038045B">
        <w:rPr>
          <w:szCs w:val="24"/>
        </w:rPr>
        <w:t xml:space="preserve">% </w:t>
      </w:r>
      <w:r w:rsidRPr="0038045B">
        <w:rPr>
          <w:szCs w:val="24"/>
        </w:rPr>
        <w:t>and 95</w:t>
      </w:r>
      <w:r w:rsidR="009C166B" w:rsidRPr="0038045B">
        <w:rPr>
          <w:szCs w:val="24"/>
        </w:rPr>
        <w:t xml:space="preserve">% </w:t>
      </w:r>
      <w:r w:rsidRPr="0038045B">
        <w:rPr>
          <w:szCs w:val="24"/>
        </w:rPr>
        <w:t xml:space="preserve">respectively, by volume) are disbursed in cash / withdrawn </w:t>
      </w:r>
      <w:r w:rsidR="003870C7" w:rsidRPr="0038045B">
        <w:rPr>
          <w:szCs w:val="24"/>
        </w:rPr>
        <w:t xml:space="preserve">in their totality </w:t>
      </w:r>
      <w:r w:rsidRPr="0038045B">
        <w:rPr>
          <w:szCs w:val="24"/>
        </w:rPr>
        <w:t xml:space="preserve">right away. </w:t>
      </w:r>
    </w:p>
    <w:p w14:paraId="3F9E5F83" w14:textId="77777777" w:rsidR="0070650E" w:rsidRPr="0038045B" w:rsidRDefault="0070650E" w:rsidP="0070650E">
      <w:pPr>
        <w:numPr>
          <w:ilvl w:val="0"/>
          <w:numId w:val="15"/>
        </w:numPr>
        <w:spacing w:after="200" w:line="276" w:lineRule="auto"/>
        <w:ind w:left="0" w:firstLine="0"/>
        <w:jc w:val="both"/>
        <w:rPr>
          <w:szCs w:val="24"/>
        </w:rPr>
      </w:pPr>
      <w:r w:rsidRPr="0038045B">
        <w:rPr>
          <w:szCs w:val="24"/>
        </w:rPr>
        <w:t>On the collections side, at the level of the national government, the Albania Taxation Office (</w:t>
      </w:r>
      <w:r w:rsidRPr="0038045B">
        <w:rPr>
          <w:i/>
          <w:szCs w:val="24"/>
        </w:rPr>
        <w:t>Drejtoria e Përgjithshme e Tatimeve</w:t>
      </w:r>
      <w:r w:rsidRPr="0038045B">
        <w:rPr>
          <w:szCs w:val="24"/>
        </w:rPr>
        <w:t xml:space="preserve">, DPT) is responsible for the collection of tax revenue, including income and corporate tax, </w:t>
      </w:r>
      <w:r w:rsidR="004D4A56" w:rsidRPr="0038045B">
        <w:rPr>
          <w:szCs w:val="24"/>
        </w:rPr>
        <w:t xml:space="preserve">value </w:t>
      </w:r>
      <w:r w:rsidRPr="0038045B">
        <w:rPr>
          <w:szCs w:val="24"/>
        </w:rPr>
        <w:t>added tax, and property tax. Social security and health insurance contributions are collected by the Ministry of Finance also through the DPT. Tax collection takes place via bank channels, predominantly at the bank branch: taxpayers present a printed copy of the payment order generated in the DPT website which is then read through a barcode. All of the banks in Albania collect taxes on behalf of the Government. A breakdown by instrument type used at the bank teller to pay tax obligations is not available, nor are there specific requirements or incentives for taxpayers to pay through their bank accounts. Custom duties are collected by the Albanian Customs Administration. Demand-side data on the use of payment instruments for government collections estimate the annual volume of these payments at about 1.3 million yearly. Of these, about 80</w:t>
      </w:r>
      <w:r w:rsidR="009C166B" w:rsidRPr="0038045B">
        <w:rPr>
          <w:szCs w:val="24"/>
        </w:rPr>
        <w:t xml:space="preserve">% </w:t>
      </w:r>
      <w:r w:rsidRPr="0038045B">
        <w:rPr>
          <w:szCs w:val="24"/>
        </w:rPr>
        <w:t xml:space="preserve">is paid in cash. </w:t>
      </w:r>
    </w:p>
    <w:p w14:paraId="39C30612" w14:textId="77777777" w:rsidR="0070650E" w:rsidRPr="0038045B" w:rsidRDefault="0070650E" w:rsidP="0070650E">
      <w:pPr>
        <w:numPr>
          <w:ilvl w:val="0"/>
          <w:numId w:val="15"/>
        </w:numPr>
        <w:spacing w:after="200" w:line="276" w:lineRule="auto"/>
        <w:ind w:left="0" w:firstLine="0"/>
        <w:jc w:val="both"/>
        <w:rPr>
          <w:szCs w:val="24"/>
        </w:rPr>
      </w:pPr>
      <w:r w:rsidRPr="0038045B">
        <w:rPr>
          <w:szCs w:val="24"/>
        </w:rPr>
        <w:t xml:space="preserve">As regards e-government, the e-Albania online portal makes available to the public around 270 different public services, of which at least 80 </w:t>
      </w:r>
      <w:r w:rsidR="004D4A56" w:rsidRPr="0038045B">
        <w:rPr>
          <w:szCs w:val="24"/>
        </w:rPr>
        <w:t xml:space="preserve">are level </w:t>
      </w:r>
      <w:r w:rsidR="00FE0545" w:rsidRPr="0038045B">
        <w:rPr>
          <w:szCs w:val="24"/>
        </w:rPr>
        <w:t>3</w:t>
      </w:r>
      <w:r w:rsidR="004D4A56" w:rsidRPr="0038045B">
        <w:rPr>
          <w:szCs w:val="24"/>
        </w:rPr>
        <w:t xml:space="preserve"> and </w:t>
      </w:r>
      <w:r w:rsidR="00FE0545" w:rsidRPr="0038045B">
        <w:rPr>
          <w:szCs w:val="24"/>
        </w:rPr>
        <w:t>4</w:t>
      </w:r>
      <w:r w:rsidR="004D4A56" w:rsidRPr="0038045B">
        <w:rPr>
          <w:szCs w:val="24"/>
        </w:rPr>
        <w:t xml:space="preserve">, i.e. </w:t>
      </w:r>
      <w:r w:rsidR="00FE0545" w:rsidRPr="0038045B">
        <w:rPr>
          <w:szCs w:val="24"/>
        </w:rPr>
        <w:t xml:space="preserve">they allow printing of the payment order (level 3) </w:t>
      </w:r>
      <w:r w:rsidR="008A7384" w:rsidRPr="0038045B">
        <w:rPr>
          <w:szCs w:val="24"/>
        </w:rPr>
        <w:t>or</w:t>
      </w:r>
      <w:r w:rsidR="00FE0545" w:rsidRPr="0038045B">
        <w:rPr>
          <w:szCs w:val="24"/>
        </w:rPr>
        <w:t xml:space="preserve"> </w:t>
      </w:r>
      <w:r w:rsidR="008A7384" w:rsidRPr="0038045B">
        <w:rPr>
          <w:szCs w:val="24"/>
        </w:rPr>
        <w:t xml:space="preserve">also </w:t>
      </w:r>
      <w:r w:rsidR="00FE0545" w:rsidRPr="0038045B">
        <w:rPr>
          <w:szCs w:val="24"/>
        </w:rPr>
        <w:t>paying online (level 4)</w:t>
      </w:r>
      <w:r w:rsidR="008A7384" w:rsidRPr="0038045B">
        <w:rPr>
          <w:szCs w:val="24"/>
        </w:rPr>
        <w:t>, with the vast majority of services being level 3</w:t>
      </w:r>
      <w:r w:rsidRPr="0038045B">
        <w:rPr>
          <w:szCs w:val="24"/>
        </w:rPr>
        <w:t xml:space="preserve">. A payments gateway facilitates the connection of the banks and the payment service providers to the platform, subject to an agreement being signed between each intermediary and the government agency/biller on whose behalf it collects payments. All of the banks are connected to e-Albania, and some non-bank providers. Efforts to integrate more services to the platform are ongoing. Two main factors contribute to the limited use of online payment services: first, the lack of awareness and a concerted effort to promote the use of the e-Albania portal for payments; second, the inadequacy of authentication mechanisms for individuals (whereas business use digital certificates) thus leading to security issues. </w:t>
      </w:r>
    </w:p>
    <w:p w14:paraId="09CCC672" w14:textId="77777777" w:rsidR="009816F2" w:rsidRPr="0038045B" w:rsidRDefault="0070650E" w:rsidP="0070650E">
      <w:pPr>
        <w:numPr>
          <w:ilvl w:val="0"/>
          <w:numId w:val="15"/>
        </w:numPr>
        <w:spacing w:after="200" w:line="276" w:lineRule="auto"/>
        <w:ind w:left="0" w:firstLine="0"/>
        <w:jc w:val="both"/>
        <w:rPr>
          <w:szCs w:val="24"/>
        </w:rPr>
      </w:pPr>
      <w:r w:rsidRPr="0038045B">
        <w:rPr>
          <w:szCs w:val="24"/>
        </w:rPr>
        <w:lastRenderedPageBreak/>
        <w:t xml:space="preserve">It is worth noting that the public services that depend on the municipalities are not integrated to the e-Albania portal. For the most part, these payments are collected in cash on premise. </w:t>
      </w:r>
    </w:p>
    <w:p w14:paraId="0FE5B818" w14:textId="77777777" w:rsidR="00D338DD" w:rsidRPr="0038045B" w:rsidRDefault="00D338DD" w:rsidP="00D338DD">
      <w:pPr>
        <w:pStyle w:val="Heading3"/>
        <w:spacing w:before="480" w:after="240"/>
        <w:rPr>
          <w:b w:val="0"/>
          <w:i/>
        </w:rPr>
      </w:pPr>
      <w:bookmarkStart w:id="97" w:name="_Toc476239735"/>
      <w:r w:rsidRPr="0038045B">
        <w:rPr>
          <w:b w:val="0"/>
          <w:i/>
        </w:rPr>
        <w:t xml:space="preserve">Utility </w:t>
      </w:r>
      <w:r w:rsidR="00610B3D" w:rsidRPr="0038045B">
        <w:rPr>
          <w:b w:val="0"/>
          <w:i/>
        </w:rPr>
        <w:t xml:space="preserve">and other bill </w:t>
      </w:r>
      <w:r w:rsidRPr="0038045B">
        <w:rPr>
          <w:b w:val="0"/>
          <w:i/>
        </w:rPr>
        <w:t>payments</w:t>
      </w:r>
      <w:bookmarkEnd w:id="97"/>
    </w:p>
    <w:p w14:paraId="7AD4186D" w14:textId="77777777" w:rsidR="0070650E" w:rsidRPr="0038045B" w:rsidRDefault="0070650E" w:rsidP="0070650E">
      <w:pPr>
        <w:numPr>
          <w:ilvl w:val="0"/>
          <w:numId w:val="15"/>
        </w:numPr>
        <w:spacing w:after="200" w:line="276" w:lineRule="auto"/>
        <w:ind w:left="0" w:firstLine="0"/>
        <w:jc w:val="both"/>
        <w:rPr>
          <w:szCs w:val="24"/>
        </w:rPr>
      </w:pPr>
      <w:r w:rsidRPr="0038045B">
        <w:rPr>
          <w:szCs w:val="24"/>
        </w:rPr>
        <w:t>According to INSTAT (2015), 10.3</w:t>
      </w:r>
      <w:r w:rsidR="009C166B" w:rsidRPr="0038045B">
        <w:rPr>
          <w:szCs w:val="24"/>
        </w:rPr>
        <w:t xml:space="preserve">% </w:t>
      </w:r>
      <w:r w:rsidRPr="0038045B">
        <w:rPr>
          <w:szCs w:val="24"/>
        </w:rPr>
        <w:t>of overall household consumption expenditure went to housing, water, electricity, and other fuels, which makes this the second largest household expenditure group after food and non-alcoholic beverages, and offers potential for increased use of transaction accounts and electronic payment services. According to demand-side data, every year Albanian adults make almost 20 million payments for periodic bills, or 15.5</w:t>
      </w:r>
      <w:r w:rsidR="009C166B" w:rsidRPr="0038045B">
        <w:rPr>
          <w:szCs w:val="24"/>
        </w:rPr>
        <w:t xml:space="preserve">% </w:t>
      </w:r>
      <w:r w:rsidRPr="0038045B">
        <w:rPr>
          <w:szCs w:val="24"/>
        </w:rPr>
        <w:t xml:space="preserve">of total payments initiated by consumers. </w:t>
      </w:r>
    </w:p>
    <w:p w14:paraId="35BA1824" w14:textId="77777777" w:rsidR="0070650E" w:rsidRPr="0038045B" w:rsidRDefault="0070650E" w:rsidP="0070650E">
      <w:pPr>
        <w:numPr>
          <w:ilvl w:val="0"/>
          <w:numId w:val="15"/>
        </w:numPr>
        <w:spacing w:after="200" w:line="276" w:lineRule="auto"/>
        <w:ind w:left="0" w:firstLine="0"/>
        <w:jc w:val="both"/>
        <w:rPr>
          <w:szCs w:val="24"/>
        </w:rPr>
      </w:pPr>
      <w:r w:rsidRPr="0038045B">
        <w:rPr>
          <w:szCs w:val="24"/>
        </w:rPr>
        <w:t>As in the case of government payments, most utility payments are made via bank branches and the billers’ pay offices in cash. It is estimated that about 75</w:t>
      </w:r>
      <w:r w:rsidR="009C166B" w:rsidRPr="0038045B">
        <w:rPr>
          <w:szCs w:val="24"/>
        </w:rPr>
        <w:t>%</w:t>
      </w:r>
      <w:r w:rsidRPr="0038045B">
        <w:rPr>
          <w:szCs w:val="24"/>
        </w:rPr>
        <w:t xml:space="preserve"> of all periodic bill payments are effected in cash. Interbank debit is not yet available, and the intra-bank volumes are quite low, representing about </w:t>
      </w:r>
      <w:r w:rsidR="009C166B" w:rsidRPr="0038045B">
        <w:rPr>
          <w:szCs w:val="24"/>
        </w:rPr>
        <w:t>6%</w:t>
      </w:r>
      <w:r w:rsidRPr="0038045B">
        <w:rPr>
          <w:szCs w:val="24"/>
        </w:rPr>
        <w:t xml:space="preserve"> of total retail payments volumes. Depending on the biller, online payment options might also be available (payment cards, online banking), although volumes through these means are estim</w:t>
      </w:r>
      <w:r w:rsidR="009C166B" w:rsidRPr="0038045B">
        <w:rPr>
          <w:szCs w:val="24"/>
        </w:rPr>
        <w:t xml:space="preserve">ated by some billers at below 1% </w:t>
      </w:r>
      <w:r w:rsidRPr="0038045B">
        <w:rPr>
          <w:szCs w:val="24"/>
        </w:rPr>
        <w:t xml:space="preserve">of total collections. </w:t>
      </w:r>
    </w:p>
    <w:p w14:paraId="3F3CF15F" w14:textId="77777777" w:rsidR="00A92948" w:rsidRPr="0038045B" w:rsidRDefault="0070650E" w:rsidP="0070650E">
      <w:pPr>
        <w:numPr>
          <w:ilvl w:val="0"/>
          <w:numId w:val="15"/>
        </w:numPr>
        <w:spacing w:after="200" w:line="276" w:lineRule="auto"/>
        <w:ind w:left="0" w:firstLine="0"/>
        <w:jc w:val="both"/>
        <w:rPr>
          <w:szCs w:val="24"/>
        </w:rPr>
      </w:pPr>
      <w:r w:rsidRPr="0038045B">
        <w:rPr>
          <w:szCs w:val="24"/>
        </w:rPr>
        <w:t>Besides banks and pay offices, NBFIs have engaged in bill collection – electricity (OSSHE), water (</w:t>
      </w:r>
      <w:r w:rsidR="007F7360" w:rsidRPr="0038045B">
        <w:rPr>
          <w:szCs w:val="24"/>
        </w:rPr>
        <w:t>e.g.</w:t>
      </w:r>
      <w:r w:rsidRPr="0038045B">
        <w:rPr>
          <w:szCs w:val="24"/>
        </w:rPr>
        <w:t>, UKT), fixed and mobile telephony, internet &amp; TV – including through more “niche” market products. For example, State Police and Tirana’s Municipality Police fines can be paid at Pay-and-Go t</w:t>
      </w:r>
      <w:r w:rsidR="007F7360" w:rsidRPr="0038045B">
        <w:rPr>
          <w:szCs w:val="24"/>
        </w:rPr>
        <w:t>erminals/kiosks or through Easy</w:t>
      </w:r>
      <w:r w:rsidRPr="0038045B">
        <w:rPr>
          <w:szCs w:val="24"/>
        </w:rPr>
        <w:t>Pay. The latter also facilitates the payment of kindergarten fees due to the Municipality of Tirana. Both e-mone</w:t>
      </w:r>
      <w:r w:rsidR="007F7360" w:rsidRPr="0038045B">
        <w:rPr>
          <w:szCs w:val="24"/>
        </w:rPr>
        <w:t>y institutions (M-Pesa and Easy</w:t>
      </w:r>
      <w:r w:rsidRPr="0038045B">
        <w:rPr>
          <w:szCs w:val="24"/>
        </w:rPr>
        <w:t xml:space="preserve">Pay) offer over-the-counter (OTC) bill payment services to non-customers. However, the availability of these services is limited to Tirana and a few other major cities: typically, smaller/more remote municipalities have obsolete internal systems which cannot interface with the service provider. Finally, to the extent that electronic records are not accepted/trusted as a proof of payment of the utility bill, and physical stamps are still required, Albanians tend to shy away from electronic instruments and online channels. </w:t>
      </w:r>
    </w:p>
    <w:p w14:paraId="2004B09E" w14:textId="77777777" w:rsidR="008A3B67" w:rsidRPr="0038045B" w:rsidRDefault="004163B9" w:rsidP="00D73CF0">
      <w:pPr>
        <w:pStyle w:val="Heading3"/>
        <w:spacing w:before="480" w:after="240"/>
        <w:rPr>
          <w:b w:val="0"/>
          <w:i/>
        </w:rPr>
      </w:pPr>
      <w:bookmarkStart w:id="98" w:name="_Toc476239736"/>
      <w:r w:rsidRPr="0038045B">
        <w:rPr>
          <w:b w:val="0"/>
          <w:i/>
        </w:rPr>
        <w:t>Transit payments</w:t>
      </w:r>
      <w:bookmarkEnd w:id="98"/>
    </w:p>
    <w:p w14:paraId="6EF84E79" w14:textId="77777777" w:rsidR="0070650E" w:rsidRPr="0038045B" w:rsidRDefault="0070650E" w:rsidP="0070650E">
      <w:pPr>
        <w:numPr>
          <w:ilvl w:val="0"/>
          <w:numId w:val="15"/>
        </w:numPr>
        <w:spacing w:after="200" w:line="276" w:lineRule="auto"/>
        <w:ind w:left="0" w:firstLine="0"/>
        <w:jc w:val="both"/>
        <w:rPr>
          <w:szCs w:val="24"/>
        </w:rPr>
      </w:pPr>
      <w:r w:rsidRPr="0038045B">
        <w:rPr>
          <w:szCs w:val="24"/>
        </w:rPr>
        <w:t>Public transit systems serve an important share of a country’s population, very often including economically disadvantaged individuals who tend to be financially excluded. In Albania, with a 6.8</w:t>
      </w:r>
      <w:r w:rsidR="009C166B" w:rsidRPr="0038045B">
        <w:rPr>
          <w:szCs w:val="24"/>
        </w:rPr>
        <w:t xml:space="preserve">% </w:t>
      </w:r>
      <w:r w:rsidRPr="0038045B">
        <w:rPr>
          <w:szCs w:val="24"/>
        </w:rPr>
        <w:t xml:space="preserve">share, transport forms the third largest household expenditure group (INSTAT, 2015). For public transportation, Albanians rely on local bus and minibus. Transit fees are paid in cash to the driver. </w:t>
      </w:r>
    </w:p>
    <w:p w14:paraId="46E7772F" w14:textId="77777777" w:rsidR="00FE68E8" w:rsidRPr="0038045B" w:rsidRDefault="00FE68E8" w:rsidP="00FE68E8">
      <w:pPr>
        <w:numPr>
          <w:ilvl w:val="0"/>
          <w:numId w:val="15"/>
        </w:numPr>
        <w:spacing w:after="200" w:line="276" w:lineRule="auto"/>
        <w:ind w:left="0" w:firstLine="0"/>
        <w:jc w:val="both"/>
        <w:rPr>
          <w:szCs w:val="24"/>
        </w:rPr>
      </w:pPr>
      <w:r w:rsidRPr="0038045B">
        <w:rPr>
          <w:szCs w:val="24"/>
        </w:rPr>
        <w:lastRenderedPageBreak/>
        <w:t xml:space="preserve">There are in total 8 bus companies operating in Tirana, (Tirana public transport system is under a reorganisation process and the number of operators correspond to the existing situation, also is to be noted that the data below represent values taken from 2016 or only 7 operators in place during this time of operation) which serve approximately 72 524 432 users or passengers/year, for a total 15 522 247 USD in fees collected every year. </w:t>
      </w:r>
      <w:r w:rsidR="008A7384" w:rsidRPr="0038045B">
        <w:rPr>
          <w:szCs w:val="24"/>
        </w:rPr>
        <w:t>The municipality of Tirana is planning to introduce stored-value cards for the bus transit system.</w:t>
      </w:r>
    </w:p>
    <w:p w14:paraId="38D43066" w14:textId="77777777" w:rsidR="00FE68E8" w:rsidRPr="0038045B" w:rsidRDefault="00FE68E8" w:rsidP="00FE68E8">
      <w:pPr>
        <w:spacing w:before="100" w:beforeAutospacing="1"/>
        <w:jc w:val="both"/>
        <w:rPr>
          <w:lang w:val="en-GB"/>
        </w:rPr>
      </w:pPr>
    </w:p>
    <w:p w14:paraId="3F51893A" w14:textId="77777777" w:rsidR="0011543D" w:rsidRPr="0038045B" w:rsidRDefault="0070650E" w:rsidP="0070650E">
      <w:pPr>
        <w:numPr>
          <w:ilvl w:val="0"/>
          <w:numId w:val="15"/>
        </w:numPr>
        <w:spacing w:after="200" w:line="276" w:lineRule="auto"/>
        <w:ind w:left="0" w:firstLine="0"/>
        <w:jc w:val="both"/>
        <w:rPr>
          <w:szCs w:val="24"/>
        </w:rPr>
      </w:pPr>
      <w:r w:rsidRPr="0038045B">
        <w:rPr>
          <w:szCs w:val="24"/>
        </w:rPr>
        <w:t xml:space="preserve">In Tirana, parking fees have been recently automated (February 2017), and can be reserved and paid via mobile phone. </w:t>
      </w:r>
    </w:p>
    <w:p w14:paraId="360A5D8C" w14:textId="77777777" w:rsidR="004163B9" w:rsidRPr="0038045B" w:rsidRDefault="00B00759" w:rsidP="00D73CF0">
      <w:pPr>
        <w:pStyle w:val="Heading3"/>
        <w:spacing w:before="480" w:after="240"/>
        <w:rPr>
          <w:b w:val="0"/>
          <w:i/>
        </w:rPr>
      </w:pPr>
      <w:bookmarkStart w:id="99" w:name="_Ref441588683"/>
      <w:bookmarkStart w:id="100" w:name="_Toc476239737"/>
      <w:r w:rsidRPr="0038045B">
        <w:rPr>
          <w:b w:val="0"/>
          <w:i/>
        </w:rPr>
        <w:t>Remittances</w:t>
      </w:r>
      <w:bookmarkEnd w:id="99"/>
      <w:r w:rsidR="00A92948" w:rsidRPr="0038045B">
        <w:rPr>
          <w:rStyle w:val="FootnoteReference"/>
          <w:b w:val="0"/>
        </w:rPr>
        <w:footnoteReference w:id="80"/>
      </w:r>
      <w:bookmarkEnd w:id="100"/>
    </w:p>
    <w:p w14:paraId="46B397C7" w14:textId="77777777" w:rsidR="0070650E" w:rsidRPr="0038045B" w:rsidRDefault="0070650E" w:rsidP="0070650E">
      <w:pPr>
        <w:numPr>
          <w:ilvl w:val="0"/>
          <w:numId w:val="15"/>
        </w:numPr>
        <w:spacing w:after="200" w:line="276" w:lineRule="auto"/>
        <w:ind w:left="0" w:firstLine="0"/>
        <w:jc w:val="both"/>
        <w:rPr>
          <w:szCs w:val="24"/>
        </w:rPr>
      </w:pPr>
      <w:r w:rsidRPr="0038045B">
        <w:rPr>
          <w:szCs w:val="24"/>
        </w:rPr>
        <w:t>Remittances, both cross-border and domestic, are another type of large-volume and recurrent payment stream that can be leveraged to advance financial inclusion</w:t>
      </w:r>
      <w:r w:rsidR="00B719E4" w:rsidRPr="0038045B">
        <w:rPr>
          <w:szCs w:val="24"/>
        </w:rPr>
        <w:t>.</w:t>
      </w:r>
      <w:r w:rsidRPr="0038045B">
        <w:rPr>
          <w:szCs w:val="24"/>
        </w:rPr>
        <w:t xml:space="preserve"> For example, receivers of remittances very seldom have a transaction account, despite having a reasonably constant inflow of cash to help them manage their daily financial affairs. </w:t>
      </w:r>
      <w:bookmarkStart w:id="101" w:name="_Ref467243930"/>
    </w:p>
    <w:p w14:paraId="72D297EA" w14:textId="77777777" w:rsidR="0070650E" w:rsidRPr="0038045B" w:rsidRDefault="0070650E" w:rsidP="0070650E">
      <w:pPr>
        <w:numPr>
          <w:ilvl w:val="0"/>
          <w:numId w:val="15"/>
        </w:numPr>
        <w:spacing w:after="200" w:line="276" w:lineRule="auto"/>
        <w:ind w:left="0" w:firstLine="0"/>
        <w:jc w:val="both"/>
        <w:rPr>
          <w:szCs w:val="24"/>
        </w:rPr>
      </w:pPr>
      <w:r w:rsidRPr="0038045B">
        <w:rPr>
          <w:szCs w:val="24"/>
        </w:rPr>
        <w:t xml:space="preserve">Albania is a net remittance receiving country. The value of the international remittances flows </w:t>
      </w:r>
      <w:r w:rsidR="00EF7EB3" w:rsidRPr="0038045B">
        <w:rPr>
          <w:szCs w:val="24"/>
        </w:rPr>
        <w:t xml:space="preserve">to Albania was estimated at 9.1% </w:t>
      </w:r>
      <w:r w:rsidRPr="0038045B">
        <w:rPr>
          <w:szCs w:val="24"/>
        </w:rPr>
        <w:t>of the country’s GDP for 2015, which corresponds to approximately USD 1,047 million</w:t>
      </w:r>
      <w:r w:rsidR="00B719E4" w:rsidRPr="0038045B">
        <w:rPr>
          <w:szCs w:val="24"/>
        </w:rPr>
        <w:t>.</w:t>
      </w:r>
      <w:r w:rsidRPr="0038045B">
        <w:rPr>
          <w:szCs w:val="24"/>
          <w:vertAlign w:val="superscript"/>
        </w:rPr>
        <w:footnoteReference w:id="81"/>
      </w:r>
      <w:r w:rsidR="00EF7EB3" w:rsidRPr="0038045B">
        <w:rPr>
          <w:szCs w:val="24"/>
        </w:rPr>
        <w:t xml:space="preserve"> It is estimated that 37% </w:t>
      </w:r>
      <w:r w:rsidRPr="0038045B">
        <w:rPr>
          <w:szCs w:val="24"/>
        </w:rPr>
        <w:t>of the remittances flows are channeled via unregulated services and syste</w:t>
      </w:r>
      <w:r w:rsidR="00EF7EB3" w:rsidRPr="0038045B">
        <w:rPr>
          <w:szCs w:val="24"/>
        </w:rPr>
        <w:t xml:space="preserve">ms, while 57% </w:t>
      </w:r>
      <w:r w:rsidRPr="0038045B">
        <w:rPr>
          <w:szCs w:val="24"/>
        </w:rPr>
        <w:t xml:space="preserve">goes through money transfer operators (MTOs) and </w:t>
      </w:r>
      <w:r w:rsidR="009C166B" w:rsidRPr="0038045B">
        <w:rPr>
          <w:szCs w:val="24"/>
        </w:rPr>
        <w:t>4%</w:t>
      </w:r>
      <w:r w:rsidRPr="0038045B">
        <w:rPr>
          <w:szCs w:val="24"/>
        </w:rPr>
        <w:t xml:space="preserve"> through banks</w:t>
      </w:r>
      <w:r w:rsidR="00B719E4" w:rsidRPr="0038045B">
        <w:rPr>
          <w:szCs w:val="24"/>
        </w:rPr>
        <w:t>.</w:t>
      </w:r>
      <w:r w:rsidRPr="0038045B">
        <w:rPr>
          <w:szCs w:val="24"/>
          <w:vertAlign w:val="superscript"/>
        </w:rPr>
        <w:footnoteReference w:id="82"/>
      </w:r>
      <w:bookmarkEnd w:id="101"/>
      <w:r w:rsidRPr="0038045B">
        <w:rPr>
          <w:szCs w:val="24"/>
        </w:rPr>
        <w:t xml:space="preserve"> The most important sending countries are Italy, the United Kingdom, Germany, Greece and the United States.</w:t>
      </w:r>
    </w:p>
    <w:p w14:paraId="141AD80F" w14:textId="77777777" w:rsidR="0070650E" w:rsidRPr="0038045B" w:rsidRDefault="0070650E" w:rsidP="0070650E">
      <w:pPr>
        <w:numPr>
          <w:ilvl w:val="0"/>
          <w:numId w:val="15"/>
        </w:numPr>
        <w:spacing w:after="200" w:line="276" w:lineRule="auto"/>
        <w:ind w:left="0" w:firstLine="0"/>
        <w:jc w:val="both"/>
        <w:rPr>
          <w:szCs w:val="24"/>
        </w:rPr>
      </w:pPr>
      <w:r w:rsidRPr="0038045B">
        <w:rPr>
          <w:szCs w:val="24"/>
        </w:rPr>
        <w:t>With regard to domestic remittances, Findex (2014)</w:t>
      </w:r>
      <w:r w:rsidR="009C166B" w:rsidRPr="0038045B">
        <w:rPr>
          <w:szCs w:val="24"/>
        </w:rPr>
        <w:t xml:space="preserve"> estimated that 27.1% </w:t>
      </w:r>
      <w:r w:rsidRPr="0038045B">
        <w:rPr>
          <w:szCs w:val="24"/>
        </w:rPr>
        <w:t>of Albanian adults received domestic remittances, of which 13.9</w:t>
      </w:r>
      <w:r w:rsidR="009C166B" w:rsidRPr="0038045B">
        <w:rPr>
          <w:szCs w:val="24"/>
        </w:rPr>
        <w:t xml:space="preserve">% </w:t>
      </w:r>
      <w:r w:rsidRPr="0038045B">
        <w:rPr>
          <w:szCs w:val="24"/>
        </w:rPr>
        <w:t>through a financial institution, and 12.1</w:t>
      </w:r>
      <w:r w:rsidR="009C166B" w:rsidRPr="0038045B">
        <w:rPr>
          <w:szCs w:val="24"/>
        </w:rPr>
        <w:t xml:space="preserve">% </w:t>
      </w:r>
      <w:r w:rsidRPr="0038045B">
        <w:rPr>
          <w:szCs w:val="24"/>
        </w:rPr>
        <w:t>through a MTO. Only 1.4</w:t>
      </w:r>
      <w:r w:rsidR="009C166B" w:rsidRPr="0038045B">
        <w:rPr>
          <w:szCs w:val="24"/>
        </w:rPr>
        <w:t xml:space="preserve">% </w:t>
      </w:r>
      <w:r w:rsidRPr="0038045B">
        <w:rPr>
          <w:szCs w:val="24"/>
        </w:rPr>
        <w:t>of recipients used a mobile phone for receiving their remittances, although since 2014 one mobile money issuer (</w:t>
      </w:r>
      <w:r w:rsidR="00B719E4" w:rsidRPr="0038045B">
        <w:rPr>
          <w:szCs w:val="24"/>
        </w:rPr>
        <w:t xml:space="preserve">Vodafone </w:t>
      </w:r>
      <w:r w:rsidRPr="0038045B">
        <w:rPr>
          <w:szCs w:val="24"/>
        </w:rPr>
        <w:t xml:space="preserve">M-Pesa) was licensed which could result in an increase of domestic remittances channeled through mobile phones. M-Pesa currently has over 240,000 accounts, top-ups and domestic person-to-person being the main/most used services. </w:t>
      </w:r>
    </w:p>
    <w:p w14:paraId="64DF683A" w14:textId="77777777" w:rsidR="0070650E" w:rsidRPr="0038045B" w:rsidRDefault="0070650E" w:rsidP="0070650E">
      <w:pPr>
        <w:numPr>
          <w:ilvl w:val="0"/>
          <w:numId w:val="15"/>
        </w:numPr>
        <w:spacing w:after="200" w:line="276" w:lineRule="auto"/>
        <w:ind w:left="0" w:firstLine="0"/>
        <w:jc w:val="both"/>
        <w:rPr>
          <w:szCs w:val="24"/>
        </w:rPr>
      </w:pPr>
      <w:r w:rsidRPr="0038045B">
        <w:rPr>
          <w:szCs w:val="24"/>
        </w:rPr>
        <w:lastRenderedPageBreak/>
        <w:t>The RPP Baseline Survey on international remittance beneficiaries’ financial behaviors across Eastern Europe and Central Asia fou</w:t>
      </w:r>
      <w:r w:rsidR="00EF7EB3" w:rsidRPr="0038045B">
        <w:rPr>
          <w:szCs w:val="24"/>
        </w:rPr>
        <w:t xml:space="preserve">nd that in Albania more than 30% </w:t>
      </w:r>
      <w:r w:rsidRPr="0038045B">
        <w:rPr>
          <w:szCs w:val="24"/>
        </w:rPr>
        <w:t xml:space="preserve">of interviewed households receive remittances regularly, while </w:t>
      </w:r>
      <w:r w:rsidR="00EF7EB3" w:rsidRPr="0038045B">
        <w:rPr>
          <w:szCs w:val="24"/>
        </w:rPr>
        <w:t xml:space="preserve">another 40% </w:t>
      </w:r>
      <w:r w:rsidRPr="0038045B">
        <w:rPr>
          <w:szCs w:val="24"/>
        </w:rPr>
        <w:t>are getting financial support from their relatives abroad on special occasions. According to the Survey remittances represent one third of the yearly household budget in Albania. International remittances are mostly used for fast moving consumer goods and health &amp; hygiene products (elected by 67</w:t>
      </w:r>
      <w:r w:rsidR="009C166B" w:rsidRPr="0038045B">
        <w:rPr>
          <w:szCs w:val="24"/>
        </w:rPr>
        <w:t xml:space="preserve">% </w:t>
      </w:r>
      <w:r w:rsidRPr="0038045B">
        <w:rPr>
          <w:szCs w:val="24"/>
        </w:rPr>
        <w:t>of interviewed h</w:t>
      </w:r>
      <w:r w:rsidR="009C166B" w:rsidRPr="0038045B">
        <w:rPr>
          <w:szCs w:val="24"/>
        </w:rPr>
        <w:t>ouseholds), health expenses (52%</w:t>
      </w:r>
      <w:r w:rsidRPr="0038045B">
        <w:rPr>
          <w:szCs w:val="24"/>
        </w:rPr>
        <w:t>),</w:t>
      </w:r>
      <w:r w:rsidR="009C166B" w:rsidRPr="0038045B">
        <w:rPr>
          <w:szCs w:val="24"/>
        </w:rPr>
        <w:t xml:space="preserve"> and for education purposes (32%</w:t>
      </w:r>
      <w:r w:rsidRPr="0038045B">
        <w:rPr>
          <w:szCs w:val="24"/>
        </w:rPr>
        <w:t>)</w:t>
      </w:r>
      <w:r w:rsidR="00B719E4" w:rsidRPr="0038045B">
        <w:rPr>
          <w:szCs w:val="24"/>
        </w:rPr>
        <w:t>.</w:t>
      </w:r>
      <w:r w:rsidRPr="0038045B">
        <w:rPr>
          <w:vertAlign w:val="superscript"/>
        </w:rPr>
        <w:footnoteReference w:id="83"/>
      </w:r>
      <w:r w:rsidRPr="0038045B">
        <w:rPr>
          <w:szCs w:val="24"/>
          <w:vertAlign w:val="superscript"/>
        </w:rPr>
        <w:t xml:space="preserve"> </w:t>
      </w:r>
      <w:r w:rsidRPr="0038045B">
        <w:rPr>
          <w:szCs w:val="24"/>
        </w:rPr>
        <w:t xml:space="preserve">Albanian adults are most likely to not use banks or other financial institutions for remittance transfers than in any other neighboring counties, mainly due to the (self-reported) complexity of the process (banks’ procedures are perceived as complex and confusing) and the high costs of transfers. </w:t>
      </w:r>
      <w:bookmarkStart w:id="102" w:name="_Ref441580277"/>
    </w:p>
    <w:bookmarkEnd w:id="102"/>
    <w:p w14:paraId="69AE5C6C" w14:textId="77777777" w:rsidR="0070650E" w:rsidRPr="0038045B" w:rsidRDefault="0070650E" w:rsidP="0070650E">
      <w:pPr>
        <w:numPr>
          <w:ilvl w:val="0"/>
          <w:numId w:val="15"/>
        </w:numPr>
        <w:spacing w:after="200" w:line="276" w:lineRule="auto"/>
        <w:ind w:left="0" w:firstLine="0"/>
        <w:jc w:val="both"/>
        <w:rPr>
          <w:szCs w:val="24"/>
        </w:rPr>
      </w:pPr>
      <w:r w:rsidRPr="0038045B">
        <w:rPr>
          <w:szCs w:val="24"/>
        </w:rPr>
        <w:t>Cost might be one of the factors that prevent a greater volume of remittances from being channeled through regulated services. Sending the equivalent of USD 200 to Albania costs 9.39</w:t>
      </w:r>
      <w:r w:rsidR="00EF7EB3" w:rsidRPr="0038045B">
        <w:rPr>
          <w:szCs w:val="24"/>
        </w:rPr>
        <w:t>%</w:t>
      </w:r>
      <w:r w:rsidRPr="0038045B">
        <w:rPr>
          <w:szCs w:val="24"/>
        </w:rPr>
        <w:t>, as compa</w:t>
      </w:r>
      <w:r w:rsidR="00EF7EB3" w:rsidRPr="0038045B">
        <w:rPr>
          <w:szCs w:val="24"/>
        </w:rPr>
        <w:t>red to a global average of 7.40% and a regional average of 7.25%</w:t>
      </w:r>
      <w:r w:rsidRPr="0038045B">
        <w:rPr>
          <w:szCs w:val="24"/>
        </w:rPr>
        <w:t xml:space="preserve">. The average cost of sending money home to Albania is the </w:t>
      </w:r>
      <w:r w:rsidR="009C166B" w:rsidRPr="0038045B">
        <w:rPr>
          <w:szCs w:val="24"/>
        </w:rPr>
        <w:t>highest from Switzerland (15.34%</w:t>
      </w:r>
      <w:r w:rsidRPr="0038045B">
        <w:rPr>
          <w:szCs w:val="24"/>
        </w:rPr>
        <w:t>), and the cheapest is from Italy (7.40</w:t>
      </w:r>
      <w:r w:rsidR="00EF7EB3" w:rsidRPr="0038045B">
        <w:rPr>
          <w:szCs w:val="24"/>
        </w:rPr>
        <w:t>%</w:t>
      </w:r>
      <w:r w:rsidRPr="0038045B">
        <w:rPr>
          <w:szCs w:val="24"/>
        </w:rPr>
        <w:t>). Remittances from Germany and the United Kingdom to Albania cost on average 9.23 and 9.66</w:t>
      </w:r>
      <w:r w:rsidR="00EF7EB3" w:rsidRPr="0038045B">
        <w:rPr>
          <w:szCs w:val="24"/>
        </w:rPr>
        <w:t>%</w:t>
      </w:r>
      <w:r w:rsidRPr="0038045B">
        <w:rPr>
          <w:szCs w:val="24"/>
        </w:rPr>
        <w:t xml:space="preserve">, respectively. When only cash-to-cash services are considered, total costs are often above corridors’ averages (e.g., the two MTOs with high disbursing network coverage on the Germany-Albania corridors are 1.2 to 10.2 percentage points more expensive than the corridor’s average). </w:t>
      </w:r>
    </w:p>
    <w:p w14:paraId="611C95E4" w14:textId="77777777" w:rsidR="00316A12" w:rsidRPr="0038045B" w:rsidRDefault="0070650E" w:rsidP="0070650E">
      <w:pPr>
        <w:numPr>
          <w:ilvl w:val="0"/>
          <w:numId w:val="15"/>
        </w:numPr>
        <w:spacing w:after="200" w:line="276" w:lineRule="auto"/>
        <w:ind w:left="0" w:firstLine="0"/>
        <w:jc w:val="both"/>
        <w:rPr>
          <w:szCs w:val="24"/>
        </w:rPr>
      </w:pPr>
      <w:r w:rsidRPr="0038045B">
        <w:rPr>
          <w:szCs w:val="24"/>
        </w:rPr>
        <w:t>The limited use of transaction accounts for remittances could be also explained by low levels of “bancarization” and limited awareness. In addition, the two leading MTOs which together account for over 90</w:t>
      </w:r>
      <w:r w:rsidR="009C166B" w:rsidRPr="0038045B">
        <w:rPr>
          <w:szCs w:val="24"/>
        </w:rPr>
        <w:t xml:space="preserve">% </w:t>
      </w:r>
      <w:r w:rsidRPr="0038045B">
        <w:rPr>
          <w:szCs w:val="24"/>
        </w:rPr>
        <w:t>of the market disburse remittances almost exclusively in cash. This situation is due to a combination of factors including: (i) banks who compete with MTOs do not cooperate with the latter to enable the disbursement of remittances into bank accounts coupled with (ii) lack of access of NBFIs to ACH infrastructure (relevant to remittances disbursed in local currency); or (iii) MTOs do not proactively seek opportunities for collaboration because they perceive that customers’ demand is insufficient and profitability is low. Limited awareness and low levels of financial literacy may also be a factor in inhibiting remittance recipients’ “bancarization”. This represents a lost opportunity to promote financial access and inclusion more broadly (through responsible cross-selling of other financial products). On the other hand, e-money institutions such as EasyPay and M-Pesa have recently partnered with Ria, and Scrill and WorldRemit, respectively, thus enabling disbursement directly into the beneficiary’s account. Cash-out from the e-money account would have an additional cost.</w:t>
      </w:r>
    </w:p>
    <w:p w14:paraId="20AF32EF" w14:textId="77777777" w:rsidR="009C2067" w:rsidRPr="0038045B" w:rsidRDefault="009C2067" w:rsidP="009C2067">
      <w:pPr>
        <w:keepNext/>
        <w:spacing w:before="360" w:after="200" w:line="276" w:lineRule="auto"/>
        <w:jc w:val="both"/>
        <w:rPr>
          <w:b/>
          <w:i/>
          <w:color w:val="000000" w:themeColor="text1"/>
          <w:szCs w:val="24"/>
          <w:lang w:eastAsia="en-US"/>
        </w:rPr>
      </w:pPr>
      <w:r w:rsidRPr="0038045B">
        <w:rPr>
          <w:b/>
          <w:i/>
          <w:szCs w:val="24"/>
          <w:lang w:eastAsia="en-US"/>
        </w:rPr>
        <w:lastRenderedPageBreak/>
        <w:t>Observations and recommendations</w:t>
      </w:r>
    </w:p>
    <w:p w14:paraId="7C41ABE6" w14:textId="77777777" w:rsidR="0070650E" w:rsidRPr="0038045B" w:rsidRDefault="0070650E" w:rsidP="00F23AB8">
      <w:pPr>
        <w:pStyle w:val="ListParagraph"/>
        <w:numPr>
          <w:ilvl w:val="0"/>
          <w:numId w:val="15"/>
        </w:numPr>
        <w:spacing w:after="120" w:line="276" w:lineRule="auto"/>
        <w:ind w:left="0" w:firstLine="0"/>
        <w:jc w:val="both"/>
        <w:rPr>
          <w:i/>
          <w:lang w:val="en-GB"/>
        </w:rPr>
      </w:pPr>
      <w:r w:rsidRPr="0038045B">
        <w:rPr>
          <w:i/>
          <w:lang w:val="en-GB"/>
        </w:rPr>
        <w:t>Government disbursements and collections would benefit from a coherent approach that take</w:t>
      </w:r>
      <w:r w:rsidR="00705BA6" w:rsidRPr="0038045B">
        <w:rPr>
          <w:i/>
          <w:lang w:val="en-GB"/>
        </w:rPr>
        <w:t>s</w:t>
      </w:r>
      <w:r w:rsidRPr="0038045B">
        <w:rPr>
          <w:i/>
          <w:lang w:val="en-GB"/>
        </w:rPr>
        <w:t xml:space="preserve"> into account financial access objectives along with efficiency. Efforts to enable disbursements to accounts should be broadened beyond public sector employees to include the beneficiaries of social programs from both central and local government. On the other hand, efforts that explicitly aim to facilitate financial access and broader financial inclusion through government payments should ensure that the conditions and incentives are in place to use the transaction account to which funds have been credited instead of cashing out immediately after the payment has been received. This aspect </w:t>
      </w:r>
      <w:r w:rsidR="00705BA6" w:rsidRPr="0038045B">
        <w:rPr>
          <w:i/>
          <w:lang w:val="en-GB"/>
        </w:rPr>
        <w:t>is</w:t>
      </w:r>
      <w:r w:rsidRPr="0038045B">
        <w:rPr>
          <w:i/>
          <w:lang w:val="en-GB"/>
        </w:rPr>
        <w:t xml:space="preserve"> currently not in focus</w:t>
      </w:r>
      <w:r w:rsidR="004E1F3A" w:rsidRPr="0038045B">
        <w:rPr>
          <w:i/>
          <w:lang w:val="en-GB"/>
        </w:rPr>
        <w:t xml:space="preserve"> with the Albanian authorities</w:t>
      </w:r>
      <w:r w:rsidRPr="0038045B">
        <w:rPr>
          <w:i/>
          <w:lang w:val="en-GB"/>
        </w:rPr>
        <w:t xml:space="preserve">, and would need to be coordinated in parallel with other policies that address bank/transaction account product design to meet the recipients’ needs, and the availability of access points, for instance. </w:t>
      </w:r>
    </w:p>
    <w:p w14:paraId="7E6C95C8" w14:textId="77777777" w:rsidR="003D3102" w:rsidRPr="0038045B" w:rsidRDefault="00F30D4F" w:rsidP="003D3102">
      <w:pPr>
        <w:pStyle w:val="ListParagraph"/>
        <w:numPr>
          <w:ilvl w:val="0"/>
          <w:numId w:val="15"/>
        </w:numPr>
        <w:spacing w:after="120" w:line="276" w:lineRule="auto"/>
        <w:ind w:left="0" w:firstLine="0"/>
        <w:jc w:val="both"/>
        <w:rPr>
          <w:i/>
          <w:lang w:val="en-GB"/>
        </w:rPr>
      </w:pPr>
      <w:r w:rsidRPr="0038045B">
        <w:rPr>
          <w:i/>
          <w:lang w:val="en-GB"/>
        </w:rPr>
        <w:t xml:space="preserve">A number of factors can be cited that make transitioning to delivery to bank / transaction accounts more complex than other government payment programs / large-volume payment streams, including the beneficiaries’ </w:t>
      </w:r>
      <w:r w:rsidR="000E2299" w:rsidRPr="0038045B">
        <w:rPr>
          <w:i/>
          <w:lang w:val="en-GB"/>
        </w:rPr>
        <w:t>low account ownership (e</w:t>
      </w:r>
      <w:r w:rsidR="00416FA8" w:rsidRPr="0038045B">
        <w:rPr>
          <w:i/>
          <w:lang w:val="en-GB"/>
        </w:rPr>
        <w:t>stimated at 14</w:t>
      </w:r>
      <w:r w:rsidR="000E2299" w:rsidRPr="0038045B">
        <w:rPr>
          <w:i/>
          <w:lang w:val="en-GB"/>
        </w:rPr>
        <w:t>%</w:t>
      </w:r>
      <w:r w:rsidR="003D3102" w:rsidRPr="0038045B">
        <w:rPr>
          <w:i/>
          <w:lang w:val="en-GB"/>
        </w:rPr>
        <w:t xml:space="preserve"> for bank accounts</w:t>
      </w:r>
      <w:r w:rsidR="000E2299" w:rsidRPr="0038045B">
        <w:rPr>
          <w:i/>
          <w:lang w:val="en-GB"/>
        </w:rPr>
        <w:t xml:space="preserve">) and </w:t>
      </w:r>
      <w:r w:rsidR="00FA0F27" w:rsidRPr="0038045B">
        <w:rPr>
          <w:i/>
          <w:lang w:val="en-GB"/>
        </w:rPr>
        <w:t>generally lower levels of financial and digital literacy</w:t>
      </w:r>
      <w:r w:rsidRPr="0038045B">
        <w:rPr>
          <w:i/>
          <w:lang w:val="en-GB"/>
        </w:rPr>
        <w:t xml:space="preserve">. </w:t>
      </w:r>
      <w:r w:rsidR="000E2299" w:rsidRPr="0038045B">
        <w:rPr>
          <w:i/>
          <w:lang w:val="en-GB"/>
        </w:rPr>
        <w:t xml:space="preserve">It is evident that, whatever the solution, </w:t>
      </w:r>
      <w:r w:rsidR="00416FA8" w:rsidRPr="0038045B">
        <w:rPr>
          <w:i/>
          <w:lang w:val="en-GB"/>
        </w:rPr>
        <w:t xml:space="preserve">(i) </w:t>
      </w:r>
      <w:r w:rsidR="00DB6509" w:rsidRPr="0038045B">
        <w:rPr>
          <w:i/>
          <w:lang w:val="en-GB"/>
        </w:rPr>
        <w:t xml:space="preserve">the underlying transaction account should be provided at little or no cost to the beneficiary; (ii) </w:t>
      </w:r>
      <w:r w:rsidR="00416FA8" w:rsidRPr="0038045B">
        <w:rPr>
          <w:i/>
          <w:lang w:val="en-GB"/>
        </w:rPr>
        <w:t xml:space="preserve">distribution </w:t>
      </w:r>
      <w:r w:rsidR="000E2299" w:rsidRPr="0038045B">
        <w:rPr>
          <w:i/>
          <w:lang w:val="en-GB"/>
        </w:rPr>
        <w:t xml:space="preserve">has to rely on </w:t>
      </w:r>
      <w:r w:rsidR="00416FA8" w:rsidRPr="0038045B">
        <w:rPr>
          <w:i/>
          <w:lang w:val="en-GB"/>
        </w:rPr>
        <w:t>a mix of</w:t>
      </w:r>
      <w:r w:rsidR="000E2299" w:rsidRPr="0038045B">
        <w:rPr>
          <w:i/>
          <w:lang w:val="en-GB"/>
        </w:rPr>
        <w:t xml:space="preserve"> ubiquitous channels </w:t>
      </w:r>
      <w:r w:rsidR="00416FA8" w:rsidRPr="0038045B">
        <w:rPr>
          <w:i/>
          <w:lang w:val="en-GB"/>
        </w:rPr>
        <w:t xml:space="preserve">– both virtual and </w:t>
      </w:r>
      <w:r w:rsidR="00DB6509" w:rsidRPr="0038045B">
        <w:rPr>
          <w:i/>
          <w:lang w:val="en-GB"/>
        </w:rPr>
        <w:t>physical</w:t>
      </w:r>
      <w:r w:rsidR="00416FA8" w:rsidRPr="0038045B">
        <w:rPr>
          <w:i/>
          <w:lang w:val="en-GB"/>
        </w:rPr>
        <w:t xml:space="preserve"> – that allow bypassing access point limitations</w:t>
      </w:r>
      <w:r w:rsidR="00DB6509" w:rsidRPr="0038045B">
        <w:rPr>
          <w:i/>
          <w:lang w:val="en-GB"/>
        </w:rPr>
        <w:t>; (ii) there should be a clear value added in t</w:t>
      </w:r>
      <w:r w:rsidR="003D3102" w:rsidRPr="0038045B">
        <w:rPr>
          <w:i/>
          <w:lang w:val="en-GB"/>
        </w:rPr>
        <w:t xml:space="preserve">erms of safety and convenience – among other features. </w:t>
      </w:r>
    </w:p>
    <w:p w14:paraId="26BB03FB" w14:textId="77777777" w:rsidR="0070650E" w:rsidRPr="0038045B" w:rsidRDefault="0070650E" w:rsidP="00F23AB8">
      <w:pPr>
        <w:pStyle w:val="ListParagraph"/>
        <w:numPr>
          <w:ilvl w:val="0"/>
          <w:numId w:val="15"/>
        </w:numPr>
        <w:spacing w:after="120" w:line="276" w:lineRule="auto"/>
        <w:ind w:left="0" w:firstLine="0"/>
        <w:jc w:val="both"/>
        <w:rPr>
          <w:i/>
          <w:lang w:val="en-GB"/>
        </w:rPr>
      </w:pPr>
      <w:r w:rsidRPr="0038045B">
        <w:rPr>
          <w:i/>
          <w:lang w:val="en-GB"/>
        </w:rPr>
        <w:t>Ad-hoc transaction account products for the disbursement of social welfare programs could be explored/designed including adequate branding and a robust rollout and customer support strategy for benefit recipients. It is highly desirable that such an account be at the bank/PSP of the beneficiary’s choice (as it seems to be the case of government employees but less so of private sector employees). In addition, such products should be designed as multi-purpose and interoperable</w:t>
      </w:r>
      <w:r w:rsidR="00705BA6" w:rsidRPr="0038045B">
        <w:rPr>
          <w:i/>
          <w:lang w:val="en-GB"/>
        </w:rPr>
        <w:t xml:space="preserve"> with other bank and e-money products and with the various access channels/points</w:t>
      </w:r>
      <w:r w:rsidRPr="0038045B">
        <w:rPr>
          <w:i/>
          <w:lang w:val="en-GB"/>
        </w:rPr>
        <w:t xml:space="preserve">. </w:t>
      </w:r>
      <w:r w:rsidR="00B97270" w:rsidRPr="0038045B">
        <w:rPr>
          <w:i/>
          <w:lang w:val="en-GB"/>
        </w:rPr>
        <w:t>Finally, transaction accounts / payment mechanisms for the disbursement of grants / welfare programs should not inhibit the free use of funds by the beneficiaries for their families’ benefit.</w:t>
      </w:r>
    </w:p>
    <w:p w14:paraId="6F94846E" w14:textId="77777777" w:rsidR="0070650E" w:rsidRPr="0038045B" w:rsidRDefault="0070650E" w:rsidP="00F23AB8">
      <w:pPr>
        <w:pStyle w:val="ListParagraph"/>
        <w:numPr>
          <w:ilvl w:val="0"/>
          <w:numId w:val="15"/>
        </w:numPr>
        <w:spacing w:after="120" w:line="276" w:lineRule="auto"/>
        <w:ind w:left="0" w:firstLine="0"/>
        <w:jc w:val="both"/>
        <w:rPr>
          <w:i/>
          <w:lang w:val="en-GB"/>
        </w:rPr>
      </w:pPr>
      <w:r w:rsidRPr="0038045B">
        <w:rPr>
          <w:i/>
          <w:lang w:val="en-GB"/>
        </w:rPr>
        <w:t xml:space="preserve">Expanding the range of </w:t>
      </w:r>
      <w:r w:rsidR="00705BA6" w:rsidRPr="0038045B">
        <w:rPr>
          <w:i/>
          <w:lang w:val="en-GB"/>
        </w:rPr>
        <w:t xml:space="preserve">electronic </w:t>
      </w:r>
      <w:r w:rsidRPr="0038045B">
        <w:rPr>
          <w:i/>
          <w:lang w:val="en-GB"/>
        </w:rPr>
        <w:t xml:space="preserve">payment services for government collections and bill payments is important and should be encouraged. First, the implementation of direct debit will be instrumental to enhancing the efficiency and convenience of collecting and paying utility bills, respectively, and should be prioritized. In part, the uptake will depend on how banks implement direct debit, e.g., on the necessary safeguards and protections being in place for the customers, and the awareness/marketing efforts being conducted in parallel. Second, any remaining legal barriers to collections by non-banks should be eliminated. </w:t>
      </w:r>
      <w:r w:rsidR="000F4142" w:rsidRPr="0038045B">
        <w:rPr>
          <w:i/>
          <w:lang w:val="en-GB"/>
        </w:rPr>
        <w:t>C</w:t>
      </w:r>
      <w:r w:rsidRPr="0038045B">
        <w:rPr>
          <w:i/>
          <w:lang w:val="en-GB"/>
        </w:rPr>
        <w:t>ollections could benefit from innovative business models and electronic and online channels that eliminate the need to visit the bank branch</w:t>
      </w:r>
      <w:r w:rsidR="000F4142" w:rsidRPr="0038045B">
        <w:rPr>
          <w:i/>
          <w:lang w:val="en-GB"/>
        </w:rPr>
        <w:t xml:space="preserve"> </w:t>
      </w:r>
      <w:r w:rsidRPr="0038045B">
        <w:rPr>
          <w:i/>
          <w:lang w:val="en-GB"/>
        </w:rPr>
        <w:t xml:space="preserve">or the premise of the </w:t>
      </w:r>
      <w:r w:rsidRPr="0038045B">
        <w:rPr>
          <w:i/>
          <w:lang w:val="en-GB"/>
        </w:rPr>
        <w:lastRenderedPageBreak/>
        <w:t>government agency. At the same time, collections may enhance the liquidity management of non-bank providers, whose range of services is often limited by scarce liquidity. The fees that the Government may incur in enabling collection</w:t>
      </w:r>
      <w:r w:rsidR="00705BA6" w:rsidRPr="0038045B">
        <w:rPr>
          <w:i/>
          <w:lang w:val="en-GB"/>
        </w:rPr>
        <w:t>s</w:t>
      </w:r>
      <w:r w:rsidRPr="0038045B">
        <w:rPr>
          <w:i/>
          <w:lang w:val="en-GB"/>
        </w:rPr>
        <w:t xml:space="preserve"> through non-bank providers would be compensated by the elimination of costly cash logistics, among other benefits. </w:t>
      </w:r>
    </w:p>
    <w:p w14:paraId="2FA95E68" w14:textId="77777777" w:rsidR="0070650E" w:rsidRPr="0038045B" w:rsidRDefault="0070650E" w:rsidP="00F23AB8">
      <w:pPr>
        <w:pStyle w:val="ListParagraph"/>
        <w:numPr>
          <w:ilvl w:val="0"/>
          <w:numId w:val="15"/>
        </w:numPr>
        <w:spacing w:after="120" w:line="276" w:lineRule="auto"/>
        <w:ind w:left="0" w:firstLine="0"/>
        <w:jc w:val="both"/>
        <w:rPr>
          <w:i/>
          <w:lang w:val="en-GB"/>
        </w:rPr>
      </w:pPr>
      <w:r w:rsidRPr="0038045B">
        <w:rPr>
          <w:i/>
          <w:lang w:val="en-GB"/>
        </w:rPr>
        <w:t xml:space="preserve">Efforts to integrate a growing number of payment services to the e-Albania platform and to diversify the range of providers should be continued. However, if not accompanied by a coordinated approach to awareness raising and education, these efforts might not achieve the expected results. This is a task that </w:t>
      </w:r>
      <w:r w:rsidR="00705BA6" w:rsidRPr="0038045B">
        <w:rPr>
          <w:i/>
          <w:lang w:val="en-GB"/>
        </w:rPr>
        <w:t xml:space="preserve">if </w:t>
      </w:r>
      <w:r w:rsidRPr="0038045B">
        <w:rPr>
          <w:i/>
          <w:lang w:val="en-GB"/>
        </w:rPr>
        <w:t xml:space="preserve">left to the </w:t>
      </w:r>
      <w:r w:rsidR="003D3102" w:rsidRPr="0038045B">
        <w:rPr>
          <w:i/>
          <w:lang w:val="en-GB"/>
        </w:rPr>
        <w:t>individual providers</w:t>
      </w:r>
      <w:r w:rsidRPr="0038045B">
        <w:rPr>
          <w:i/>
          <w:lang w:val="en-GB"/>
        </w:rPr>
        <w:t xml:space="preserve"> is unlikely to be as effective as a strategic, centrally-driven initiative. Finally, awareness should be directed to both payers and billers; in particular, the latter should be educated about the benefits of electronic collections and the legal validity of electronic records and signatures. </w:t>
      </w:r>
    </w:p>
    <w:p w14:paraId="0F978BBC" w14:textId="77777777" w:rsidR="005B381C" w:rsidRPr="0038045B" w:rsidRDefault="0070650E" w:rsidP="005B381C">
      <w:pPr>
        <w:pStyle w:val="ListParagraph"/>
        <w:numPr>
          <w:ilvl w:val="0"/>
          <w:numId w:val="15"/>
        </w:numPr>
        <w:spacing w:after="120" w:line="276" w:lineRule="auto"/>
        <w:ind w:left="0" w:firstLine="0"/>
        <w:jc w:val="both"/>
        <w:rPr>
          <w:i/>
          <w:lang w:val="en-GB"/>
        </w:rPr>
      </w:pPr>
      <w:r w:rsidRPr="0038045B">
        <w:rPr>
          <w:i/>
          <w:lang w:val="en-GB"/>
        </w:rPr>
        <w:t>Authorities should determine whether, given the current situation of dominance of cash including for government and utility bill collections, more deliberate actions to discourage use of cash and incentivize electronic alternative</w:t>
      </w:r>
      <w:r w:rsidR="003C2A61" w:rsidRPr="0038045B">
        <w:rPr>
          <w:i/>
          <w:lang w:val="en-GB"/>
        </w:rPr>
        <w:t>s</w:t>
      </w:r>
      <w:r w:rsidRPr="0038045B">
        <w:rPr>
          <w:i/>
          <w:lang w:val="en-GB"/>
        </w:rPr>
        <w:t xml:space="preserve"> are warranted. For example, </w:t>
      </w:r>
      <w:r w:rsidR="00FA521A" w:rsidRPr="0038045B">
        <w:rPr>
          <w:i/>
          <w:lang w:val="en-GB"/>
        </w:rPr>
        <w:t>large-volume payment</w:t>
      </w:r>
      <w:r w:rsidR="00C452E6" w:rsidRPr="0038045B">
        <w:rPr>
          <w:i/>
          <w:lang w:val="en-GB"/>
        </w:rPr>
        <w:t xml:space="preserve"> use cases can be prioritized for a gradual migration to electronic means</w:t>
      </w:r>
      <w:r w:rsidR="003C2A61" w:rsidRPr="0038045B">
        <w:rPr>
          <w:i/>
          <w:lang w:val="en-GB"/>
        </w:rPr>
        <w:t>,</w:t>
      </w:r>
      <w:r w:rsidR="00C452E6" w:rsidRPr="0038045B">
        <w:rPr>
          <w:i/>
          <w:lang w:val="en-GB"/>
        </w:rPr>
        <w:t xml:space="preserve"> in parallel with restrictions to the use of cash. </w:t>
      </w:r>
      <w:r w:rsidR="00FA521A" w:rsidRPr="0038045B">
        <w:rPr>
          <w:i/>
          <w:lang w:val="en-GB"/>
        </w:rPr>
        <w:t xml:space="preserve">At the same time, </w:t>
      </w:r>
      <w:r w:rsidR="00C452E6" w:rsidRPr="0038045B">
        <w:rPr>
          <w:i/>
          <w:lang w:val="en-GB"/>
        </w:rPr>
        <w:t>VAT rebates on purchase</w:t>
      </w:r>
      <w:r w:rsidR="00EC21A0" w:rsidRPr="0038045B">
        <w:rPr>
          <w:i/>
          <w:lang w:val="en-GB"/>
        </w:rPr>
        <w:t xml:space="preserve">s </w:t>
      </w:r>
      <w:r w:rsidR="00C452E6" w:rsidRPr="0038045B">
        <w:rPr>
          <w:i/>
          <w:lang w:val="en-GB"/>
        </w:rPr>
        <w:t>by electro</w:t>
      </w:r>
      <w:r w:rsidR="00EC21A0" w:rsidRPr="0038045B">
        <w:rPr>
          <w:i/>
          <w:lang w:val="en-GB"/>
        </w:rPr>
        <w:t xml:space="preserve">nic means have been used </w:t>
      </w:r>
      <w:r w:rsidR="000333A1" w:rsidRPr="0038045B">
        <w:rPr>
          <w:i/>
          <w:lang w:val="en-GB"/>
        </w:rPr>
        <w:t>in some countries (e.g., Uruguay</w:t>
      </w:r>
      <w:r w:rsidR="005B381C" w:rsidRPr="0038045B">
        <w:rPr>
          <w:i/>
          <w:lang w:val="en-GB"/>
        </w:rPr>
        <w:t xml:space="preserve"> in the aftermath of the promulgation of the Financial Inclusion Law of 2014</w:t>
      </w:r>
      <w:r w:rsidR="005B381C" w:rsidRPr="0038045B">
        <w:rPr>
          <w:rStyle w:val="FootnoteReference"/>
          <w:i/>
          <w:lang w:val="en-GB"/>
        </w:rPr>
        <w:footnoteReference w:id="84"/>
      </w:r>
      <w:r w:rsidR="000333A1" w:rsidRPr="0038045B">
        <w:rPr>
          <w:i/>
          <w:lang w:val="en-GB"/>
        </w:rPr>
        <w:t>) to incentivize electronic payments at t</w:t>
      </w:r>
      <w:r w:rsidR="003C2A61" w:rsidRPr="0038045B">
        <w:rPr>
          <w:i/>
          <w:lang w:val="en-GB"/>
        </w:rPr>
        <w:t>he point of sale</w:t>
      </w:r>
      <w:r w:rsidRPr="0038045B">
        <w:rPr>
          <w:i/>
          <w:lang w:val="en-GB"/>
        </w:rPr>
        <w:t>.</w:t>
      </w:r>
    </w:p>
    <w:p w14:paraId="43D85781" w14:textId="77777777" w:rsidR="0070650E" w:rsidRPr="0038045B" w:rsidRDefault="0070650E" w:rsidP="00F23AB8">
      <w:pPr>
        <w:pStyle w:val="ListParagraph"/>
        <w:numPr>
          <w:ilvl w:val="0"/>
          <w:numId w:val="15"/>
        </w:numPr>
        <w:spacing w:after="120" w:line="276" w:lineRule="auto"/>
        <w:ind w:left="0" w:firstLine="0"/>
        <w:jc w:val="both"/>
        <w:rPr>
          <w:i/>
          <w:lang w:val="en-GB"/>
        </w:rPr>
      </w:pPr>
      <w:r w:rsidRPr="0038045B">
        <w:rPr>
          <w:i/>
          <w:lang w:val="en-GB"/>
        </w:rPr>
        <w:t xml:space="preserve">In the same vein, ad hoc incentives may be considered by large billers and transit system operators to induce greater usage of electronic payment instruments, which in turn could reduce their own costs associated with collections. For example, large billers, probably in partnership with banks, could offer some benefits if bills are paid via direct debit (even if at the intrabank level), like rebates, a lower minimum monthly balance to avoid account maintenance fees and/or other commercial incentives. Transit system operators may also consider offering rebates when paying with electronic payment instruments (once enabled) on a regular basis. </w:t>
      </w:r>
    </w:p>
    <w:p w14:paraId="5DA1D025" w14:textId="77777777" w:rsidR="0070650E" w:rsidRPr="0038045B" w:rsidRDefault="0070650E" w:rsidP="00F23AB8">
      <w:pPr>
        <w:pStyle w:val="ListParagraph"/>
        <w:numPr>
          <w:ilvl w:val="0"/>
          <w:numId w:val="15"/>
        </w:numPr>
        <w:spacing w:after="120" w:line="276" w:lineRule="auto"/>
        <w:ind w:left="0" w:firstLine="0"/>
        <w:jc w:val="both"/>
        <w:rPr>
          <w:i/>
          <w:lang w:val="en-GB"/>
        </w:rPr>
      </w:pPr>
      <w:r w:rsidRPr="0038045B">
        <w:rPr>
          <w:i/>
          <w:lang w:val="en-GB"/>
        </w:rPr>
        <w:t xml:space="preserve">As payment options are broadened and enhanced, the BoA should keep a close watch on interoperability. Greater integration and interoperability of the Albania </w:t>
      </w:r>
      <w:r w:rsidRPr="0038045B">
        <w:rPr>
          <w:i/>
          <w:lang w:val="en-GB"/>
        </w:rPr>
        <w:lastRenderedPageBreak/>
        <w:t>payments system can lead to improved customer experience and greater usage of transaction accounts (e.g. due to increased convenience), and at the same time can lead to further extension of the payment system due to economies of scale and scope and drive down per-transaction costs. Conversely, the</w:t>
      </w:r>
      <w:r w:rsidR="004D4A56" w:rsidRPr="0038045B">
        <w:rPr>
          <w:i/>
          <w:lang w:val="en-GB"/>
        </w:rPr>
        <w:t>se</w:t>
      </w:r>
      <w:r w:rsidRPr="0038045B">
        <w:rPr>
          <w:i/>
          <w:lang w:val="en-GB"/>
        </w:rPr>
        <w:t xml:space="preserve"> developments could result in a series of parallel and disconnected services whose value added for receiving government payments or paying government obligations is not entirely clear. In particular, in light of future development of electronic transit payments, it is recommended that electronic payment mechanisms developed for this purpose have a clear trajectory in terms of interoperability, and also that the underlying payment instrument can be used across a number of other services making full use of the existing payment infrastructure in as far as it is feasible. This is especially important for low-income individuals, who cannot afford holding idle balances in two or more prepaid payment devices.</w:t>
      </w:r>
    </w:p>
    <w:p w14:paraId="23BB04F1" w14:textId="77777777" w:rsidR="006F0008" w:rsidRPr="0038045B" w:rsidRDefault="0070650E" w:rsidP="00F23AB8">
      <w:pPr>
        <w:pStyle w:val="ListParagraph"/>
        <w:numPr>
          <w:ilvl w:val="0"/>
          <w:numId w:val="15"/>
        </w:numPr>
        <w:spacing w:after="120" w:line="276" w:lineRule="auto"/>
        <w:ind w:left="0" w:firstLine="0"/>
        <w:jc w:val="both"/>
        <w:rPr>
          <w:i/>
          <w:lang w:val="en-GB"/>
        </w:rPr>
      </w:pPr>
      <w:r w:rsidRPr="0038045B">
        <w:rPr>
          <w:i/>
          <w:lang w:val="en-GB"/>
        </w:rPr>
        <w:t>Currently remittances are underutilized as a means to increase financial access in Albania</w:t>
      </w:r>
      <w:r w:rsidR="00286CFE" w:rsidRPr="0038045B">
        <w:rPr>
          <w:i/>
          <w:lang w:val="en-GB"/>
        </w:rPr>
        <w:t xml:space="preserve"> to the extent that transaction accounts are rarely used to receive remittances</w:t>
      </w:r>
      <w:r w:rsidRPr="0038045B">
        <w:rPr>
          <w:i/>
          <w:lang w:val="en-GB"/>
        </w:rPr>
        <w:t xml:space="preserve">. </w:t>
      </w:r>
      <w:r w:rsidR="00FA521A" w:rsidRPr="0038045B">
        <w:rPr>
          <w:i/>
          <w:lang w:val="en-GB"/>
        </w:rPr>
        <w:t xml:space="preserve">To help address this issue, efforts should be twofold: first, </w:t>
      </w:r>
      <w:r w:rsidR="00286CFE" w:rsidRPr="0038045B">
        <w:rPr>
          <w:i/>
          <w:lang w:val="en-GB"/>
        </w:rPr>
        <w:t xml:space="preserve">to discourage unregulated channels, there should be a wide range of competitive services that are </w:t>
      </w:r>
      <w:r w:rsidR="00C35E65" w:rsidRPr="0038045B">
        <w:rPr>
          <w:i/>
          <w:lang w:val="en-GB"/>
        </w:rPr>
        <w:t>cost-effective</w:t>
      </w:r>
      <w:r w:rsidR="001F72F7" w:rsidRPr="0038045B">
        <w:rPr>
          <w:i/>
          <w:lang w:val="en-GB"/>
        </w:rPr>
        <w:t>; second, regulated services should increasingly cater to non-cash delivery models that leverage transaction accounts and electronic payment products. Therefore, i</w:t>
      </w:r>
      <w:r w:rsidRPr="0038045B">
        <w:rPr>
          <w:i/>
          <w:lang w:val="en-GB"/>
        </w:rPr>
        <w:t xml:space="preserve">ncreasing competition and fostering innovation in the </w:t>
      </w:r>
      <w:r w:rsidR="001F72F7" w:rsidRPr="0038045B">
        <w:rPr>
          <w:i/>
          <w:lang w:val="en-GB"/>
        </w:rPr>
        <w:t xml:space="preserve">Albanian </w:t>
      </w:r>
      <w:r w:rsidRPr="0038045B">
        <w:rPr>
          <w:i/>
          <w:lang w:val="en-GB"/>
        </w:rPr>
        <w:t xml:space="preserve">remittance market are pre-conditions to realizing the potential of remittances as a vehicle of financial access and inclusion. Competition can be increased by eliminating exclusivity contracts that bind MTO agents to their sub-agents. Among other implications, exclusivity inhibits the full exploitation of the network of access points throughout the country. Where exclusive contracts have </w:t>
      </w:r>
      <w:r w:rsidR="00C35E65" w:rsidRPr="0038045B">
        <w:rPr>
          <w:i/>
          <w:lang w:val="en-GB"/>
        </w:rPr>
        <w:t>been banned in other countries (</w:t>
      </w:r>
      <w:r w:rsidRPr="0038045B">
        <w:rPr>
          <w:i/>
          <w:lang w:val="en-GB"/>
        </w:rPr>
        <w:t>such as Nigeria, Ghana, and Morocco</w:t>
      </w:r>
      <w:r w:rsidR="00C35E65" w:rsidRPr="0038045B">
        <w:rPr>
          <w:i/>
          <w:lang w:val="en-GB"/>
        </w:rPr>
        <w:t>)</w:t>
      </w:r>
      <w:r w:rsidRPr="0038045B">
        <w:rPr>
          <w:i/>
          <w:lang w:val="en-GB"/>
        </w:rPr>
        <w:t xml:space="preserve"> there has been an immediate increase in competition and significant drop in the cost of sending money to those countries. Also, liberalizing access criteria to the BoA-operated ACH (i.e., enabling the participation of NBFIs provided that they comply with the participation requirements) would enable them to develop new products and better serve their customers. Cooperation between banks and MTOs is also desirable to enable product innovation through partnership. </w:t>
      </w:r>
    </w:p>
    <w:p w14:paraId="58B961CC" w14:textId="77777777" w:rsidR="000B1C94" w:rsidRPr="0038045B" w:rsidRDefault="000B1C94" w:rsidP="00F23AB8">
      <w:pPr>
        <w:spacing w:line="276" w:lineRule="auto"/>
      </w:pPr>
      <w:r w:rsidRPr="0038045B">
        <w:br w:type="page"/>
      </w:r>
    </w:p>
    <w:p w14:paraId="5AE9BD8D" w14:textId="77777777" w:rsidR="00D81B6C" w:rsidRPr="0038045B" w:rsidRDefault="00187199" w:rsidP="000B1C94">
      <w:pPr>
        <w:pStyle w:val="Heading1"/>
        <w:pageBreakBefore/>
        <w:spacing w:before="120" w:after="240"/>
        <w:jc w:val="left"/>
      </w:pPr>
      <w:bookmarkStart w:id="103" w:name="_Toc476239738"/>
      <w:r w:rsidRPr="0038045B">
        <w:lastRenderedPageBreak/>
        <w:t>CONCLUSIONS</w:t>
      </w:r>
      <w:bookmarkEnd w:id="103"/>
    </w:p>
    <w:p w14:paraId="5419C062" w14:textId="77777777" w:rsidR="00B719E4" w:rsidRPr="0038045B" w:rsidRDefault="00B719E4" w:rsidP="00B719E4">
      <w:pPr>
        <w:pStyle w:val="ListParagraph"/>
        <w:numPr>
          <w:ilvl w:val="0"/>
          <w:numId w:val="15"/>
        </w:numPr>
        <w:spacing w:after="200" w:line="276" w:lineRule="auto"/>
        <w:ind w:left="0" w:firstLine="0"/>
        <w:jc w:val="both"/>
        <w:rPr>
          <w:lang w:val="en-GB"/>
        </w:rPr>
      </w:pPr>
      <w:r w:rsidRPr="0038045B">
        <w:rPr>
          <w:lang w:val="en-GB"/>
        </w:rPr>
        <w:t>This report focuses on one specific aspect of financial inclusion in Albania, which is the adoption and usage of transaction accounts</w:t>
      </w:r>
      <w:r w:rsidR="006B03E0" w:rsidRPr="0038045B">
        <w:rPr>
          <w:lang w:val="en-GB"/>
        </w:rPr>
        <w:t xml:space="preserve"> (i.e. currently bank accounts and e-money accounts)</w:t>
      </w:r>
      <w:r w:rsidRPr="0038045B">
        <w:rPr>
          <w:lang w:val="en-GB"/>
        </w:rPr>
        <w:t xml:space="preserve">. Albania is well-placed to make swift progress in this area due to a number of factors. First, </w:t>
      </w:r>
      <w:r w:rsidR="00E3485E" w:rsidRPr="0038045B">
        <w:rPr>
          <w:lang w:val="en-GB"/>
        </w:rPr>
        <w:t xml:space="preserve">BoA leadership of the payments agenda, and coordination through the </w:t>
      </w:r>
      <w:r w:rsidRPr="0038045B">
        <w:rPr>
          <w:lang w:val="en-GB"/>
        </w:rPr>
        <w:t xml:space="preserve">NPSC. Second, the enabling environment for innovation and competition is largely in place with some gaps, as well as sound and proportionate risk management. The process of transposition of PSD2 is an opportunity to bring </w:t>
      </w:r>
      <w:r w:rsidR="008F4EA1" w:rsidRPr="0038045B">
        <w:rPr>
          <w:lang w:val="en-GB"/>
        </w:rPr>
        <w:t xml:space="preserve">the legal and regulatory framework fully in line with international standards. </w:t>
      </w:r>
      <w:r w:rsidRPr="0038045B">
        <w:rPr>
          <w:lang w:val="en-GB"/>
        </w:rPr>
        <w:t xml:space="preserve">Likewise, the </w:t>
      </w:r>
      <w:r w:rsidR="008F4EA1" w:rsidRPr="0038045B">
        <w:rPr>
          <w:lang w:val="en-GB"/>
        </w:rPr>
        <w:t>Albanian</w:t>
      </w:r>
      <w:r w:rsidRPr="0038045B">
        <w:rPr>
          <w:lang w:val="en-GB"/>
        </w:rPr>
        <w:t xml:space="preserve"> </w:t>
      </w:r>
      <w:r w:rsidR="008F4EA1" w:rsidRPr="0038045B">
        <w:rPr>
          <w:lang w:val="en-GB"/>
        </w:rPr>
        <w:t>payments infrastructure provides</w:t>
      </w:r>
      <w:r w:rsidRPr="0038045B">
        <w:rPr>
          <w:lang w:val="en-GB"/>
        </w:rPr>
        <w:t xml:space="preserve"> a good foundation thanks to the reliability</w:t>
      </w:r>
      <w:r w:rsidR="008F4EA1" w:rsidRPr="0038045B">
        <w:rPr>
          <w:lang w:val="en-GB"/>
        </w:rPr>
        <w:t xml:space="preserve"> of central clearing mechanisms</w:t>
      </w:r>
      <w:r w:rsidRPr="0038045B">
        <w:rPr>
          <w:lang w:val="en-GB"/>
        </w:rPr>
        <w:t>.</w:t>
      </w:r>
    </w:p>
    <w:p w14:paraId="7AF65A99" w14:textId="77777777" w:rsidR="00B719E4" w:rsidRPr="0038045B" w:rsidRDefault="00B719E4" w:rsidP="00B719E4">
      <w:pPr>
        <w:pStyle w:val="ListParagraph"/>
        <w:numPr>
          <w:ilvl w:val="0"/>
          <w:numId w:val="15"/>
        </w:numPr>
        <w:spacing w:after="200" w:line="276" w:lineRule="auto"/>
        <w:ind w:left="0" w:firstLine="0"/>
        <w:jc w:val="both"/>
        <w:rPr>
          <w:lang w:val="en-GB"/>
        </w:rPr>
      </w:pPr>
      <w:r w:rsidRPr="0038045B">
        <w:rPr>
          <w:lang w:val="en-GB"/>
        </w:rPr>
        <w:t>Nevertheless, some important challenges remain</w:t>
      </w:r>
      <w:r w:rsidR="008F4EA1" w:rsidRPr="0038045B">
        <w:rPr>
          <w:lang w:val="en-GB"/>
        </w:rPr>
        <w:t xml:space="preserve"> that might cripple the current efforts</w:t>
      </w:r>
      <w:r w:rsidRPr="0038045B">
        <w:rPr>
          <w:lang w:val="en-GB"/>
        </w:rPr>
        <w:t xml:space="preserve">, the major one being probably that despite the </w:t>
      </w:r>
      <w:r w:rsidR="008F4EA1" w:rsidRPr="0038045B">
        <w:rPr>
          <w:lang w:val="en-GB"/>
        </w:rPr>
        <w:t>progress made so far to promote electronic instruments</w:t>
      </w:r>
      <w:r w:rsidRPr="0038045B">
        <w:rPr>
          <w:lang w:val="en-GB"/>
        </w:rPr>
        <w:t xml:space="preserve">, cash remains the dominant means of payment for a very significant share of the country’s population, even for those that already have transaction accounts. </w:t>
      </w:r>
      <w:r w:rsidR="008F4EA1" w:rsidRPr="0038045B">
        <w:rPr>
          <w:lang w:val="en-GB"/>
        </w:rPr>
        <w:t xml:space="preserve">In other words, low account ownership rates are associated with, and aggravated by, the </w:t>
      </w:r>
      <w:r w:rsidRPr="0038045B">
        <w:rPr>
          <w:lang w:val="en-GB"/>
        </w:rPr>
        <w:t xml:space="preserve">lack of regular use of those accounts. This can partly be explained by limitations in the transaction account and payment product design (e.g. </w:t>
      </w:r>
      <w:r w:rsidR="008F4EA1" w:rsidRPr="0038045B">
        <w:rPr>
          <w:lang w:val="en-GB"/>
        </w:rPr>
        <w:t>lack of diversification of features and pricing</w:t>
      </w:r>
      <w:r w:rsidRPr="0038045B">
        <w:rPr>
          <w:lang w:val="en-GB"/>
        </w:rPr>
        <w:t xml:space="preserve">) as well as </w:t>
      </w:r>
      <w:r w:rsidR="008F4EA1" w:rsidRPr="0038045B">
        <w:rPr>
          <w:lang w:val="en-GB"/>
        </w:rPr>
        <w:t xml:space="preserve">the poor distribution (and limited interoperability) of access points, and low levels of financial literacy. In addition, the potential of large-volume </w:t>
      </w:r>
      <w:r w:rsidR="008B2AAC" w:rsidRPr="0038045B">
        <w:rPr>
          <w:lang w:val="en-GB"/>
        </w:rPr>
        <w:t>payment streams</w:t>
      </w:r>
      <w:r w:rsidR="008F4EA1" w:rsidRPr="0038045B">
        <w:rPr>
          <w:lang w:val="en-GB"/>
        </w:rPr>
        <w:t xml:space="preserve"> such as government payments and remittances as a vehicle of financial access has not been fully realized. </w:t>
      </w:r>
    </w:p>
    <w:p w14:paraId="57FE881B" w14:textId="77777777" w:rsidR="00B719E4" w:rsidRPr="0038045B" w:rsidRDefault="00B719E4" w:rsidP="00B719E4">
      <w:pPr>
        <w:pStyle w:val="ListParagraph"/>
        <w:numPr>
          <w:ilvl w:val="0"/>
          <w:numId w:val="15"/>
        </w:numPr>
        <w:spacing w:after="200" w:line="276" w:lineRule="auto"/>
        <w:ind w:left="0" w:firstLine="0"/>
        <w:jc w:val="both"/>
        <w:rPr>
          <w:lang w:val="en-GB"/>
        </w:rPr>
      </w:pPr>
      <w:r w:rsidRPr="0038045B">
        <w:rPr>
          <w:lang w:val="en-GB"/>
        </w:rPr>
        <w:t xml:space="preserve">This report therefore proposes a number of actions to further promote and/or induce usage of existing transaction accounts, and also to make transaction accounts available to those that still do not have one. </w:t>
      </w:r>
    </w:p>
    <w:p w14:paraId="5AB85CA2" w14:textId="77777777" w:rsidR="00B719E4" w:rsidRPr="0038045B" w:rsidRDefault="00B719E4" w:rsidP="00B719E4">
      <w:pPr>
        <w:pStyle w:val="ListParagraph"/>
        <w:numPr>
          <w:ilvl w:val="0"/>
          <w:numId w:val="15"/>
        </w:numPr>
        <w:spacing w:after="200" w:line="276" w:lineRule="auto"/>
        <w:ind w:left="0" w:firstLine="0"/>
        <w:jc w:val="both"/>
        <w:rPr>
          <w:lang w:val="en-GB"/>
        </w:rPr>
      </w:pPr>
      <w:r w:rsidRPr="0038045B">
        <w:rPr>
          <w:lang w:val="en-GB"/>
        </w:rPr>
        <w:t xml:space="preserve">It should be noted that in a number of the areas covered by the recommendations in this report, </w:t>
      </w:r>
      <w:r w:rsidR="008F4EA1" w:rsidRPr="0038045B">
        <w:rPr>
          <w:lang w:val="en-GB"/>
        </w:rPr>
        <w:t>Albanian</w:t>
      </w:r>
      <w:r w:rsidRPr="0038045B">
        <w:rPr>
          <w:lang w:val="en-GB"/>
        </w:rPr>
        <w:t xml:space="preserve"> authorities are already taking relevant actions. For example, </w:t>
      </w:r>
      <w:r w:rsidR="008F4EA1" w:rsidRPr="0038045B">
        <w:rPr>
          <w:lang w:val="en-GB"/>
        </w:rPr>
        <w:t xml:space="preserve">direct debit </w:t>
      </w:r>
      <w:r w:rsidR="006B03E0" w:rsidRPr="0038045B">
        <w:rPr>
          <w:lang w:val="en-GB"/>
        </w:rPr>
        <w:t>is expected to</w:t>
      </w:r>
      <w:r w:rsidR="008F4EA1" w:rsidRPr="0038045B">
        <w:rPr>
          <w:lang w:val="en-GB"/>
        </w:rPr>
        <w:t xml:space="preserve"> </w:t>
      </w:r>
      <w:r w:rsidR="006B03E0" w:rsidRPr="0038045B">
        <w:rPr>
          <w:lang w:val="en-GB"/>
        </w:rPr>
        <w:t xml:space="preserve">be </w:t>
      </w:r>
      <w:r w:rsidR="008F4EA1" w:rsidRPr="0038045B">
        <w:rPr>
          <w:lang w:val="en-GB"/>
        </w:rPr>
        <w:t>implemented by the second half of 2017</w:t>
      </w:r>
      <w:r w:rsidRPr="0038045B">
        <w:rPr>
          <w:lang w:val="en-GB"/>
        </w:rPr>
        <w:t xml:space="preserve">. Likewise, both the </w:t>
      </w:r>
      <w:r w:rsidR="008F4EA1" w:rsidRPr="0038045B">
        <w:rPr>
          <w:lang w:val="en-GB"/>
        </w:rPr>
        <w:t>BoA</w:t>
      </w:r>
      <w:r w:rsidRPr="0038045B">
        <w:rPr>
          <w:lang w:val="en-GB"/>
        </w:rPr>
        <w:t xml:space="preserve"> and </w:t>
      </w:r>
      <w:r w:rsidR="008F4EA1" w:rsidRPr="0038045B">
        <w:rPr>
          <w:lang w:val="en-GB"/>
        </w:rPr>
        <w:t>the banks</w:t>
      </w:r>
      <w:r w:rsidR="008B2AAC" w:rsidRPr="0038045B">
        <w:rPr>
          <w:lang w:val="en-GB"/>
        </w:rPr>
        <w:t>/PSPs</w:t>
      </w:r>
      <w:r w:rsidRPr="0038045B">
        <w:rPr>
          <w:lang w:val="en-GB"/>
        </w:rPr>
        <w:t xml:space="preserve"> are already active in the implementation of financial literacy efforts</w:t>
      </w:r>
      <w:r w:rsidR="008B2AAC" w:rsidRPr="0038045B">
        <w:rPr>
          <w:lang w:val="en-GB"/>
        </w:rPr>
        <w:t>, and have undertaken an effort to measure the costs of retail payments</w:t>
      </w:r>
      <w:r w:rsidRPr="0038045B">
        <w:rPr>
          <w:lang w:val="en-GB"/>
        </w:rPr>
        <w:t xml:space="preserve">. </w:t>
      </w:r>
      <w:r w:rsidR="008F4EA1" w:rsidRPr="0038045B">
        <w:rPr>
          <w:lang w:val="en-GB"/>
        </w:rPr>
        <w:t>As mentioned above, the BoA is currently working to transpose EU directives</w:t>
      </w:r>
      <w:r w:rsidR="006B03E0" w:rsidRPr="0038045B">
        <w:rPr>
          <w:lang w:val="en-GB"/>
        </w:rPr>
        <w:t xml:space="preserve"> related to payments</w:t>
      </w:r>
      <w:r w:rsidRPr="0038045B">
        <w:rPr>
          <w:lang w:val="en-GB"/>
        </w:rPr>
        <w:t>.</w:t>
      </w:r>
      <w:r w:rsidR="008B2AAC" w:rsidRPr="0038045B">
        <w:rPr>
          <w:lang w:val="en-GB"/>
        </w:rPr>
        <w:t xml:space="preserve"> Through the NPCS, a strategic and collaborative view to NPS development has been adopted. </w:t>
      </w:r>
    </w:p>
    <w:p w14:paraId="6DC6911C" w14:textId="77777777" w:rsidR="00B719E4" w:rsidRPr="0038045B" w:rsidRDefault="00B719E4" w:rsidP="00B719E4">
      <w:pPr>
        <w:pStyle w:val="ListParagraph"/>
        <w:numPr>
          <w:ilvl w:val="0"/>
          <w:numId w:val="15"/>
        </w:numPr>
        <w:spacing w:after="200" w:line="276" w:lineRule="auto"/>
        <w:ind w:left="0" w:firstLine="0"/>
        <w:jc w:val="both"/>
        <w:rPr>
          <w:lang w:val="en-GB"/>
        </w:rPr>
      </w:pPr>
      <w:r w:rsidRPr="0038045B">
        <w:rPr>
          <w:lang w:val="en-GB"/>
        </w:rPr>
        <w:t xml:space="preserve">While all areas and recommendations covered in the report are important, the following ones deserve special attention by </w:t>
      </w:r>
      <w:r w:rsidR="00116E55" w:rsidRPr="0038045B">
        <w:rPr>
          <w:lang w:val="en-GB"/>
        </w:rPr>
        <w:t xml:space="preserve">Albanian </w:t>
      </w:r>
      <w:r w:rsidRPr="0038045B">
        <w:rPr>
          <w:lang w:val="en-GB"/>
        </w:rPr>
        <w:t xml:space="preserve">authorities: </w:t>
      </w:r>
      <w:r w:rsidR="008B2AAC" w:rsidRPr="0038045B">
        <w:rPr>
          <w:lang w:val="en-GB"/>
        </w:rPr>
        <w:t>(</w:t>
      </w:r>
      <w:r w:rsidRPr="0038045B">
        <w:rPr>
          <w:lang w:val="en-GB"/>
        </w:rPr>
        <w:t xml:space="preserve">i) </w:t>
      </w:r>
      <w:r w:rsidR="003A621C" w:rsidRPr="0038045B">
        <w:rPr>
          <w:lang w:val="en-GB"/>
        </w:rPr>
        <w:t>defining a strategic approach to financial access and inclusion that rely on a formal coordination structure</w:t>
      </w:r>
      <w:r w:rsidR="005B0B66" w:rsidRPr="0038045B">
        <w:rPr>
          <w:lang w:val="en-GB"/>
        </w:rPr>
        <w:t>, building on the NPSC</w:t>
      </w:r>
      <w:r w:rsidRPr="0038045B">
        <w:rPr>
          <w:lang w:val="en-GB"/>
        </w:rPr>
        <w:t xml:space="preserve">; </w:t>
      </w:r>
      <w:r w:rsidR="008B2AAC" w:rsidRPr="0038045B">
        <w:rPr>
          <w:lang w:val="en-GB"/>
        </w:rPr>
        <w:t>(</w:t>
      </w:r>
      <w:r w:rsidRPr="0038045B">
        <w:rPr>
          <w:lang w:val="en-GB"/>
        </w:rPr>
        <w:t xml:space="preserve">ii) achieving </w:t>
      </w:r>
      <w:r w:rsidR="008B2AAC" w:rsidRPr="0038045B">
        <w:rPr>
          <w:lang w:val="en-GB"/>
        </w:rPr>
        <w:t xml:space="preserve">increased coverage of access points and enhanced </w:t>
      </w:r>
      <w:r w:rsidRPr="0038045B">
        <w:rPr>
          <w:lang w:val="en-GB"/>
        </w:rPr>
        <w:t xml:space="preserve">interoperability; </w:t>
      </w:r>
      <w:r w:rsidR="008B2AAC" w:rsidRPr="0038045B">
        <w:rPr>
          <w:lang w:val="en-GB"/>
        </w:rPr>
        <w:t>(</w:t>
      </w:r>
      <w:r w:rsidRPr="0038045B">
        <w:rPr>
          <w:lang w:val="en-GB"/>
        </w:rPr>
        <w:t xml:space="preserve">iii) </w:t>
      </w:r>
      <w:r w:rsidR="008B2AAC" w:rsidRPr="0038045B">
        <w:rPr>
          <w:lang w:val="en-GB"/>
        </w:rPr>
        <w:t xml:space="preserve">diversifying and improving transaction account product design to meet the needs of the unbanked and incentivize usage; and, (iv) curbing cash usage through </w:t>
      </w:r>
      <w:r w:rsidR="008B2AAC" w:rsidRPr="0038045B">
        <w:rPr>
          <w:lang w:val="en-GB"/>
        </w:rPr>
        <w:lastRenderedPageBreak/>
        <w:t>coordinated cross-sectoral policies and incentives, and by leveraging large-volume payment streams to the greatest extent possible</w:t>
      </w:r>
      <w:r w:rsidRPr="0038045B">
        <w:rPr>
          <w:lang w:val="en-GB"/>
        </w:rPr>
        <w:t xml:space="preserve">. It should be noted that some of these </w:t>
      </w:r>
      <w:r w:rsidR="008B2AAC" w:rsidRPr="0038045B">
        <w:rPr>
          <w:lang w:val="en-GB"/>
        </w:rPr>
        <w:t xml:space="preserve">actions </w:t>
      </w:r>
      <w:r w:rsidRPr="0038045B">
        <w:rPr>
          <w:lang w:val="en-GB"/>
        </w:rPr>
        <w:t>will require legal and regulatory changes</w:t>
      </w:r>
      <w:r w:rsidR="008B2AAC" w:rsidRPr="0038045B">
        <w:rPr>
          <w:lang w:val="en-GB"/>
        </w:rPr>
        <w:t>, while other</w:t>
      </w:r>
      <w:r w:rsidR="006B03E0" w:rsidRPr="0038045B">
        <w:rPr>
          <w:lang w:val="en-GB"/>
        </w:rPr>
        <w:t>s</w:t>
      </w:r>
      <w:r w:rsidR="008B2AAC" w:rsidRPr="0038045B">
        <w:rPr>
          <w:lang w:val="en-GB"/>
        </w:rPr>
        <w:t xml:space="preserve"> imply complex coordination</w:t>
      </w:r>
      <w:r w:rsidRPr="0038045B">
        <w:rPr>
          <w:lang w:val="en-GB"/>
        </w:rPr>
        <w:t xml:space="preserve">. </w:t>
      </w:r>
    </w:p>
    <w:p w14:paraId="75B9CC57" w14:textId="77777777" w:rsidR="00134D10" w:rsidRPr="0038045B" w:rsidRDefault="00B719E4" w:rsidP="00B719E4">
      <w:pPr>
        <w:pStyle w:val="ListParagraph"/>
        <w:numPr>
          <w:ilvl w:val="0"/>
          <w:numId w:val="15"/>
        </w:numPr>
        <w:spacing w:after="200" w:line="276" w:lineRule="auto"/>
        <w:ind w:left="0" w:firstLine="0"/>
        <w:jc w:val="both"/>
        <w:rPr>
          <w:noProof/>
        </w:rPr>
      </w:pPr>
      <w:r w:rsidRPr="0038045B">
        <w:rPr>
          <w:noProof/>
        </w:rPr>
        <w:t xml:space="preserve">The World </w:t>
      </w:r>
      <w:r w:rsidRPr="0038045B">
        <w:rPr>
          <w:lang w:val="en-GB"/>
        </w:rPr>
        <w:t>Bank</w:t>
      </w:r>
      <w:r w:rsidRPr="0038045B">
        <w:rPr>
          <w:noProof/>
        </w:rPr>
        <w:t xml:space="preserve"> Group stands ready to support </w:t>
      </w:r>
      <w:r w:rsidR="008B2AAC" w:rsidRPr="0038045B">
        <w:rPr>
          <w:noProof/>
        </w:rPr>
        <w:t>Albanian</w:t>
      </w:r>
      <w:r w:rsidRPr="0038045B">
        <w:rPr>
          <w:noProof/>
        </w:rPr>
        <w:t xml:space="preserve"> authorities in the implementation of recommended actions and other initiatives those authorities may deem relevant to further advance financial inclusion in the country. </w:t>
      </w:r>
    </w:p>
    <w:p w14:paraId="73E11878" w14:textId="77777777" w:rsidR="00187199" w:rsidRPr="0038045B" w:rsidRDefault="00187199">
      <w:r w:rsidRPr="0038045B">
        <w:br w:type="page"/>
      </w:r>
    </w:p>
    <w:p w14:paraId="1D749EF8" w14:textId="77777777" w:rsidR="00ED7CCA" w:rsidRPr="0038045B" w:rsidRDefault="00187199" w:rsidP="00187199">
      <w:pPr>
        <w:pStyle w:val="Heading1"/>
        <w:pageBreakBefore/>
        <w:spacing w:before="120" w:after="240"/>
      </w:pPr>
      <w:bookmarkStart w:id="104" w:name="_Toc476239739"/>
      <w:r w:rsidRPr="0038045B">
        <w:lastRenderedPageBreak/>
        <w:t>SOURCES</w:t>
      </w:r>
      <w:bookmarkEnd w:id="104"/>
    </w:p>
    <w:p w14:paraId="1E034ED0" w14:textId="77777777" w:rsidR="00F53AE2" w:rsidRPr="0038045B" w:rsidRDefault="00F53AE2" w:rsidP="00CB43E6">
      <w:pPr>
        <w:spacing w:after="240"/>
        <w:ind w:left="547" w:hanging="547"/>
      </w:pPr>
      <w:r w:rsidRPr="0038045B">
        <w:t>CPMI</w:t>
      </w:r>
      <w:r w:rsidR="00396610" w:rsidRPr="0038045B">
        <w:t xml:space="preserve"> (</w:t>
      </w:r>
      <w:r w:rsidRPr="0038045B">
        <w:t>201</w:t>
      </w:r>
      <w:r w:rsidR="00B677D0" w:rsidRPr="0038045B">
        <w:t>6</w:t>
      </w:r>
      <w:r w:rsidR="00396610" w:rsidRPr="0038045B">
        <w:t>), “S</w:t>
      </w:r>
      <w:r w:rsidRPr="0038045B">
        <w:t>tatistics on payment, clearing and settlement systems in the CPMI countries</w:t>
      </w:r>
      <w:r w:rsidR="00396610" w:rsidRPr="0038045B">
        <w:t>,</w:t>
      </w:r>
      <w:r w:rsidRPr="0038045B">
        <w:t xml:space="preserve"> Figures for 201</w:t>
      </w:r>
      <w:r w:rsidR="00B677D0" w:rsidRPr="0038045B">
        <w:t>5</w:t>
      </w:r>
      <w:r w:rsidR="00396610" w:rsidRPr="0038045B">
        <w:t>”, Basel.</w:t>
      </w:r>
    </w:p>
    <w:p w14:paraId="7FF3364F" w14:textId="77777777" w:rsidR="00F53AE2" w:rsidRPr="0038045B" w:rsidRDefault="00B677D0" w:rsidP="00CB43E6">
      <w:pPr>
        <w:spacing w:after="240"/>
        <w:ind w:left="547" w:hanging="547"/>
      </w:pPr>
      <w:r w:rsidRPr="0038045B">
        <w:t xml:space="preserve">CPMI and World Bank Group (2016), </w:t>
      </w:r>
      <w:r w:rsidR="0074270C" w:rsidRPr="0038045B">
        <w:t>“</w:t>
      </w:r>
      <w:r w:rsidR="00F53AE2" w:rsidRPr="0038045B">
        <w:t xml:space="preserve">Payment </w:t>
      </w:r>
      <w:r w:rsidR="00396610" w:rsidRPr="0038045B">
        <w:t>A</w:t>
      </w:r>
      <w:r w:rsidR="00F53AE2" w:rsidRPr="0038045B">
        <w:t xml:space="preserve">spects of </w:t>
      </w:r>
      <w:r w:rsidR="00396610" w:rsidRPr="0038045B">
        <w:t>F</w:t>
      </w:r>
      <w:r w:rsidR="00F53AE2" w:rsidRPr="0038045B">
        <w:t xml:space="preserve">inancial </w:t>
      </w:r>
      <w:r w:rsidR="00396610" w:rsidRPr="0038045B">
        <w:t>I</w:t>
      </w:r>
      <w:r w:rsidR="00F53AE2" w:rsidRPr="0038045B">
        <w:t>nclusion</w:t>
      </w:r>
      <w:r w:rsidR="00396610" w:rsidRPr="0038045B">
        <w:t xml:space="preserve">”, </w:t>
      </w:r>
      <w:r w:rsidRPr="0038045B">
        <w:t>Basel</w:t>
      </w:r>
      <w:r w:rsidR="00396610" w:rsidRPr="0038045B">
        <w:t>.</w:t>
      </w:r>
    </w:p>
    <w:p w14:paraId="3077701B" w14:textId="77777777" w:rsidR="00B677D0" w:rsidRPr="0038045B" w:rsidRDefault="00B677D0" w:rsidP="00CB43E6">
      <w:pPr>
        <w:spacing w:after="240"/>
        <w:ind w:left="547" w:hanging="547"/>
      </w:pPr>
      <w:r w:rsidRPr="0038045B">
        <w:t>Fathallah S., and D. Pearce (2013), “Coordination Structures for Financial Inclusion Strategies and Reforms”, The World Bank, Washington DC</w:t>
      </w:r>
    </w:p>
    <w:p w14:paraId="71149BF0" w14:textId="77777777" w:rsidR="0074270C" w:rsidRPr="0038045B" w:rsidRDefault="0074270C" w:rsidP="00CB43E6">
      <w:pPr>
        <w:spacing w:after="240"/>
        <w:ind w:left="547" w:hanging="547"/>
      </w:pPr>
      <w:r w:rsidRPr="0038045B">
        <w:t>INSTAT, “Population and Housing Census 2011, Main Results”, Part 1, Tirana</w:t>
      </w:r>
    </w:p>
    <w:p w14:paraId="3EAF481D" w14:textId="77777777" w:rsidR="0074270C" w:rsidRPr="0038045B" w:rsidRDefault="0074270C" w:rsidP="00CB43E6">
      <w:pPr>
        <w:spacing w:after="240"/>
        <w:ind w:left="547" w:hanging="547"/>
      </w:pPr>
      <w:r w:rsidRPr="0038045B">
        <w:t>INSTAT, “Albania Labour Market Dynamics 2001-2011”, Tirana</w:t>
      </w:r>
    </w:p>
    <w:p w14:paraId="656E592C" w14:textId="77777777" w:rsidR="00B677D0" w:rsidRPr="0038045B" w:rsidRDefault="00B677D0" w:rsidP="00CB43E6">
      <w:pPr>
        <w:spacing w:after="240"/>
        <w:ind w:left="547" w:hanging="547"/>
      </w:pPr>
      <w:r w:rsidRPr="0038045B">
        <w:t>INSTAT</w:t>
      </w:r>
      <w:r w:rsidR="00396610" w:rsidRPr="0038045B">
        <w:t>, (</w:t>
      </w:r>
      <w:r w:rsidRPr="0038045B">
        <w:t>several</w:t>
      </w:r>
      <w:r w:rsidR="0074270C" w:rsidRPr="0038045B">
        <w:t xml:space="preserve"> other</w:t>
      </w:r>
      <w:r w:rsidRPr="0038045B">
        <w:t>)</w:t>
      </w:r>
    </w:p>
    <w:p w14:paraId="555FE89D" w14:textId="77777777" w:rsidR="00B75ED0" w:rsidRPr="0038045B" w:rsidRDefault="00B75ED0" w:rsidP="00CB43E6">
      <w:pPr>
        <w:spacing w:after="240"/>
        <w:ind w:left="547" w:hanging="547"/>
      </w:pPr>
      <w:r w:rsidRPr="0038045B">
        <w:t>Volker, Walter V</w:t>
      </w:r>
      <w:r w:rsidR="00396610" w:rsidRPr="0038045B">
        <w:t xml:space="preserve"> (</w:t>
      </w:r>
      <w:r w:rsidRPr="0038045B">
        <w:t>2013</w:t>
      </w:r>
      <w:r w:rsidR="00396610" w:rsidRPr="0038045B">
        <w:t>), “</w:t>
      </w:r>
      <w:r w:rsidRPr="0038045B">
        <w:t>Essential Guide to Payments</w:t>
      </w:r>
      <w:r w:rsidR="00396610" w:rsidRPr="0038045B">
        <w:t>”</w:t>
      </w:r>
      <w:r w:rsidRPr="0038045B">
        <w:t xml:space="preserve">. </w:t>
      </w:r>
    </w:p>
    <w:p w14:paraId="5B6BC3FF" w14:textId="77777777" w:rsidR="00F53AE2" w:rsidRPr="0038045B" w:rsidRDefault="00F53AE2" w:rsidP="00CB43E6">
      <w:pPr>
        <w:spacing w:after="240"/>
        <w:ind w:left="547" w:hanging="547"/>
      </w:pPr>
      <w:r w:rsidRPr="0038045B">
        <w:t>World Bank</w:t>
      </w:r>
      <w:r w:rsidR="00396610" w:rsidRPr="0038045B">
        <w:t xml:space="preserve"> (</w:t>
      </w:r>
      <w:r w:rsidRPr="0038045B">
        <w:t>201</w:t>
      </w:r>
      <w:r w:rsidR="00B677D0" w:rsidRPr="0038045B">
        <w:t>6</w:t>
      </w:r>
      <w:r w:rsidR="00396610" w:rsidRPr="0038045B">
        <w:t>),</w:t>
      </w:r>
      <w:r w:rsidR="00B677D0" w:rsidRPr="0038045B">
        <w:t xml:space="preserve"> “Review of the market for remittances in Albania on the basis of the CPSS-World Bank General Principles for International Remittance Services”, draft report (confidential) </w:t>
      </w:r>
    </w:p>
    <w:p w14:paraId="504AFC3B" w14:textId="77777777" w:rsidR="0072628C" w:rsidRPr="0038045B" w:rsidRDefault="0072628C" w:rsidP="00CB43E6">
      <w:pPr>
        <w:spacing w:after="240"/>
        <w:ind w:left="547" w:hanging="547"/>
      </w:pPr>
      <w:r w:rsidRPr="0038045B">
        <w:t>World Bank and International Committee on Credit Reporting</w:t>
      </w:r>
      <w:r w:rsidR="00396610" w:rsidRPr="0038045B">
        <w:t xml:space="preserve"> (</w:t>
      </w:r>
      <w:r w:rsidRPr="0038045B">
        <w:t>2011</w:t>
      </w:r>
      <w:r w:rsidR="00396610" w:rsidRPr="0038045B">
        <w:t xml:space="preserve">), </w:t>
      </w:r>
      <w:r w:rsidRPr="0038045B">
        <w:t>“General Principles for Credit Reporting”, The World Bank, Washington DC.</w:t>
      </w:r>
    </w:p>
    <w:p w14:paraId="67BB412B" w14:textId="77777777" w:rsidR="00B677D0" w:rsidRPr="0038045B" w:rsidRDefault="00B677D0" w:rsidP="00CB43E6">
      <w:pPr>
        <w:spacing w:after="240"/>
        <w:ind w:left="547" w:hanging="547"/>
      </w:pPr>
      <w:r w:rsidRPr="0038045B">
        <w:t>World Bank and International Committee on Credit Reporting (</w:t>
      </w:r>
      <w:r w:rsidR="00396610" w:rsidRPr="0038045B">
        <w:t>forthcoming</w:t>
      </w:r>
      <w:r w:rsidRPr="0038045B">
        <w:t>), “How Credit Reporting can Contribute to Financial Inclusion”, World Bank</w:t>
      </w:r>
      <w:r w:rsidR="00396610" w:rsidRPr="0038045B">
        <w:t xml:space="preserve"> Group</w:t>
      </w:r>
      <w:r w:rsidRPr="0038045B">
        <w:t>, Washington DC.</w:t>
      </w:r>
    </w:p>
    <w:p w14:paraId="15BFF161" w14:textId="77777777" w:rsidR="00F53AE2" w:rsidRPr="0038045B" w:rsidRDefault="00F53AE2" w:rsidP="00CB43E6">
      <w:pPr>
        <w:spacing w:after="240"/>
      </w:pPr>
    </w:p>
    <w:p w14:paraId="7F9BD925" w14:textId="77777777" w:rsidR="004F6B15" w:rsidRPr="0038045B" w:rsidRDefault="004F6B15">
      <w:pPr>
        <w:rPr>
          <w:b/>
        </w:rPr>
      </w:pPr>
    </w:p>
    <w:p w14:paraId="18E66884" w14:textId="77777777" w:rsidR="001B53D4" w:rsidRPr="0038045B" w:rsidRDefault="001B53D4">
      <w:pPr>
        <w:rPr>
          <w:b/>
        </w:rPr>
      </w:pPr>
      <w:r w:rsidRPr="0038045B">
        <w:rPr>
          <w:b/>
        </w:rPr>
        <w:br w:type="page"/>
      </w:r>
    </w:p>
    <w:p w14:paraId="5A443E08" w14:textId="77777777" w:rsidR="001B53D4" w:rsidRPr="0038045B" w:rsidRDefault="001B53D4" w:rsidP="001B53D4">
      <w:pPr>
        <w:pStyle w:val="Heading1"/>
        <w:pageBreakBefore/>
        <w:numPr>
          <w:ilvl w:val="0"/>
          <w:numId w:val="0"/>
        </w:numPr>
        <w:spacing w:before="120" w:after="240"/>
        <w:jc w:val="center"/>
      </w:pPr>
      <w:bookmarkStart w:id="105" w:name="_Toc476239740"/>
      <w:r w:rsidRPr="0038045B">
        <w:lastRenderedPageBreak/>
        <w:t>Annex 1. Payment Aspects of Financial Inclusion: Guiding principles and recommended key actions for consideration (PAFI, 2016)</w:t>
      </w:r>
      <w:bookmarkEnd w:id="105"/>
    </w:p>
    <w:p w14:paraId="070CADF3" w14:textId="77777777" w:rsidR="001B53D4" w:rsidRPr="0038045B" w:rsidRDefault="001B53D4" w:rsidP="001B53D4">
      <w:pPr>
        <w:spacing w:after="200" w:line="276" w:lineRule="auto"/>
        <w:contextualSpacing/>
        <w:jc w:val="both"/>
        <w:rPr>
          <w:b/>
          <w:sz w:val="21"/>
          <w:szCs w:val="21"/>
        </w:rPr>
      </w:pPr>
      <w:r w:rsidRPr="0038045B">
        <w:rPr>
          <w:b/>
          <w:sz w:val="21"/>
          <w:szCs w:val="21"/>
        </w:rPr>
        <w:t>Guiding principle 1: Public and private sector commitment</w:t>
      </w:r>
    </w:p>
    <w:p w14:paraId="0C79EC1E" w14:textId="77777777" w:rsidR="001B53D4" w:rsidRPr="0038045B" w:rsidRDefault="001B53D4" w:rsidP="001B53D4">
      <w:pPr>
        <w:spacing w:after="200" w:line="276" w:lineRule="auto"/>
        <w:contextualSpacing/>
        <w:jc w:val="both"/>
        <w:rPr>
          <w:sz w:val="21"/>
          <w:szCs w:val="21"/>
          <w:lang w:eastAsia="en-US"/>
        </w:rPr>
      </w:pPr>
      <w:r w:rsidRPr="0038045B">
        <w:rPr>
          <w:sz w:val="21"/>
          <w:szCs w:val="21"/>
        </w:rPr>
        <w:t xml:space="preserve">Commitment from public and private sector organizations to broaden financial inclusion is explicit, strong and </w:t>
      </w:r>
      <w:r w:rsidRPr="0038045B">
        <w:rPr>
          <w:sz w:val="21"/>
          <w:szCs w:val="21"/>
          <w:lang w:eastAsia="en-US"/>
        </w:rPr>
        <w:t>sustained over time.</w:t>
      </w:r>
    </w:p>
    <w:p w14:paraId="3C63EE26" w14:textId="77777777" w:rsidR="001B53D4" w:rsidRPr="0038045B" w:rsidRDefault="001B53D4" w:rsidP="001B53D4">
      <w:pPr>
        <w:spacing w:after="200" w:line="276" w:lineRule="auto"/>
        <w:contextualSpacing/>
        <w:jc w:val="both"/>
        <w:rPr>
          <w:sz w:val="21"/>
          <w:szCs w:val="21"/>
        </w:rPr>
      </w:pPr>
    </w:p>
    <w:p w14:paraId="60B40AEF" w14:textId="77777777" w:rsidR="001B53D4" w:rsidRPr="0038045B" w:rsidRDefault="001B53D4" w:rsidP="001B53D4">
      <w:pPr>
        <w:spacing w:line="276" w:lineRule="auto"/>
        <w:contextualSpacing/>
        <w:jc w:val="both"/>
        <w:rPr>
          <w:sz w:val="21"/>
          <w:szCs w:val="21"/>
        </w:rPr>
      </w:pPr>
      <w:r w:rsidRPr="0038045B">
        <w:rPr>
          <w:sz w:val="21"/>
          <w:szCs w:val="21"/>
        </w:rPr>
        <w:t>Key actions for consideration:</w:t>
      </w:r>
    </w:p>
    <w:p w14:paraId="76145893" w14:textId="77777777" w:rsidR="001B53D4" w:rsidRPr="0038045B" w:rsidRDefault="001B53D4" w:rsidP="001B53D4">
      <w:pPr>
        <w:pStyle w:val="ListParagraph"/>
        <w:numPr>
          <w:ilvl w:val="0"/>
          <w:numId w:val="12"/>
        </w:numPr>
        <w:spacing w:line="276" w:lineRule="auto"/>
        <w:ind w:left="270" w:hanging="270"/>
        <w:contextualSpacing/>
        <w:jc w:val="both"/>
        <w:rPr>
          <w:sz w:val="21"/>
          <w:szCs w:val="21"/>
        </w:rPr>
      </w:pPr>
      <w:r w:rsidRPr="0038045B">
        <w:rPr>
          <w:sz w:val="21"/>
          <w:szCs w:val="21"/>
        </w:rPr>
        <w:t>All relevant public and private sector stakeholders support the objective that all eligible individuals – regardless of culture, gender or religion – and businesses should be able to have and use at least one transaction account, and develop an explicit strategy with measurable milestones to that end.</w:t>
      </w:r>
    </w:p>
    <w:p w14:paraId="0596F2DF"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 xml:space="preserve">All relevant public and private sector stakeholders allocate the appropriate human and financial resources to support financial inclusion efforts. </w:t>
      </w:r>
    </w:p>
    <w:p w14:paraId="0AF0050B"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 xml:space="preserve">Central banks, financial supervisors, regulators and policymakers effectively coordinate their efforts with regard to financial inclusion. </w:t>
      </w:r>
    </w:p>
    <w:p w14:paraId="34FE3B08"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Private sector stakeholders engage with relevant public sector counterparts on initiatives that promote the adoption and usage of transaction accounts, and financial inclusion more broadly.</w:t>
      </w:r>
    </w:p>
    <w:p w14:paraId="182B790D"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 xml:space="preserve">Private sector stakeholders cooperate constructively and meaningfully with each other to discuss and find solutions to issues that are best addressed by the industry as a whole. </w:t>
      </w:r>
    </w:p>
    <w:p w14:paraId="56CFA4B7"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Central banks, in line with their roles, responsibilities and interests in fostering the safety and efficiency of the payments system, leverage their catalyst, oversight, supervisory and other powers as relevant and appropriate to promote financial inclusion.</w:t>
      </w:r>
    </w:p>
    <w:p w14:paraId="76EED4C6" w14:textId="77777777" w:rsidR="001B53D4" w:rsidRPr="0038045B" w:rsidRDefault="001B53D4" w:rsidP="001B53D4">
      <w:pPr>
        <w:spacing w:after="200" w:line="276" w:lineRule="auto"/>
        <w:contextualSpacing/>
        <w:jc w:val="both"/>
        <w:rPr>
          <w:b/>
          <w:sz w:val="21"/>
          <w:szCs w:val="21"/>
        </w:rPr>
      </w:pPr>
      <w:r w:rsidRPr="0038045B">
        <w:rPr>
          <w:b/>
          <w:sz w:val="21"/>
          <w:szCs w:val="21"/>
        </w:rPr>
        <w:t>Guiding principle 2: Legal and regulatory framework</w:t>
      </w:r>
    </w:p>
    <w:p w14:paraId="43659708" w14:textId="77777777" w:rsidR="001B53D4" w:rsidRPr="0038045B" w:rsidRDefault="001B53D4" w:rsidP="001B53D4">
      <w:pPr>
        <w:spacing w:after="200" w:line="276" w:lineRule="auto"/>
        <w:contextualSpacing/>
        <w:jc w:val="both"/>
        <w:rPr>
          <w:sz w:val="21"/>
          <w:szCs w:val="21"/>
        </w:rPr>
      </w:pPr>
      <w:r w:rsidRPr="0038045B">
        <w:rPr>
          <w:sz w:val="21"/>
          <w:szCs w:val="21"/>
        </w:rPr>
        <w:t>The legal and regulatory framework underpins financial inclusion by effectively addressing all relevant risks and by protecting consumers, while at the same time fostering innovation and competition.</w:t>
      </w:r>
    </w:p>
    <w:p w14:paraId="2B5FE559" w14:textId="77777777" w:rsidR="001B53D4" w:rsidRPr="0038045B" w:rsidRDefault="001B53D4" w:rsidP="001B53D4">
      <w:pPr>
        <w:spacing w:line="276" w:lineRule="auto"/>
        <w:contextualSpacing/>
        <w:jc w:val="both"/>
        <w:rPr>
          <w:sz w:val="21"/>
          <w:szCs w:val="21"/>
        </w:rPr>
      </w:pPr>
    </w:p>
    <w:p w14:paraId="18EE6033" w14:textId="77777777" w:rsidR="001B53D4" w:rsidRPr="0038045B" w:rsidRDefault="001B53D4" w:rsidP="001B53D4">
      <w:pPr>
        <w:spacing w:line="276" w:lineRule="auto"/>
        <w:contextualSpacing/>
        <w:jc w:val="both"/>
        <w:rPr>
          <w:sz w:val="21"/>
          <w:szCs w:val="21"/>
        </w:rPr>
      </w:pPr>
      <w:r w:rsidRPr="0038045B">
        <w:rPr>
          <w:sz w:val="21"/>
          <w:szCs w:val="21"/>
        </w:rPr>
        <w:t>Key actions for consideration:</w:t>
      </w:r>
    </w:p>
    <w:p w14:paraId="0BED4857"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 xml:space="preserve">A robust framework is established to foster sound risk management practices in the payments industry, including through the supervision/oversight of PSPs and PSOs by regulatory authorities. </w:t>
      </w:r>
    </w:p>
    <w:p w14:paraId="28FCF3D8"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The framework requires PSPs and PSOs to develop and implement risk management measures that correspond to the nature of their activities and their risk profile.</w:t>
      </w:r>
    </w:p>
    <w:p w14:paraId="0B236ED4"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The framework aims to promote the use of transaction accounts in which customer funds are adequately protected through appropriate design and risk management measures, such as deposit insurance or functionally equivalent mechanisms as well as through preventive measures (</w:t>
      </w:r>
      <w:r w:rsidR="003D3102" w:rsidRPr="0038045B">
        <w:rPr>
          <w:sz w:val="21"/>
          <w:szCs w:val="21"/>
        </w:rPr>
        <w:t>e.g.</w:t>
      </w:r>
      <w:r w:rsidRPr="0038045B">
        <w:rPr>
          <w:sz w:val="21"/>
          <w:szCs w:val="21"/>
        </w:rPr>
        <w:t xml:space="preserve"> supervision, placement of customer funds held by non-deposit-taking PSPs in high-quality and liquid assets, and, depending on the legal regime, specially protected accounts at banks and possibly trust accounts).</w:t>
      </w:r>
    </w:p>
    <w:p w14:paraId="695F67D2"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 xml:space="preserve">The framework requires PSPs to clearly disclose, using comparable methodologies, all of the various fees they charge as part of their service, along with the applicable terms and conditions, including liability and use of customer data. </w:t>
      </w:r>
    </w:p>
    <w:p w14:paraId="0C1ED4F5"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 xml:space="preserve">The framework requires PSPs to implement a transparent, user-friendly and effective recourse and dispute resolution mechanism to address consumer claims and complaints. </w:t>
      </w:r>
    </w:p>
    <w:p w14:paraId="15DC838A"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 xml:space="preserve">The framework preserves the integrity of the financial system, while not unnecessarily inhibiting access of eligible individuals and businesses to well regulated financial services. </w:t>
      </w:r>
    </w:p>
    <w:p w14:paraId="47AEF204"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lastRenderedPageBreak/>
        <w:t>The framework promotes competition in the marketplace by providing clarity on the criteria that must be met to offer specific types of service, and by setting functional requirements that are applied consistently to all PSPs.</w:t>
      </w:r>
    </w:p>
    <w:p w14:paraId="1D8755BA"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The framework promotes innovation and competition by not hindering the entry of new types of PSP, new instruments and products, new business models or channels – as long as these are sufficiently safe and robust.</w:t>
      </w:r>
    </w:p>
    <w:p w14:paraId="6BF084FA" w14:textId="77777777" w:rsidR="001B53D4" w:rsidRPr="0038045B" w:rsidRDefault="001B53D4" w:rsidP="001B53D4">
      <w:pPr>
        <w:spacing w:after="200" w:line="276" w:lineRule="auto"/>
        <w:contextualSpacing/>
        <w:jc w:val="both"/>
        <w:rPr>
          <w:b/>
          <w:sz w:val="21"/>
          <w:szCs w:val="21"/>
        </w:rPr>
      </w:pPr>
      <w:r w:rsidRPr="0038045B">
        <w:rPr>
          <w:b/>
          <w:sz w:val="21"/>
          <w:szCs w:val="21"/>
        </w:rPr>
        <w:t>Guiding principle 3: Financial and ICT infrastructures</w:t>
      </w:r>
    </w:p>
    <w:p w14:paraId="052A64CF" w14:textId="77777777" w:rsidR="001B53D4" w:rsidRPr="0038045B" w:rsidRDefault="001B53D4" w:rsidP="001B53D4">
      <w:pPr>
        <w:spacing w:after="200" w:line="276" w:lineRule="auto"/>
        <w:contextualSpacing/>
        <w:jc w:val="both"/>
        <w:rPr>
          <w:sz w:val="21"/>
          <w:szCs w:val="21"/>
        </w:rPr>
      </w:pPr>
      <w:r w:rsidRPr="0038045B">
        <w:rPr>
          <w:sz w:val="21"/>
          <w:szCs w:val="21"/>
        </w:rPr>
        <w:t>Robust, safe, efficient and widely reachable financial and ICT infrastructures are effective for the provision of transaction accounts services, and also support the provision of broader financial services.</w:t>
      </w:r>
    </w:p>
    <w:p w14:paraId="466A0196" w14:textId="77777777" w:rsidR="001B53D4" w:rsidRPr="0038045B" w:rsidRDefault="001B53D4" w:rsidP="001B53D4">
      <w:pPr>
        <w:spacing w:line="276" w:lineRule="auto"/>
        <w:contextualSpacing/>
        <w:jc w:val="both"/>
        <w:rPr>
          <w:sz w:val="21"/>
          <w:szCs w:val="21"/>
        </w:rPr>
      </w:pPr>
    </w:p>
    <w:p w14:paraId="6BCBADA8" w14:textId="77777777" w:rsidR="001B53D4" w:rsidRPr="0038045B" w:rsidRDefault="001B53D4" w:rsidP="001B53D4">
      <w:pPr>
        <w:spacing w:line="276" w:lineRule="auto"/>
        <w:contextualSpacing/>
        <w:jc w:val="both"/>
        <w:rPr>
          <w:sz w:val="21"/>
          <w:szCs w:val="21"/>
        </w:rPr>
      </w:pPr>
      <w:r w:rsidRPr="0038045B">
        <w:rPr>
          <w:sz w:val="21"/>
          <w:szCs w:val="21"/>
        </w:rPr>
        <w:t>Key actions for consideration:</w:t>
      </w:r>
    </w:p>
    <w:p w14:paraId="7FD201E2"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Key payments infrastructures are built, upgraded or leveraged as needed to facilitate the effective usage of transaction accounts.</w:t>
      </w:r>
    </w:p>
    <w:p w14:paraId="369F450C"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Additional infrastructures are appropriately designed and operate effectively to support financial inclusion efforts by providing critical information to financial service providers, including an effective and efficient identification infrastructure, a credit reporting system and other data-sharing platforms.</w:t>
      </w:r>
    </w:p>
    <w:p w14:paraId="1728A046"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The geographical coverage of ICT infrastructures and the overall quality of the service provided by those infrastructures are enhanced as necessary by their owners/operators so as to not constitute a barrier for the provision of transaction account services in remote locations.</w:t>
      </w:r>
    </w:p>
    <w:p w14:paraId="0C9958C7"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 xml:space="preserve">Increased interoperability of and access to infrastructures supporting the switching, processing, clearing and settlement of payment instruments of the same kind are promoted, where this could lead to material reductions in cost and to broader availability consistent with the local regulatory regime, in order to leverage the positive network externalities of transaction accounts. </w:t>
      </w:r>
    </w:p>
    <w:p w14:paraId="71EF785F"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 xml:space="preserve">Payment infrastructures, including those operated by central banks, have objective, risk-based participation requirements that permit fair and open access to their services. </w:t>
      </w:r>
    </w:p>
    <w:p w14:paraId="0AE9C98E"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Financial and ICT infrastructures leverage the broad usage of open/non-proprietary technical standards, harmonized procedures and business rules to enhance their efficiency and therefore their ability to support transaction accounts at low costs.</w:t>
      </w:r>
    </w:p>
    <w:p w14:paraId="45E5F592"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The safety and reliability of financial and ICT infrastructures, including their resilience against fraud, are tested on an ongoing basis and are enhanced as necessary to keep up with all emerging threats for holders of transaction accounts, PSPs and PSOs.</w:t>
      </w:r>
    </w:p>
    <w:p w14:paraId="220AC998" w14:textId="77777777" w:rsidR="001B53D4" w:rsidRPr="0038045B" w:rsidRDefault="001B53D4" w:rsidP="001B53D4">
      <w:pPr>
        <w:spacing w:after="200" w:line="276" w:lineRule="auto"/>
        <w:contextualSpacing/>
        <w:jc w:val="both"/>
        <w:rPr>
          <w:b/>
          <w:sz w:val="21"/>
          <w:szCs w:val="21"/>
        </w:rPr>
      </w:pPr>
      <w:r w:rsidRPr="0038045B">
        <w:rPr>
          <w:b/>
          <w:sz w:val="21"/>
          <w:szCs w:val="21"/>
        </w:rPr>
        <w:t>Guiding principle 4: Transaction account and payment product design</w:t>
      </w:r>
    </w:p>
    <w:p w14:paraId="12E480BF" w14:textId="77777777" w:rsidR="001B53D4" w:rsidRPr="0038045B" w:rsidRDefault="001B53D4" w:rsidP="001B53D4">
      <w:pPr>
        <w:spacing w:after="200" w:line="276" w:lineRule="auto"/>
        <w:contextualSpacing/>
        <w:jc w:val="both"/>
        <w:rPr>
          <w:sz w:val="21"/>
          <w:szCs w:val="21"/>
        </w:rPr>
      </w:pPr>
      <w:r w:rsidRPr="0038045B">
        <w:rPr>
          <w:sz w:val="21"/>
          <w:szCs w:val="21"/>
        </w:rPr>
        <w:t>The transaction account and payment product offerings effectively meet a broad range of transaction needs of the target population, at little or no cost.</w:t>
      </w:r>
    </w:p>
    <w:p w14:paraId="632BDF86" w14:textId="77777777" w:rsidR="001B53D4" w:rsidRPr="0038045B" w:rsidRDefault="001B53D4" w:rsidP="001B53D4">
      <w:pPr>
        <w:spacing w:line="276" w:lineRule="auto"/>
        <w:contextualSpacing/>
        <w:jc w:val="both"/>
        <w:rPr>
          <w:sz w:val="21"/>
          <w:szCs w:val="21"/>
        </w:rPr>
      </w:pPr>
    </w:p>
    <w:p w14:paraId="252B041A" w14:textId="77777777" w:rsidR="001B53D4" w:rsidRPr="0038045B" w:rsidRDefault="001B53D4" w:rsidP="001B53D4">
      <w:pPr>
        <w:spacing w:line="276" w:lineRule="auto"/>
        <w:contextualSpacing/>
        <w:jc w:val="both"/>
        <w:rPr>
          <w:sz w:val="21"/>
          <w:szCs w:val="21"/>
        </w:rPr>
      </w:pPr>
      <w:r w:rsidRPr="0038045B">
        <w:rPr>
          <w:sz w:val="21"/>
          <w:szCs w:val="21"/>
        </w:rPr>
        <w:t>Key actions for consideration:</w:t>
      </w:r>
    </w:p>
    <w:p w14:paraId="7E492CE9"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Where reasonable and appropriate, PSPs provide a basic transaction account at little or no cost to all individuals and businesses that do not hold such an account and that wish to open such an account.</w:t>
      </w:r>
    </w:p>
    <w:p w14:paraId="584CF42F"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PSPs offer transaction accounts with functionalities that, at a minimum, make it possible to electronically send and receive payments at little or no cost, and to store value safely.</w:t>
      </w:r>
    </w:p>
    <w:p w14:paraId="1B408D90"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PSPs leverage efficient and creative approaches and effective management practices in their efforts to offer transaction accounts and functionalities in a commercially viable and sustainable way.</w:t>
      </w:r>
    </w:p>
    <w:p w14:paraId="168382AA"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lastRenderedPageBreak/>
        <w:t>The payment services industry, operators of large-volume payment programs and other stakeholders recognize that the payment habits and needs of currently unserved and underserved customers are likely to differ, and therefore engage in market research and/or other similar efforts to identify and address those payment habits and needs.</w:t>
      </w:r>
    </w:p>
    <w:p w14:paraId="4E3873D2"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PSPs work to ensure that the payment needs of the private and public sector entities with whom holders of transaction accounts regularly conduct payments are met as well.</w:t>
      </w:r>
    </w:p>
    <w:p w14:paraId="66C024BD"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PSPs work to ensure that the products that target unserved or underserved population segments are easy to use.</w:t>
      </w:r>
    </w:p>
    <w:p w14:paraId="744E649D"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PSP efforts to continuously improve their transaction account offering include both traditional and innovative payment products and instruments.</w:t>
      </w:r>
    </w:p>
    <w:p w14:paraId="7E76C1D5" w14:textId="77777777" w:rsidR="001B53D4" w:rsidRPr="0038045B" w:rsidRDefault="001B53D4" w:rsidP="001B53D4">
      <w:pPr>
        <w:spacing w:after="200" w:line="276" w:lineRule="auto"/>
        <w:contextualSpacing/>
        <w:jc w:val="both"/>
        <w:rPr>
          <w:b/>
          <w:sz w:val="21"/>
          <w:szCs w:val="21"/>
        </w:rPr>
      </w:pPr>
      <w:r w:rsidRPr="0038045B">
        <w:rPr>
          <w:b/>
          <w:sz w:val="21"/>
          <w:szCs w:val="21"/>
        </w:rPr>
        <w:t>Guiding principle 5: Readily available access points</w:t>
      </w:r>
    </w:p>
    <w:p w14:paraId="2CF710AD" w14:textId="77777777" w:rsidR="001B53D4" w:rsidRPr="0038045B" w:rsidRDefault="001B53D4" w:rsidP="001B53D4">
      <w:pPr>
        <w:spacing w:after="200" w:line="276" w:lineRule="auto"/>
        <w:contextualSpacing/>
        <w:jc w:val="both"/>
        <w:rPr>
          <w:sz w:val="21"/>
          <w:szCs w:val="21"/>
        </w:rPr>
      </w:pPr>
      <w:r w:rsidRPr="0038045B">
        <w:rPr>
          <w:sz w:val="21"/>
          <w:szCs w:val="21"/>
        </w:rPr>
        <w:t>The usefulness of transaction accounts is augmented with a broad network of access points that also achieves wide geographical coverage, and by offering a variety of interoperable access channels.</w:t>
      </w:r>
    </w:p>
    <w:p w14:paraId="1D477FE9" w14:textId="77777777" w:rsidR="001B53D4" w:rsidRPr="0038045B" w:rsidRDefault="001B53D4" w:rsidP="001B53D4">
      <w:pPr>
        <w:spacing w:line="276" w:lineRule="auto"/>
        <w:contextualSpacing/>
        <w:jc w:val="both"/>
        <w:rPr>
          <w:sz w:val="21"/>
          <w:szCs w:val="21"/>
        </w:rPr>
      </w:pPr>
    </w:p>
    <w:p w14:paraId="5B02D6EC" w14:textId="77777777" w:rsidR="001B53D4" w:rsidRPr="0038045B" w:rsidRDefault="001B53D4" w:rsidP="001B53D4">
      <w:pPr>
        <w:spacing w:line="276" w:lineRule="auto"/>
        <w:contextualSpacing/>
        <w:jc w:val="both"/>
        <w:rPr>
          <w:sz w:val="21"/>
          <w:szCs w:val="21"/>
          <w:lang w:eastAsia="en-US"/>
        </w:rPr>
      </w:pPr>
      <w:r w:rsidRPr="0038045B">
        <w:rPr>
          <w:sz w:val="21"/>
          <w:szCs w:val="21"/>
        </w:rPr>
        <w:t>Key actions for consideration:</w:t>
      </w:r>
    </w:p>
    <w:p w14:paraId="16FC0E4D"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PSPs provide convenient access to transaction accounts and services by offering an effective combination of own and third-party-owned physical access points (eg branches, ATMs, POS terminal networks and PSP agent locations) and of remote/electronic access channels (mobile phones, internet banking, etc).</w:t>
      </w:r>
    </w:p>
    <w:p w14:paraId="5EBD6F65"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PSPs work to provide service levels at various access points and channels that are reliable and of high quality (PSP agents have the necessary liquidity and are equipped with effective tools to service transaction account users reliably and in an efficient manner, ATMs are highly reliable, etc) and to ensure that opening hours are broadly aligned with customers’ transacting needs.</w:t>
      </w:r>
    </w:p>
    <w:p w14:paraId="24676436"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The payments industry works on ensuring that access points and channels are appropriately interoperable, further contributing to expanding the reach of available service access points and the overall convenience to holders of transaction accounts.</w:t>
      </w:r>
    </w:p>
    <w:p w14:paraId="2D7C4263"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PSPs adequately train their own front office staff and their agents to understand and appropriately address cultural, gender and religious diversity when servicing holders of transaction accounts.</w:t>
      </w:r>
    </w:p>
    <w:p w14:paraId="130B907B"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The payments industry and authorities monitor access channels and access points and their usage to obtain an accurate picture of the availability and proximity of service points to the different population segments.</w:t>
      </w:r>
    </w:p>
    <w:p w14:paraId="3DB28138" w14:textId="77777777" w:rsidR="001B53D4" w:rsidRPr="0038045B" w:rsidRDefault="001B53D4" w:rsidP="001B53D4">
      <w:pPr>
        <w:spacing w:after="200" w:line="276" w:lineRule="auto"/>
        <w:contextualSpacing/>
        <w:jc w:val="both"/>
        <w:rPr>
          <w:b/>
          <w:sz w:val="21"/>
          <w:szCs w:val="21"/>
        </w:rPr>
      </w:pPr>
      <w:r w:rsidRPr="0038045B">
        <w:rPr>
          <w:b/>
          <w:sz w:val="21"/>
          <w:szCs w:val="21"/>
        </w:rPr>
        <w:t>Guiding principle 6: Awareness and financial literacy</w:t>
      </w:r>
    </w:p>
    <w:p w14:paraId="04142693" w14:textId="77777777" w:rsidR="001B53D4" w:rsidRPr="0038045B" w:rsidRDefault="001B53D4" w:rsidP="001B53D4">
      <w:pPr>
        <w:spacing w:after="200" w:line="276" w:lineRule="auto"/>
        <w:contextualSpacing/>
        <w:jc w:val="both"/>
        <w:rPr>
          <w:sz w:val="21"/>
          <w:szCs w:val="21"/>
          <w:lang w:eastAsia="en-US"/>
        </w:rPr>
      </w:pPr>
      <w:r w:rsidRPr="0038045B">
        <w:rPr>
          <w:sz w:val="21"/>
          <w:szCs w:val="21"/>
        </w:rPr>
        <w:t xml:space="preserve">Individuals gain knowledge, through awareness and financial literacy efforts, of the benefits of adopting </w:t>
      </w:r>
      <w:r w:rsidRPr="0038045B">
        <w:rPr>
          <w:sz w:val="21"/>
          <w:szCs w:val="21"/>
          <w:lang w:eastAsia="en-US"/>
        </w:rPr>
        <w:t>transaction accounts, how to use those accounts effectively for payment and store-of-value purposes, and how to access other financial services.</w:t>
      </w:r>
    </w:p>
    <w:p w14:paraId="14189817" w14:textId="77777777" w:rsidR="001B53D4" w:rsidRPr="0038045B" w:rsidRDefault="001B53D4" w:rsidP="001B53D4">
      <w:pPr>
        <w:spacing w:line="276" w:lineRule="auto"/>
        <w:contextualSpacing/>
        <w:jc w:val="both"/>
        <w:rPr>
          <w:sz w:val="21"/>
          <w:szCs w:val="21"/>
        </w:rPr>
      </w:pPr>
    </w:p>
    <w:p w14:paraId="0E8F7729" w14:textId="77777777" w:rsidR="001B53D4" w:rsidRPr="0038045B" w:rsidRDefault="001B53D4" w:rsidP="001B53D4">
      <w:pPr>
        <w:spacing w:line="276" w:lineRule="auto"/>
        <w:contextualSpacing/>
        <w:jc w:val="both"/>
        <w:rPr>
          <w:sz w:val="21"/>
          <w:szCs w:val="21"/>
        </w:rPr>
      </w:pPr>
      <w:r w:rsidRPr="0038045B">
        <w:rPr>
          <w:sz w:val="21"/>
          <w:szCs w:val="21"/>
        </w:rPr>
        <w:t>Key actions for consideration:</w:t>
      </w:r>
    </w:p>
    <w:p w14:paraId="30DB1A57"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All relevant public and private sector stakeholders engage in ongoing and effective educational and outreach to support awareness and financial literacy with an appropriate degree of coordination.</w:t>
      </w:r>
    </w:p>
    <w:p w14:paraId="608E4928"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Awareness and financial literacy efforts specifically address how payment and store-of-value needs can be met through the usage of transaction accounts. In this context, individuals that do not have a transaction account and those that obtained one only recently are a primary target of these financial literacy efforts.</w:t>
      </w:r>
    </w:p>
    <w:p w14:paraId="4D995D4B"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lastRenderedPageBreak/>
        <w:t>Awareness and financial literacy efforts make it possible to easily obtain clear and accurate information on the various types of account that are available in the market, on the general account opening requirements, and on the types of account and service fee that may be encountered.</w:t>
      </w:r>
    </w:p>
    <w:p w14:paraId="0F9CF751"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Awareness, financial literacy and financial transparency programs make it possible for transaction account users to easily obtain clear and accurate information on the risks embedded in the usage of these accounts, how the costs in using the associated services can be minimized, how the potential benefits can be maximized, the basic security measures associated with these accounts, and the overall obligations and rights of PSPs and users.</w:t>
      </w:r>
    </w:p>
    <w:p w14:paraId="13C89593"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PSPs provide hands-on training where needed as part of a product rollout, particularly for users with limited first-hand exposure to electronic payment services and the associated technologies (eg PSPs show customers how transaction accounts and the associated payment products work in practice).</w:t>
      </w:r>
    </w:p>
    <w:p w14:paraId="111EF642" w14:textId="77777777" w:rsidR="001B53D4" w:rsidRPr="0038045B" w:rsidRDefault="001B53D4" w:rsidP="001B53D4">
      <w:pPr>
        <w:spacing w:after="200" w:line="276" w:lineRule="auto"/>
        <w:contextualSpacing/>
        <w:jc w:val="both"/>
        <w:rPr>
          <w:b/>
          <w:sz w:val="21"/>
          <w:szCs w:val="21"/>
        </w:rPr>
      </w:pPr>
    </w:p>
    <w:p w14:paraId="6BD9EAE3" w14:textId="77777777" w:rsidR="001B53D4" w:rsidRPr="0038045B" w:rsidRDefault="001B53D4" w:rsidP="001B53D4">
      <w:pPr>
        <w:spacing w:after="200" w:line="276" w:lineRule="auto"/>
        <w:contextualSpacing/>
        <w:jc w:val="both"/>
        <w:rPr>
          <w:b/>
          <w:sz w:val="21"/>
          <w:szCs w:val="21"/>
        </w:rPr>
      </w:pPr>
      <w:r w:rsidRPr="0038045B">
        <w:rPr>
          <w:b/>
          <w:sz w:val="21"/>
          <w:szCs w:val="21"/>
        </w:rPr>
        <w:t>Guiding principle 7: Large-volume, recurrent payment streams</w:t>
      </w:r>
    </w:p>
    <w:p w14:paraId="2214E70D" w14:textId="77777777" w:rsidR="001B53D4" w:rsidRPr="0038045B" w:rsidRDefault="001B53D4" w:rsidP="001B53D4">
      <w:pPr>
        <w:spacing w:after="200" w:line="276" w:lineRule="auto"/>
        <w:contextualSpacing/>
        <w:jc w:val="both"/>
        <w:rPr>
          <w:sz w:val="21"/>
          <w:szCs w:val="21"/>
          <w:lang w:eastAsia="en-US"/>
        </w:rPr>
      </w:pPr>
      <w:r w:rsidRPr="0038045B">
        <w:rPr>
          <w:sz w:val="21"/>
          <w:szCs w:val="21"/>
          <w:lang w:eastAsia="en-US"/>
        </w:rPr>
        <w:t>Large-volume and recurrent payment streams, including remittances, are leveraged to advance financial inclusion objectives, namely by increasing the number of transaction accounts and stimulating the frequent usage of these accounts.</w:t>
      </w:r>
    </w:p>
    <w:p w14:paraId="16F09672" w14:textId="77777777" w:rsidR="001B53D4" w:rsidRPr="0038045B" w:rsidRDefault="001B53D4" w:rsidP="001B53D4">
      <w:pPr>
        <w:spacing w:line="276" w:lineRule="auto"/>
        <w:contextualSpacing/>
        <w:jc w:val="both"/>
        <w:rPr>
          <w:sz w:val="21"/>
          <w:szCs w:val="21"/>
        </w:rPr>
      </w:pPr>
    </w:p>
    <w:p w14:paraId="26C85A26" w14:textId="77777777" w:rsidR="001B53D4" w:rsidRPr="0038045B" w:rsidRDefault="001B53D4" w:rsidP="001B53D4">
      <w:pPr>
        <w:spacing w:line="276" w:lineRule="auto"/>
        <w:contextualSpacing/>
        <w:jc w:val="both"/>
        <w:rPr>
          <w:sz w:val="21"/>
          <w:szCs w:val="21"/>
        </w:rPr>
      </w:pPr>
      <w:r w:rsidRPr="0038045B">
        <w:rPr>
          <w:sz w:val="21"/>
          <w:szCs w:val="21"/>
        </w:rPr>
        <w:t>Key actions for consideration:</w:t>
      </w:r>
    </w:p>
    <w:p w14:paraId="6F372943"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Ad hoc incentives are considered, where appropriate, to foster adoption and usage of transaction accounts for large-volume and recurrent payments, including not only government payment programs but also government collections and utility bill payments, transit fare payments, employer payrolls and, where relevant, remittances.</w:t>
      </w:r>
    </w:p>
    <w:p w14:paraId="3236D7CB"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PSOs and PSPs take into consideration the needs and requirements of the key counterparties involved in large-volume payment streams, such as employers, large-volume billers, the national treasury and others in the design and provision of the related payment services.</w:t>
      </w:r>
    </w:p>
    <w:p w14:paraId="7D014250"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The government considers making its G2P and G2B payments through a choice of competitively offered transaction accounts that meet the payment and store-of-value needs of the recipients so that these accounts are useful to them.</w:t>
      </w:r>
    </w:p>
    <w:p w14:paraId="3459E06A"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The government enables and encourages individuals and businesses to make their P2G and B2G payments through electronic means in order to, among other objectives, increase the overall usefulness of transaction accounts.</w:t>
      </w:r>
    </w:p>
    <w:p w14:paraId="770304F7"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Medium-sized and large firms, along with government entities, consider disbursing salaries and other payments to employees via transaction accounts at the PSP of the employees’ choice.</w:t>
      </w:r>
    </w:p>
    <w:p w14:paraId="49E27C5A" w14:textId="77777777" w:rsidR="001B53D4" w:rsidRPr="0038045B" w:rsidRDefault="001B53D4" w:rsidP="001B53D4">
      <w:pPr>
        <w:pStyle w:val="ListParagraph"/>
        <w:numPr>
          <w:ilvl w:val="0"/>
          <w:numId w:val="12"/>
        </w:numPr>
        <w:spacing w:after="200" w:line="276" w:lineRule="auto"/>
        <w:ind w:left="270" w:hanging="270"/>
        <w:contextualSpacing/>
        <w:jc w:val="both"/>
        <w:rPr>
          <w:sz w:val="21"/>
          <w:szCs w:val="21"/>
        </w:rPr>
      </w:pPr>
      <w:r w:rsidRPr="0038045B">
        <w:rPr>
          <w:sz w:val="21"/>
          <w:szCs w:val="21"/>
        </w:rPr>
        <w:t>The payments industry proactively seeks new ways to make transaction accounts a competitive and convenient option for usage in connection with all large-volume payment streams.</w:t>
      </w:r>
    </w:p>
    <w:p w14:paraId="10C97605" w14:textId="77777777" w:rsidR="001B53D4" w:rsidRPr="0038045B" w:rsidRDefault="001B53D4">
      <w:pPr>
        <w:rPr>
          <w:b/>
        </w:rPr>
      </w:pPr>
    </w:p>
    <w:p w14:paraId="1BC151D2" w14:textId="77777777" w:rsidR="008A3B67" w:rsidRPr="0038045B" w:rsidRDefault="004F6B15" w:rsidP="00FA7658">
      <w:pPr>
        <w:pStyle w:val="Heading1"/>
        <w:pageBreakBefore/>
        <w:numPr>
          <w:ilvl w:val="0"/>
          <w:numId w:val="0"/>
        </w:numPr>
        <w:spacing w:before="120" w:after="240"/>
        <w:jc w:val="center"/>
      </w:pPr>
      <w:bookmarkStart w:id="106" w:name="_Toc476239741"/>
      <w:r w:rsidRPr="0038045B">
        <w:lastRenderedPageBreak/>
        <w:t xml:space="preserve">Annex </w:t>
      </w:r>
      <w:r w:rsidR="001B53D4" w:rsidRPr="0038045B">
        <w:t>2</w:t>
      </w:r>
      <w:r w:rsidRPr="0038045B">
        <w:t xml:space="preserve">. Coordination Structures </w:t>
      </w:r>
      <w:r w:rsidR="00FA4DCD" w:rsidRPr="0038045B">
        <w:t xml:space="preserve">for Financial Inclusion </w:t>
      </w:r>
      <w:r w:rsidRPr="0038045B">
        <w:t>in Selected Countries</w:t>
      </w:r>
      <w:r w:rsidR="008A3B67" w:rsidRPr="0038045B">
        <w:rPr>
          <w:vertAlign w:val="superscript"/>
        </w:rPr>
        <w:footnoteReference w:id="85"/>
      </w:r>
      <w:bookmarkEnd w:id="106"/>
    </w:p>
    <w:p w14:paraId="626C9B03" w14:textId="77777777" w:rsidR="008A3B67" w:rsidRPr="0038045B" w:rsidRDefault="008A3B67" w:rsidP="008A3B67">
      <w:pPr>
        <w:autoSpaceDE w:val="0"/>
        <w:autoSpaceDN w:val="0"/>
        <w:adjustRightInd w:val="0"/>
        <w:rPr>
          <w:b/>
          <w:bCs/>
          <w:i/>
          <w:iCs/>
          <w:sz w:val="22"/>
          <w:szCs w:val="22"/>
          <w:lang w:eastAsia="en-US"/>
        </w:rPr>
      </w:pPr>
    </w:p>
    <w:p w14:paraId="7B83A4FE" w14:textId="77777777" w:rsidR="008A3B67" w:rsidRPr="0038045B" w:rsidRDefault="008A3B67" w:rsidP="008A3B67">
      <w:pPr>
        <w:autoSpaceDE w:val="0"/>
        <w:autoSpaceDN w:val="0"/>
        <w:adjustRightInd w:val="0"/>
        <w:rPr>
          <w:b/>
          <w:bCs/>
          <w:i/>
          <w:iCs/>
          <w:sz w:val="22"/>
          <w:szCs w:val="22"/>
          <w:lang w:eastAsia="en-US"/>
        </w:rPr>
      </w:pPr>
      <w:r w:rsidRPr="0038045B">
        <w:rPr>
          <w:b/>
          <w:bCs/>
          <w:i/>
          <w:iCs/>
          <w:sz w:val="22"/>
          <w:szCs w:val="22"/>
          <w:lang w:eastAsia="en-US"/>
        </w:rPr>
        <w:t>Belarus</w:t>
      </w:r>
    </w:p>
    <w:p w14:paraId="045D9B7D" w14:textId="77777777" w:rsidR="008A3B67" w:rsidRPr="0038045B" w:rsidRDefault="008A3B67" w:rsidP="008A3B67">
      <w:pPr>
        <w:autoSpaceDE w:val="0"/>
        <w:autoSpaceDN w:val="0"/>
        <w:adjustRightInd w:val="0"/>
        <w:rPr>
          <w:sz w:val="22"/>
          <w:szCs w:val="22"/>
          <w:lang w:eastAsia="en-US"/>
        </w:rPr>
      </w:pPr>
      <w:r w:rsidRPr="0038045B">
        <w:rPr>
          <w:sz w:val="22"/>
          <w:szCs w:val="22"/>
          <w:lang w:eastAsia="en-US"/>
        </w:rPr>
        <w:t>The National Bank of the Republic of Belarus spearheaded the financial inclusion agenda since 2010 by drafting a state strategy on microfinance for 2011-15. In 2013, it also drafted a National Financial Inclusion Strategy and developed a national financial literacy program.</w:t>
      </w:r>
    </w:p>
    <w:p w14:paraId="1622BD97" w14:textId="77777777" w:rsidR="008A3B67" w:rsidRPr="0038045B" w:rsidRDefault="008A3B67" w:rsidP="008A3B67">
      <w:pPr>
        <w:autoSpaceDE w:val="0"/>
        <w:autoSpaceDN w:val="0"/>
        <w:adjustRightInd w:val="0"/>
        <w:rPr>
          <w:b/>
          <w:bCs/>
          <w:i/>
          <w:iCs/>
          <w:sz w:val="22"/>
          <w:szCs w:val="22"/>
          <w:lang w:eastAsia="en-US"/>
        </w:rPr>
      </w:pPr>
    </w:p>
    <w:p w14:paraId="4DCFFFA7" w14:textId="77777777" w:rsidR="008A3B67" w:rsidRPr="0038045B" w:rsidRDefault="008A3B67" w:rsidP="008A3B67">
      <w:pPr>
        <w:autoSpaceDE w:val="0"/>
        <w:autoSpaceDN w:val="0"/>
        <w:adjustRightInd w:val="0"/>
        <w:rPr>
          <w:b/>
          <w:bCs/>
          <w:i/>
          <w:iCs/>
          <w:sz w:val="22"/>
          <w:szCs w:val="22"/>
          <w:lang w:eastAsia="en-US"/>
        </w:rPr>
      </w:pPr>
      <w:r w:rsidRPr="0038045B">
        <w:rPr>
          <w:b/>
          <w:bCs/>
          <w:i/>
          <w:iCs/>
          <w:sz w:val="22"/>
          <w:szCs w:val="22"/>
          <w:lang w:eastAsia="en-US"/>
        </w:rPr>
        <w:t>Brazil</w:t>
      </w:r>
    </w:p>
    <w:p w14:paraId="3F8F938B" w14:textId="77777777" w:rsidR="008A3B67" w:rsidRPr="0038045B" w:rsidRDefault="008A3B67" w:rsidP="008A3B67">
      <w:pPr>
        <w:autoSpaceDE w:val="0"/>
        <w:autoSpaceDN w:val="0"/>
        <w:adjustRightInd w:val="0"/>
        <w:rPr>
          <w:sz w:val="22"/>
          <w:szCs w:val="22"/>
          <w:lang w:eastAsia="en-US"/>
        </w:rPr>
      </w:pPr>
      <w:r w:rsidRPr="0038045B">
        <w:rPr>
          <w:sz w:val="22"/>
          <w:szCs w:val="22"/>
          <w:lang w:eastAsia="en-US"/>
        </w:rPr>
        <w:t>In 2009, the Financial Inclusion Project (FIP) at the Central Bank was created with the objective of integrating various stakeholders to develop effective policies for financial inclusion. In November 2011, the National Partnership for Financial Inclusion was launched, as a network of public and private actors engaged in financial inclusion. The network is coordinated by the FIP.</w:t>
      </w:r>
    </w:p>
    <w:p w14:paraId="021C083A" w14:textId="77777777" w:rsidR="008A3B67" w:rsidRPr="0038045B" w:rsidRDefault="008A3B67" w:rsidP="008A3B67">
      <w:pPr>
        <w:autoSpaceDE w:val="0"/>
        <w:autoSpaceDN w:val="0"/>
        <w:adjustRightInd w:val="0"/>
        <w:rPr>
          <w:b/>
          <w:bCs/>
          <w:i/>
          <w:iCs/>
          <w:sz w:val="22"/>
          <w:szCs w:val="22"/>
          <w:lang w:eastAsia="en-US"/>
        </w:rPr>
      </w:pPr>
    </w:p>
    <w:p w14:paraId="08744C8D" w14:textId="77777777" w:rsidR="008A3B67" w:rsidRPr="0038045B" w:rsidRDefault="008A3B67" w:rsidP="008A3B67">
      <w:pPr>
        <w:autoSpaceDE w:val="0"/>
        <w:autoSpaceDN w:val="0"/>
        <w:adjustRightInd w:val="0"/>
        <w:rPr>
          <w:b/>
          <w:bCs/>
          <w:i/>
          <w:iCs/>
          <w:sz w:val="22"/>
          <w:szCs w:val="22"/>
          <w:lang w:eastAsia="en-US"/>
        </w:rPr>
      </w:pPr>
      <w:r w:rsidRPr="0038045B">
        <w:rPr>
          <w:b/>
          <w:bCs/>
          <w:i/>
          <w:iCs/>
          <w:sz w:val="22"/>
          <w:szCs w:val="22"/>
          <w:lang w:eastAsia="en-US"/>
        </w:rPr>
        <w:t>Chile</w:t>
      </w:r>
    </w:p>
    <w:p w14:paraId="70A96888" w14:textId="77777777" w:rsidR="008A3B67" w:rsidRPr="0038045B" w:rsidRDefault="008A3B67" w:rsidP="008A3B67">
      <w:pPr>
        <w:autoSpaceDE w:val="0"/>
        <w:autoSpaceDN w:val="0"/>
        <w:adjustRightInd w:val="0"/>
        <w:rPr>
          <w:sz w:val="22"/>
          <w:szCs w:val="22"/>
          <w:lang w:eastAsia="en-US"/>
        </w:rPr>
      </w:pPr>
      <w:r w:rsidRPr="0038045B">
        <w:rPr>
          <w:sz w:val="22"/>
          <w:szCs w:val="22"/>
          <w:lang w:eastAsia="en-US"/>
        </w:rPr>
        <w:t>The Ministry of Planning created a Financial Inclusion Unit on April 2011, which is leading the financial inclusion agenda in liaison with government agencies (Ministry of Finance, Superintendence of Banks and Financial Institutions, Central Bank) and private sector actors.</w:t>
      </w:r>
    </w:p>
    <w:p w14:paraId="2E1C19CA" w14:textId="77777777" w:rsidR="008A3B67" w:rsidRPr="0038045B" w:rsidRDefault="008A3B67" w:rsidP="008A3B67">
      <w:pPr>
        <w:autoSpaceDE w:val="0"/>
        <w:autoSpaceDN w:val="0"/>
        <w:adjustRightInd w:val="0"/>
        <w:rPr>
          <w:b/>
          <w:bCs/>
          <w:i/>
          <w:iCs/>
          <w:sz w:val="22"/>
          <w:szCs w:val="22"/>
          <w:lang w:eastAsia="en-US"/>
        </w:rPr>
      </w:pPr>
    </w:p>
    <w:p w14:paraId="071636C6" w14:textId="77777777" w:rsidR="008A3B67" w:rsidRPr="0038045B" w:rsidRDefault="008A3B67" w:rsidP="008A3B67">
      <w:pPr>
        <w:autoSpaceDE w:val="0"/>
        <w:autoSpaceDN w:val="0"/>
        <w:adjustRightInd w:val="0"/>
        <w:rPr>
          <w:b/>
          <w:bCs/>
          <w:i/>
          <w:iCs/>
          <w:sz w:val="22"/>
          <w:szCs w:val="22"/>
          <w:lang w:eastAsia="en-US"/>
        </w:rPr>
      </w:pPr>
      <w:r w:rsidRPr="0038045B">
        <w:rPr>
          <w:b/>
          <w:bCs/>
          <w:i/>
          <w:iCs/>
          <w:sz w:val="22"/>
          <w:szCs w:val="22"/>
          <w:lang w:eastAsia="en-US"/>
        </w:rPr>
        <w:t>India</w:t>
      </w:r>
    </w:p>
    <w:p w14:paraId="7A3FFBFB" w14:textId="77777777" w:rsidR="008A3B67" w:rsidRPr="0038045B" w:rsidRDefault="008A3B67" w:rsidP="008A3B67">
      <w:pPr>
        <w:autoSpaceDE w:val="0"/>
        <w:autoSpaceDN w:val="0"/>
        <w:adjustRightInd w:val="0"/>
        <w:rPr>
          <w:sz w:val="22"/>
          <w:szCs w:val="22"/>
          <w:lang w:eastAsia="en-US"/>
        </w:rPr>
      </w:pPr>
      <w:r w:rsidRPr="0038045B">
        <w:rPr>
          <w:sz w:val="22"/>
          <w:szCs w:val="22"/>
          <w:lang w:eastAsia="en-US"/>
        </w:rPr>
        <w:t>In October 2012, the Reserve Bank of India constituted a Financial Inclusion Advisory Committee (FIAC) to spearhead financial inclusion efforts. The FIAC membership includes a few Directors from the Central Board of RBI and experts from the NGO and civil society sector.</w:t>
      </w:r>
    </w:p>
    <w:p w14:paraId="03B2B2EA" w14:textId="77777777" w:rsidR="008A3B67" w:rsidRPr="0038045B" w:rsidRDefault="008A3B67" w:rsidP="008A3B67">
      <w:pPr>
        <w:autoSpaceDE w:val="0"/>
        <w:autoSpaceDN w:val="0"/>
        <w:adjustRightInd w:val="0"/>
        <w:rPr>
          <w:b/>
          <w:bCs/>
          <w:i/>
          <w:iCs/>
          <w:sz w:val="22"/>
          <w:szCs w:val="22"/>
          <w:lang w:eastAsia="en-US"/>
        </w:rPr>
      </w:pPr>
    </w:p>
    <w:p w14:paraId="79866FAE" w14:textId="77777777" w:rsidR="008A3B67" w:rsidRPr="0038045B" w:rsidRDefault="008A3B67" w:rsidP="008A3B67">
      <w:pPr>
        <w:autoSpaceDE w:val="0"/>
        <w:autoSpaceDN w:val="0"/>
        <w:adjustRightInd w:val="0"/>
        <w:rPr>
          <w:b/>
          <w:bCs/>
          <w:i/>
          <w:iCs/>
          <w:sz w:val="22"/>
          <w:szCs w:val="22"/>
          <w:lang w:eastAsia="en-US"/>
        </w:rPr>
      </w:pPr>
      <w:r w:rsidRPr="0038045B">
        <w:rPr>
          <w:b/>
          <w:bCs/>
          <w:i/>
          <w:iCs/>
          <w:sz w:val="22"/>
          <w:szCs w:val="22"/>
          <w:lang w:eastAsia="en-US"/>
        </w:rPr>
        <w:t>Kenya</w:t>
      </w:r>
    </w:p>
    <w:p w14:paraId="35775AA7" w14:textId="77777777" w:rsidR="008A3B67" w:rsidRPr="0038045B" w:rsidRDefault="008A3B67" w:rsidP="008A3B67">
      <w:pPr>
        <w:autoSpaceDE w:val="0"/>
        <w:autoSpaceDN w:val="0"/>
        <w:adjustRightInd w:val="0"/>
        <w:rPr>
          <w:sz w:val="22"/>
          <w:szCs w:val="22"/>
          <w:lang w:eastAsia="en-US"/>
        </w:rPr>
      </w:pPr>
      <w:r w:rsidRPr="0038045B">
        <w:rPr>
          <w:sz w:val="22"/>
          <w:szCs w:val="22"/>
          <w:lang w:eastAsia="en-US"/>
        </w:rPr>
        <w:t>In 2005, the Central Bank of Kenya partnered with the Financial Sector Deepening Kenya and other financial sector players under the Financial Access Partnership</w:t>
      </w:r>
      <w:r w:rsidR="00DA1B51" w:rsidRPr="0038045B">
        <w:rPr>
          <w:sz w:val="22"/>
          <w:szCs w:val="22"/>
          <w:lang w:eastAsia="en-US"/>
        </w:rPr>
        <w:t>,</w:t>
      </w:r>
      <w:r w:rsidRPr="0038045B">
        <w:rPr>
          <w:sz w:val="22"/>
          <w:szCs w:val="22"/>
          <w:lang w:eastAsia="en-US"/>
        </w:rPr>
        <w:t xml:space="preserve"> to monitor and measure levels of access to financial services.</w:t>
      </w:r>
    </w:p>
    <w:p w14:paraId="3EDD76A2" w14:textId="77777777" w:rsidR="008A3B67" w:rsidRPr="0038045B" w:rsidRDefault="008A3B67" w:rsidP="008A3B67">
      <w:pPr>
        <w:autoSpaceDE w:val="0"/>
        <w:autoSpaceDN w:val="0"/>
        <w:adjustRightInd w:val="0"/>
        <w:rPr>
          <w:b/>
          <w:bCs/>
          <w:i/>
          <w:iCs/>
          <w:sz w:val="22"/>
          <w:szCs w:val="22"/>
          <w:lang w:eastAsia="en-US"/>
        </w:rPr>
      </w:pPr>
    </w:p>
    <w:p w14:paraId="511D0702" w14:textId="77777777" w:rsidR="008A3B67" w:rsidRPr="0038045B" w:rsidRDefault="008A3B67" w:rsidP="008A3B67">
      <w:pPr>
        <w:autoSpaceDE w:val="0"/>
        <w:autoSpaceDN w:val="0"/>
        <w:adjustRightInd w:val="0"/>
        <w:rPr>
          <w:b/>
          <w:bCs/>
          <w:i/>
          <w:iCs/>
          <w:sz w:val="22"/>
          <w:szCs w:val="22"/>
          <w:lang w:eastAsia="en-US"/>
        </w:rPr>
      </w:pPr>
      <w:r w:rsidRPr="0038045B">
        <w:rPr>
          <w:b/>
          <w:bCs/>
          <w:i/>
          <w:iCs/>
          <w:sz w:val="22"/>
          <w:szCs w:val="22"/>
          <w:lang w:eastAsia="en-US"/>
        </w:rPr>
        <w:t>Korea</w:t>
      </w:r>
    </w:p>
    <w:p w14:paraId="61A2AF9E" w14:textId="77777777" w:rsidR="008A3B67" w:rsidRPr="0038045B" w:rsidRDefault="008A3B67" w:rsidP="008A3B67">
      <w:pPr>
        <w:autoSpaceDE w:val="0"/>
        <w:autoSpaceDN w:val="0"/>
        <w:adjustRightInd w:val="0"/>
        <w:rPr>
          <w:sz w:val="22"/>
          <w:szCs w:val="22"/>
          <w:lang w:eastAsia="en-US"/>
        </w:rPr>
      </w:pPr>
      <w:r w:rsidRPr="0038045B">
        <w:rPr>
          <w:sz w:val="22"/>
          <w:szCs w:val="22"/>
          <w:lang w:eastAsia="en-US"/>
        </w:rPr>
        <w:t>The Financial Supervisory Commission is Korea’s lead agency for financial inclusion policy. It works closely with other agencies such as the Small and Medium Business Administration.</w:t>
      </w:r>
    </w:p>
    <w:p w14:paraId="39381CB6" w14:textId="77777777" w:rsidR="008A3B67" w:rsidRPr="0038045B" w:rsidRDefault="008A3B67" w:rsidP="008A3B67">
      <w:pPr>
        <w:autoSpaceDE w:val="0"/>
        <w:autoSpaceDN w:val="0"/>
        <w:adjustRightInd w:val="0"/>
        <w:rPr>
          <w:b/>
          <w:bCs/>
          <w:i/>
          <w:iCs/>
          <w:sz w:val="22"/>
          <w:szCs w:val="22"/>
          <w:lang w:eastAsia="en-US"/>
        </w:rPr>
      </w:pPr>
    </w:p>
    <w:p w14:paraId="38B24391" w14:textId="77777777" w:rsidR="008A3B67" w:rsidRPr="0038045B" w:rsidRDefault="008A3B67" w:rsidP="008A3B67">
      <w:pPr>
        <w:autoSpaceDE w:val="0"/>
        <w:autoSpaceDN w:val="0"/>
        <w:adjustRightInd w:val="0"/>
        <w:rPr>
          <w:b/>
          <w:bCs/>
          <w:i/>
          <w:iCs/>
          <w:sz w:val="22"/>
          <w:szCs w:val="22"/>
          <w:lang w:eastAsia="en-US"/>
        </w:rPr>
      </w:pPr>
      <w:r w:rsidRPr="0038045B">
        <w:rPr>
          <w:b/>
          <w:bCs/>
          <w:i/>
          <w:iCs/>
          <w:sz w:val="22"/>
          <w:szCs w:val="22"/>
          <w:lang w:eastAsia="en-US"/>
        </w:rPr>
        <w:t>Mexico</w:t>
      </w:r>
    </w:p>
    <w:p w14:paraId="29D6D629" w14:textId="77777777" w:rsidR="008A3B67" w:rsidRPr="0038045B" w:rsidRDefault="008A3B67" w:rsidP="008A3B67">
      <w:pPr>
        <w:autoSpaceDE w:val="0"/>
        <w:autoSpaceDN w:val="0"/>
        <w:adjustRightInd w:val="0"/>
        <w:rPr>
          <w:sz w:val="22"/>
          <w:szCs w:val="22"/>
          <w:lang w:eastAsia="en-US"/>
        </w:rPr>
      </w:pPr>
      <w:r w:rsidRPr="0038045B">
        <w:rPr>
          <w:sz w:val="22"/>
          <w:szCs w:val="22"/>
          <w:lang w:eastAsia="en-US"/>
        </w:rPr>
        <w:t>To facilitate coordination among different stakeholders, the National Council on Financial Inclusion was created in 2011 to coordinate proposals for financial inclusion policies and their implementation, as well as formulate guidelines for a National Policy on Financial Inclusion.</w:t>
      </w:r>
    </w:p>
    <w:p w14:paraId="31E2BD7C" w14:textId="77777777" w:rsidR="008A3B67" w:rsidRPr="0038045B" w:rsidRDefault="008A3B67" w:rsidP="008A3B67">
      <w:pPr>
        <w:autoSpaceDE w:val="0"/>
        <w:autoSpaceDN w:val="0"/>
        <w:adjustRightInd w:val="0"/>
        <w:rPr>
          <w:b/>
          <w:bCs/>
          <w:i/>
          <w:iCs/>
          <w:sz w:val="22"/>
          <w:szCs w:val="22"/>
          <w:lang w:eastAsia="en-US"/>
        </w:rPr>
      </w:pPr>
    </w:p>
    <w:p w14:paraId="628C08AC" w14:textId="77777777" w:rsidR="008A3B67" w:rsidRPr="0038045B" w:rsidRDefault="008A3B67" w:rsidP="008A3B67">
      <w:pPr>
        <w:autoSpaceDE w:val="0"/>
        <w:autoSpaceDN w:val="0"/>
        <w:adjustRightInd w:val="0"/>
        <w:rPr>
          <w:b/>
          <w:bCs/>
          <w:i/>
          <w:iCs/>
          <w:sz w:val="22"/>
          <w:szCs w:val="22"/>
          <w:lang w:eastAsia="en-US"/>
        </w:rPr>
      </w:pPr>
      <w:r w:rsidRPr="0038045B">
        <w:rPr>
          <w:b/>
          <w:bCs/>
          <w:i/>
          <w:iCs/>
          <w:sz w:val="22"/>
          <w:szCs w:val="22"/>
          <w:lang w:eastAsia="en-US"/>
        </w:rPr>
        <w:t>Namibia</w:t>
      </w:r>
    </w:p>
    <w:p w14:paraId="3135AB64" w14:textId="77777777" w:rsidR="008A3B67" w:rsidRPr="0038045B" w:rsidRDefault="008A3B67" w:rsidP="008A3B67">
      <w:pPr>
        <w:autoSpaceDE w:val="0"/>
        <w:autoSpaceDN w:val="0"/>
        <w:adjustRightInd w:val="0"/>
        <w:rPr>
          <w:sz w:val="22"/>
          <w:szCs w:val="22"/>
          <w:lang w:eastAsia="en-US"/>
        </w:rPr>
      </w:pPr>
      <w:r w:rsidRPr="0038045B">
        <w:rPr>
          <w:sz w:val="22"/>
          <w:szCs w:val="22"/>
          <w:lang w:eastAsia="en-US"/>
        </w:rPr>
        <w:t>Bank of Namibia created a dedicated Division to coordinate financial inclusion activities, a fund to support these activities, an internal Financial Inclusion Forum, an inter-ministerial Financial Inclusion Council &amp; Advisory Body, and other consultative workshops and meetings.</w:t>
      </w:r>
    </w:p>
    <w:p w14:paraId="72FCED4C" w14:textId="77777777" w:rsidR="008A3B67" w:rsidRPr="0038045B" w:rsidRDefault="008A3B67" w:rsidP="008A3B67">
      <w:pPr>
        <w:autoSpaceDE w:val="0"/>
        <w:autoSpaceDN w:val="0"/>
        <w:adjustRightInd w:val="0"/>
        <w:rPr>
          <w:b/>
          <w:bCs/>
          <w:i/>
          <w:iCs/>
          <w:sz w:val="22"/>
          <w:szCs w:val="22"/>
          <w:lang w:eastAsia="en-US"/>
        </w:rPr>
      </w:pPr>
    </w:p>
    <w:p w14:paraId="6C2871DF" w14:textId="77777777" w:rsidR="008A3B67" w:rsidRPr="0038045B" w:rsidRDefault="008A3B67" w:rsidP="008A3B67">
      <w:pPr>
        <w:autoSpaceDE w:val="0"/>
        <w:autoSpaceDN w:val="0"/>
        <w:adjustRightInd w:val="0"/>
        <w:rPr>
          <w:b/>
          <w:bCs/>
          <w:i/>
          <w:iCs/>
          <w:sz w:val="22"/>
          <w:szCs w:val="22"/>
          <w:lang w:eastAsia="en-US"/>
        </w:rPr>
      </w:pPr>
      <w:r w:rsidRPr="0038045B">
        <w:rPr>
          <w:b/>
          <w:bCs/>
          <w:i/>
          <w:iCs/>
          <w:sz w:val="22"/>
          <w:szCs w:val="22"/>
          <w:lang w:eastAsia="en-US"/>
        </w:rPr>
        <w:t>Nigeria</w:t>
      </w:r>
    </w:p>
    <w:p w14:paraId="66A55C30" w14:textId="77777777" w:rsidR="008A3B67" w:rsidRPr="0038045B" w:rsidRDefault="008A3B67" w:rsidP="008A3B67">
      <w:pPr>
        <w:autoSpaceDE w:val="0"/>
        <w:autoSpaceDN w:val="0"/>
        <w:adjustRightInd w:val="0"/>
        <w:rPr>
          <w:sz w:val="22"/>
          <w:szCs w:val="22"/>
          <w:lang w:eastAsia="en-US"/>
        </w:rPr>
      </w:pPr>
      <w:r w:rsidRPr="0038045B">
        <w:rPr>
          <w:sz w:val="22"/>
          <w:szCs w:val="22"/>
          <w:lang w:eastAsia="en-US"/>
        </w:rPr>
        <w:t>The Central Bank of Nigeria (CBN) is leading the promotion of financial inclusion in Nigeria, particularly through its Development Finance Department. It is under this department that CBN is deploying a team to the Financial Inclusion Secretariat to take on all coordination activities.</w:t>
      </w:r>
    </w:p>
    <w:p w14:paraId="70CE9818" w14:textId="77777777" w:rsidR="008A3B67" w:rsidRPr="0038045B" w:rsidRDefault="008A3B67" w:rsidP="008A3B67">
      <w:pPr>
        <w:autoSpaceDE w:val="0"/>
        <w:autoSpaceDN w:val="0"/>
        <w:adjustRightInd w:val="0"/>
        <w:rPr>
          <w:b/>
          <w:bCs/>
          <w:i/>
          <w:iCs/>
          <w:sz w:val="22"/>
          <w:szCs w:val="22"/>
          <w:lang w:eastAsia="en-US"/>
        </w:rPr>
      </w:pPr>
    </w:p>
    <w:p w14:paraId="40ADB7D2" w14:textId="77777777" w:rsidR="008A3B67" w:rsidRPr="0038045B" w:rsidRDefault="008A3B67" w:rsidP="008A3B67">
      <w:pPr>
        <w:autoSpaceDE w:val="0"/>
        <w:autoSpaceDN w:val="0"/>
        <w:adjustRightInd w:val="0"/>
        <w:rPr>
          <w:b/>
          <w:bCs/>
          <w:i/>
          <w:iCs/>
          <w:sz w:val="22"/>
          <w:szCs w:val="22"/>
          <w:lang w:eastAsia="en-US"/>
        </w:rPr>
      </w:pPr>
      <w:r w:rsidRPr="0038045B">
        <w:rPr>
          <w:b/>
          <w:bCs/>
          <w:i/>
          <w:iCs/>
          <w:sz w:val="22"/>
          <w:szCs w:val="22"/>
          <w:lang w:eastAsia="en-US"/>
        </w:rPr>
        <w:lastRenderedPageBreak/>
        <w:t>Pakistan</w:t>
      </w:r>
    </w:p>
    <w:p w14:paraId="6371CABB" w14:textId="77777777" w:rsidR="008A3B67" w:rsidRPr="0038045B" w:rsidRDefault="008A3B67" w:rsidP="008A3B67">
      <w:pPr>
        <w:autoSpaceDE w:val="0"/>
        <w:autoSpaceDN w:val="0"/>
        <w:adjustRightInd w:val="0"/>
        <w:rPr>
          <w:sz w:val="22"/>
          <w:szCs w:val="22"/>
          <w:lang w:eastAsia="en-US"/>
        </w:rPr>
      </w:pPr>
      <w:r w:rsidRPr="0038045B">
        <w:rPr>
          <w:sz w:val="22"/>
          <w:szCs w:val="22"/>
          <w:lang w:eastAsia="en-US"/>
        </w:rPr>
        <w:t>The State Bank of Pakistan established a Financial Inclusion Programme coordination office, housed within its Microfinance Department.</w:t>
      </w:r>
    </w:p>
    <w:p w14:paraId="1F7B40CD" w14:textId="77777777" w:rsidR="008A3B67" w:rsidRPr="0038045B" w:rsidRDefault="008A3B67" w:rsidP="008A3B67">
      <w:pPr>
        <w:autoSpaceDE w:val="0"/>
        <w:autoSpaceDN w:val="0"/>
        <w:adjustRightInd w:val="0"/>
        <w:rPr>
          <w:b/>
          <w:bCs/>
          <w:i/>
          <w:iCs/>
          <w:sz w:val="22"/>
          <w:szCs w:val="22"/>
          <w:lang w:eastAsia="en-US"/>
        </w:rPr>
      </w:pPr>
    </w:p>
    <w:p w14:paraId="5671BC48" w14:textId="77777777" w:rsidR="008A3B67" w:rsidRPr="0038045B" w:rsidRDefault="008A3B67" w:rsidP="008A3B67">
      <w:pPr>
        <w:autoSpaceDE w:val="0"/>
        <w:autoSpaceDN w:val="0"/>
        <w:adjustRightInd w:val="0"/>
        <w:rPr>
          <w:b/>
          <w:bCs/>
          <w:i/>
          <w:iCs/>
          <w:sz w:val="22"/>
          <w:szCs w:val="22"/>
          <w:lang w:eastAsia="en-US"/>
        </w:rPr>
      </w:pPr>
      <w:r w:rsidRPr="0038045B">
        <w:rPr>
          <w:b/>
          <w:bCs/>
          <w:i/>
          <w:iCs/>
          <w:sz w:val="22"/>
          <w:szCs w:val="22"/>
          <w:lang w:eastAsia="en-US"/>
        </w:rPr>
        <w:t>Philippines</w:t>
      </w:r>
    </w:p>
    <w:p w14:paraId="6450FEC1" w14:textId="77777777" w:rsidR="008A3B67" w:rsidRPr="0038045B" w:rsidRDefault="008A3B67" w:rsidP="008A3B67">
      <w:pPr>
        <w:autoSpaceDE w:val="0"/>
        <w:autoSpaceDN w:val="0"/>
        <w:adjustRightInd w:val="0"/>
        <w:rPr>
          <w:sz w:val="22"/>
          <w:szCs w:val="22"/>
          <w:lang w:eastAsia="en-US"/>
        </w:rPr>
      </w:pPr>
      <w:r w:rsidRPr="0038045B">
        <w:rPr>
          <w:sz w:val="22"/>
          <w:szCs w:val="22"/>
          <w:lang w:eastAsia="en-US"/>
        </w:rPr>
        <w:t>The Bangko Sentral ng Pilipinas created a Microfinance Unit 2002 which was transformed into the Inclusive Finance Advocacy Staff in 2007. It has also established an Inclusive Finance Committee chaired by the Governor.</w:t>
      </w:r>
    </w:p>
    <w:p w14:paraId="124A21D6" w14:textId="77777777" w:rsidR="008A3B67" w:rsidRPr="0038045B" w:rsidRDefault="008A3B67" w:rsidP="008A3B67">
      <w:pPr>
        <w:autoSpaceDE w:val="0"/>
        <w:autoSpaceDN w:val="0"/>
        <w:adjustRightInd w:val="0"/>
        <w:rPr>
          <w:b/>
          <w:bCs/>
          <w:i/>
          <w:iCs/>
          <w:sz w:val="22"/>
          <w:szCs w:val="22"/>
          <w:lang w:eastAsia="en-US"/>
        </w:rPr>
      </w:pPr>
    </w:p>
    <w:p w14:paraId="4100BB8D" w14:textId="77777777" w:rsidR="008A3B67" w:rsidRPr="0038045B" w:rsidRDefault="008A3B67" w:rsidP="008A3B67">
      <w:pPr>
        <w:autoSpaceDE w:val="0"/>
        <w:autoSpaceDN w:val="0"/>
        <w:adjustRightInd w:val="0"/>
        <w:rPr>
          <w:b/>
          <w:bCs/>
          <w:i/>
          <w:iCs/>
          <w:sz w:val="22"/>
          <w:szCs w:val="22"/>
          <w:lang w:eastAsia="en-US"/>
        </w:rPr>
      </w:pPr>
      <w:r w:rsidRPr="0038045B">
        <w:rPr>
          <w:b/>
          <w:bCs/>
          <w:i/>
          <w:iCs/>
          <w:sz w:val="22"/>
          <w:szCs w:val="22"/>
          <w:lang w:eastAsia="en-US"/>
        </w:rPr>
        <w:t>Russia</w:t>
      </w:r>
    </w:p>
    <w:p w14:paraId="5427DB86" w14:textId="77777777" w:rsidR="008A3B67" w:rsidRPr="0038045B" w:rsidRDefault="008A3B67" w:rsidP="008A3B67">
      <w:pPr>
        <w:autoSpaceDE w:val="0"/>
        <w:autoSpaceDN w:val="0"/>
        <w:adjustRightInd w:val="0"/>
        <w:rPr>
          <w:sz w:val="22"/>
          <w:szCs w:val="22"/>
          <w:lang w:eastAsia="en-US"/>
        </w:rPr>
      </w:pPr>
      <w:r w:rsidRPr="0038045B">
        <w:rPr>
          <w:sz w:val="22"/>
          <w:szCs w:val="22"/>
          <w:lang w:eastAsia="en-US"/>
        </w:rPr>
        <w:t>The Ministry of Economic Development is responsible for the promotion of financial inclusion, but the strategy is developed closely with the Central Bank, the Ministry of Finance, as well as other non-governmental stakeholders (Russian Microfinance Center, banking associations, etc.).</w:t>
      </w:r>
    </w:p>
    <w:p w14:paraId="181D9294" w14:textId="77777777" w:rsidR="008A3B67" w:rsidRPr="0038045B" w:rsidRDefault="008A3B67" w:rsidP="008A3B67">
      <w:pPr>
        <w:autoSpaceDE w:val="0"/>
        <w:autoSpaceDN w:val="0"/>
        <w:adjustRightInd w:val="0"/>
        <w:rPr>
          <w:b/>
          <w:bCs/>
          <w:i/>
          <w:iCs/>
          <w:sz w:val="22"/>
          <w:szCs w:val="22"/>
          <w:lang w:eastAsia="en-US"/>
        </w:rPr>
      </w:pPr>
    </w:p>
    <w:p w14:paraId="418CE4A6" w14:textId="77777777" w:rsidR="008A3B67" w:rsidRPr="0038045B" w:rsidRDefault="008A3B67" w:rsidP="008A3B67">
      <w:pPr>
        <w:autoSpaceDE w:val="0"/>
        <w:autoSpaceDN w:val="0"/>
        <w:adjustRightInd w:val="0"/>
        <w:rPr>
          <w:b/>
          <w:bCs/>
          <w:i/>
          <w:iCs/>
          <w:sz w:val="22"/>
          <w:szCs w:val="22"/>
          <w:lang w:eastAsia="en-US"/>
        </w:rPr>
      </w:pPr>
      <w:r w:rsidRPr="0038045B">
        <w:rPr>
          <w:b/>
          <w:bCs/>
          <w:i/>
          <w:iCs/>
          <w:sz w:val="22"/>
          <w:szCs w:val="22"/>
          <w:lang w:eastAsia="en-US"/>
        </w:rPr>
        <w:t>Rwanda</w:t>
      </w:r>
    </w:p>
    <w:p w14:paraId="552C8693" w14:textId="77777777" w:rsidR="008A3B67" w:rsidRPr="0038045B" w:rsidRDefault="008A3B67" w:rsidP="008A3B67">
      <w:pPr>
        <w:autoSpaceDE w:val="0"/>
        <w:autoSpaceDN w:val="0"/>
        <w:adjustRightInd w:val="0"/>
        <w:rPr>
          <w:sz w:val="22"/>
          <w:szCs w:val="22"/>
          <w:lang w:eastAsia="en-US"/>
        </w:rPr>
      </w:pPr>
      <w:r w:rsidRPr="0038045B">
        <w:rPr>
          <w:sz w:val="22"/>
          <w:szCs w:val="22"/>
          <w:lang w:eastAsia="en-US"/>
        </w:rPr>
        <w:t>The National Bank of Rwanda has established a Financial Inclusion Taskforce aimed at coordinating all</w:t>
      </w:r>
      <w:r w:rsidR="001E5CE7" w:rsidRPr="0038045B">
        <w:rPr>
          <w:sz w:val="22"/>
          <w:szCs w:val="22"/>
          <w:lang w:eastAsia="en-US"/>
        </w:rPr>
        <w:t xml:space="preserve"> </w:t>
      </w:r>
      <w:r w:rsidRPr="0038045B">
        <w:rPr>
          <w:sz w:val="22"/>
          <w:szCs w:val="22"/>
          <w:lang w:eastAsia="en-US"/>
        </w:rPr>
        <w:t>initiatives regarding financial inclusion.</w:t>
      </w:r>
    </w:p>
    <w:p w14:paraId="2833A02D" w14:textId="77777777" w:rsidR="001E5CE7" w:rsidRPr="0038045B" w:rsidRDefault="001E5CE7" w:rsidP="008A3B67">
      <w:pPr>
        <w:autoSpaceDE w:val="0"/>
        <w:autoSpaceDN w:val="0"/>
        <w:adjustRightInd w:val="0"/>
        <w:rPr>
          <w:b/>
          <w:bCs/>
          <w:i/>
          <w:iCs/>
          <w:sz w:val="22"/>
          <w:szCs w:val="22"/>
          <w:lang w:eastAsia="en-US"/>
        </w:rPr>
      </w:pPr>
    </w:p>
    <w:p w14:paraId="5F94B1F7" w14:textId="77777777" w:rsidR="008A3B67" w:rsidRPr="0038045B" w:rsidRDefault="001E5CE7" w:rsidP="008A3B67">
      <w:pPr>
        <w:autoSpaceDE w:val="0"/>
        <w:autoSpaceDN w:val="0"/>
        <w:adjustRightInd w:val="0"/>
        <w:rPr>
          <w:b/>
          <w:bCs/>
          <w:i/>
          <w:iCs/>
          <w:sz w:val="22"/>
          <w:szCs w:val="22"/>
          <w:lang w:eastAsia="en-US"/>
        </w:rPr>
      </w:pPr>
      <w:r w:rsidRPr="0038045B">
        <w:rPr>
          <w:b/>
          <w:bCs/>
          <w:i/>
          <w:iCs/>
          <w:sz w:val="22"/>
          <w:szCs w:val="22"/>
          <w:lang w:eastAsia="en-US"/>
        </w:rPr>
        <w:t>S</w:t>
      </w:r>
      <w:r w:rsidR="008A3B67" w:rsidRPr="0038045B">
        <w:rPr>
          <w:b/>
          <w:bCs/>
          <w:i/>
          <w:iCs/>
          <w:sz w:val="22"/>
          <w:szCs w:val="22"/>
          <w:lang w:eastAsia="en-US"/>
        </w:rPr>
        <w:t>olomon</w:t>
      </w:r>
      <w:r w:rsidRPr="0038045B">
        <w:rPr>
          <w:b/>
          <w:bCs/>
          <w:i/>
          <w:iCs/>
          <w:sz w:val="22"/>
          <w:szCs w:val="22"/>
          <w:lang w:eastAsia="en-US"/>
        </w:rPr>
        <w:t xml:space="preserve"> </w:t>
      </w:r>
      <w:r w:rsidR="008A3B67" w:rsidRPr="0038045B">
        <w:rPr>
          <w:b/>
          <w:bCs/>
          <w:i/>
          <w:iCs/>
          <w:sz w:val="22"/>
          <w:szCs w:val="22"/>
          <w:lang w:eastAsia="en-US"/>
        </w:rPr>
        <w:t>Islands</w:t>
      </w:r>
    </w:p>
    <w:p w14:paraId="667C45D7" w14:textId="77777777" w:rsidR="008A3B67" w:rsidRPr="0038045B" w:rsidRDefault="008A3B67" w:rsidP="008A3B67">
      <w:pPr>
        <w:autoSpaceDE w:val="0"/>
        <w:autoSpaceDN w:val="0"/>
        <w:adjustRightInd w:val="0"/>
        <w:rPr>
          <w:sz w:val="22"/>
          <w:szCs w:val="22"/>
          <w:lang w:eastAsia="en-US"/>
        </w:rPr>
      </w:pPr>
      <w:r w:rsidRPr="0038045B">
        <w:rPr>
          <w:sz w:val="22"/>
          <w:szCs w:val="22"/>
          <w:lang w:eastAsia="en-US"/>
        </w:rPr>
        <w:t>The Central Bank of the Solomon Islands set up national coordinating committee and secretariat to implement</w:t>
      </w:r>
      <w:r w:rsidR="001E5CE7" w:rsidRPr="0038045B">
        <w:rPr>
          <w:sz w:val="22"/>
          <w:szCs w:val="22"/>
          <w:lang w:eastAsia="en-US"/>
        </w:rPr>
        <w:t xml:space="preserve"> </w:t>
      </w:r>
      <w:r w:rsidRPr="0038045B">
        <w:rPr>
          <w:sz w:val="22"/>
          <w:szCs w:val="22"/>
          <w:lang w:eastAsia="en-US"/>
        </w:rPr>
        <w:t>financial inclusion actions.</w:t>
      </w:r>
    </w:p>
    <w:p w14:paraId="489045A3" w14:textId="77777777" w:rsidR="001E5CE7" w:rsidRPr="0038045B" w:rsidRDefault="001E5CE7" w:rsidP="008A3B67">
      <w:pPr>
        <w:autoSpaceDE w:val="0"/>
        <w:autoSpaceDN w:val="0"/>
        <w:adjustRightInd w:val="0"/>
        <w:rPr>
          <w:b/>
          <w:bCs/>
          <w:i/>
          <w:iCs/>
          <w:sz w:val="22"/>
          <w:szCs w:val="22"/>
          <w:lang w:eastAsia="en-US"/>
        </w:rPr>
      </w:pPr>
    </w:p>
    <w:p w14:paraId="61CC53B5" w14:textId="77777777" w:rsidR="008A3B67" w:rsidRPr="0038045B" w:rsidRDefault="008A3B67" w:rsidP="008A3B67">
      <w:pPr>
        <w:autoSpaceDE w:val="0"/>
        <w:autoSpaceDN w:val="0"/>
        <w:adjustRightInd w:val="0"/>
        <w:rPr>
          <w:b/>
          <w:bCs/>
          <w:i/>
          <w:iCs/>
          <w:sz w:val="22"/>
          <w:szCs w:val="22"/>
          <w:lang w:eastAsia="en-US"/>
        </w:rPr>
      </w:pPr>
      <w:r w:rsidRPr="0038045B">
        <w:rPr>
          <w:b/>
          <w:bCs/>
          <w:i/>
          <w:iCs/>
          <w:sz w:val="22"/>
          <w:szCs w:val="22"/>
          <w:lang w:eastAsia="en-US"/>
        </w:rPr>
        <w:t>Thailand</w:t>
      </w:r>
    </w:p>
    <w:p w14:paraId="76B42A41" w14:textId="77777777" w:rsidR="008A3B67" w:rsidRPr="0038045B" w:rsidRDefault="008A3B67" w:rsidP="008A3B67">
      <w:pPr>
        <w:autoSpaceDE w:val="0"/>
        <w:autoSpaceDN w:val="0"/>
        <w:adjustRightInd w:val="0"/>
        <w:rPr>
          <w:sz w:val="22"/>
          <w:szCs w:val="22"/>
          <w:lang w:eastAsia="en-US"/>
        </w:rPr>
      </w:pPr>
      <w:r w:rsidRPr="0038045B">
        <w:rPr>
          <w:sz w:val="22"/>
          <w:szCs w:val="22"/>
          <w:lang w:eastAsia="en-US"/>
        </w:rPr>
        <w:t>In 2013, the Ministry of Finance finalized a National Financial Inclusion Strategy and submitted it for cabinet</w:t>
      </w:r>
      <w:r w:rsidR="001E5CE7" w:rsidRPr="0038045B">
        <w:rPr>
          <w:sz w:val="22"/>
          <w:szCs w:val="22"/>
          <w:lang w:eastAsia="en-US"/>
        </w:rPr>
        <w:t xml:space="preserve"> </w:t>
      </w:r>
      <w:r w:rsidRPr="0038045B">
        <w:rPr>
          <w:sz w:val="22"/>
          <w:szCs w:val="22"/>
          <w:lang w:eastAsia="en-US"/>
        </w:rPr>
        <w:t>approval.</w:t>
      </w:r>
    </w:p>
    <w:p w14:paraId="78C60834" w14:textId="77777777" w:rsidR="001E5CE7" w:rsidRPr="0038045B" w:rsidRDefault="001E5CE7" w:rsidP="008A3B67">
      <w:pPr>
        <w:autoSpaceDE w:val="0"/>
        <w:autoSpaceDN w:val="0"/>
        <w:adjustRightInd w:val="0"/>
        <w:rPr>
          <w:b/>
          <w:bCs/>
          <w:i/>
          <w:iCs/>
          <w:sz w:val="22"/>
          <w:szCs w:val="22"/>
          <w:lang w:eastAsia="en-US"/>
        </w:rPr>
      </w:pPr>
    </w:p>
    <w:p w14:paraId="6035B830" w14:textId="77777777" w:rsidR="001E5CE7" w:rsidRPr="0038045B" w:rsidRDefault="008A3B67" w:rsidP="008A3B67">
      <w:pPr>
        <w:autoSpaceDE w:val="0"/>
        <w:autoSpaceDN w:val="0"/>
        <w:adjustRightInd w:val="0"/>
        <w:rPr>
          <w:b/>
          <w:bCs/>
          <w:i/>
          <w:iCs/>
          <w:sz w:val="22"/>
          <w:szCs w:val="22"/>
          <w:lang w:eastAsia="en-US"/>
        </w:rPr>
      </w:pPr>
      <w:r w:rsidRPr="0038045B">
        <w:rPr>
          <w:b/>
          <w:bCs/>
          <w:i/>
          <w:iCs/>
          <w:sz w:val="22"/>
          <w:szCs w:val="22"/>
          <w:lang w:eastAsia="en-US"/>
        </w:rPr>
        <w:t>Turkey</w:t>
      </w:r>
    </w:p>
    <w:p w14:paraId="07E7E8AD" w14:textId="77777777" w:rsidR="008A3B67" w:rsidRPr="0038045B" w:rsidRDefault="008A3B67" w:rsidP="008A3B67">
      <w:pPr>
        <w:autoSpaceDE w:val="0"/>
        <w:autoSpaceDN w:val="0"/>
        <w:adjustRightInd w:val="0"/>
        <w:rPr>
          <w:sz w:val="22"/>
          <w:szCs w:val="22"/>
          <w:lang w:eastAsia="en-US"/>
        </w:rPr>
      </w:pPr>
      <w:r w:rsidRPr="0038045B">
        <w:rPr>
          <w:sz w:val="22"/>
          <w:szCs w:val="22"/>
          <w:lang w:eastAsia="en-US"/>
        </w:rPr>
        <w:t>The Undersecretariat of Treasury leads the overarching financial inclusion strategy in Turkey.</w:t>
      </w:r>
    </w:p>
    <w:p w14:paraId="66D5E327" w14:textId="77777777" w:rsidR="001E5CE7" w:rsidRPr="0038045B" w:rsidRDefault="001E5CE7" w:rsidP="008A3B67">
      <w:pPr>
        <w:autoSpaceDE w:val="0"/>
        <w:autoSpaceDN w:val="0"/>
        <w:adjustRightInd w:val="0"/>
        <w:rPr>
          <w:b/>
          <w:bCs/>
          <w:i/>
          <w:iCs/>
          <w:sz w:val="22"/>
          <w:szCs w:val="22"/>
          <w:lang w:eastAsia="en-US"/>
        </w:rPr>
      </w:pPr>
    </w:p>
    <w:p w14:paraId="367832C0" w14:textId="77777777" w:rsidR="008A3B67" w:rsidRPr="0038045B" w:rsidRDefault="008A3B67" w:rsidP="008A3B67">
      <w:pPr>
        <w:autoSpaceDE w:val="0"/>
        <w:autoSpaceDN w:val="0"/>
        <w:adjustRightInd w:val="0"/>
        <w:rPr>
          <w:b/>
          <w:bCs/>
          <w:i/>
          <w:iCs/>
          <w:sz w:val="22"/>
          <w:szCs w:val="22"/>
          <w:lang w:eastAsia="en-US"/>
        </w:rPr>
      </w:pPr>
      <w:r w:rsidRPr="0038045B">
        <w:rPr>
          <w:b/>
          <w:bCs/>
          <w:i/>
          <w:iCs/>
          <w:sz w:val="22"/>
          <w:szCs w:val="22"/>
          <w:lang w:eastAsia="en-US"/>
        </w:rPr>
        <w:t>United</w:t>
      </w:r>
      <w:r w:rsidR="001E5CE7" w:rsidRPr="0038045B">
        <w:rPr>
          <w:b/>
          <w:bCs/>
          <w:i/>
          <w:iCs/>
          <w:sz w:val="22"/>
          <w:szCs w:val="22"/>
          <w:lang w:eastAsia="en-US"/>
        </w:rPr>
        <w:t xml:space="preserve"> </w:t>
      </w:r>
      <w:r w:rsidRPr="0038045B">
        <w:rPr>
          <w:b/>
          <w:bCs/>
          <w:i/>
          <w:iCs/>
          <w:sz w:val="22"/>
          <w:szCs w:val="22"/>
          <w:lang w:eastAsia="en-US"/>
        </w:rPr>
        <w:t>Kingdom</w:t>
      </w:r>
    </w:p>
    <w:p w14:paraId="3C3FB296" w14:textId="77777777" w:rsidR="008A3B67" w:rsidRPr="0038045B" w:rsidRDefault="008A3B67" w:rsidP="001E5CE7">
      <w:pPr>
        <w:autoSpaceDE w:val="0"/>
        <w:autoSpaceDN w:val="0"/>
        <w:adjustRightInd w:val="0"/>
        <w:rPr>
          <w:sz w:val="22"/>
          <w:szCs w:val="22"/>
          <w:lang w:eastAsia="en-US"/>
        </w:rPr>
      </w:pPr>
      <w:r w:rsidRPr="0038045B">
        <w:rPr>
          <w:sz w:val="22"/>
          <w:szCs w:val="22"/>
          <w:lang w:eastAsia="en-US"/>
        </w:rPr>
        <w:t>The Financial Inclusion Taskforce was an independent and volunteer-based body that advised HM Treasury</w:t>
      </w:r>
      <w:r w:rsidR="001E5CE7" w:rsidRPr="0038045B">
        <w:rPr>
          <w:sz w:val="22"/>
          <w:szCs w:val="22"/>
          <w:lang w:eastAsia="en-US"/>
        </w:rPr>
        <w:t xml:space="preserve"> </w:t>
      </w:r>
      <w:r w:rsidRPr="0038045B">
        <w:rPr>
          <w:sz w:val="22"/>
          <w:szCs w:val="22"/>
          <w:lang w:eastAsia="en-US"/>
        </w:rPr>
        <w:t>on financial inclusion. The Taskforce concluded its work in March 2011 with final recommendations to the</w:t>
      </w:r>
      <w:r w:rsidR="001E5CE7" w:rsidRPr="0038045B">
        <w:rPr>
          <w:sz w:val="22"/>
          <w:szCs w:val="22"/>
          <w:lang w:eastAsia="en-US"/>
        </w:rPr>
        <w:t xml:space="preserve"> </w:t>
      </w:r>
      <w:r w:rsidRPr="0038045B">
        <w:rPr>
          <w:sz w:val="22"/>
          <w:szCs w:val="22"/>
          <w:lang w:eastAsia="en-US"/>
        </w:rPr>
        <w:t>government and the private sector.</w:t>
      </w:r>
    </w:p>
    <w:p w14:paraId="72B2FF3A" w14:textId="77777777" w:rsidR="00CB4418" w:rsidRPr="0038045B" w:rsidRDefault="00CB4418" w:rsidP="001E5CE7">
      <w:pPr>
        <w:autoSpaceDE w:val="0"/>
        <w:autoSpaceDN w:val="0"/>
        <w:adjustRightInd w:val="0"/>
        <w:rPr>
          <w:sz w:val="22"/>
          <w:szCs w:val="22"/>
          <w:lang w:eastAsia="en-US"/>
        </w:rPr>
      </w:pPr>
    </w:p>
    <w:p w14:paraId="57F652FF" w14:textId="77777777" w:rsidR="00CB4418" w:rsidRPr="0038045B" w:rsidRDefault="00CB4418" w:rsidP="00396610">
      <w:pPr>
        <w:pStyle w:val="Heading1"/>
        <w:pageBreakBefore/>
        <w:numPr>
          <w:ilvl w:val="0"/>
          <w:numId w:val="0"/>
        </w:numPr>
        <w:spacing w:before="120" w:after="480"/>
        <w:jc w:val="center"/>
      </w:pPr>
      <w:bookmarkStart w:id="107" w:name="_Toc476239742"/>
      <w:r w:rsidRPr="0038045B">
        <w:lastRenderedPageBreak/>
        <w:t xml:space="preserve">Annex </w:t>
      </w:r>
      <w:r w:rsidR="001B53D4" w:rsidRPr="0038045B">
        <w:t>3</w:t>
      </w:r>
      <w:r w:rsidRPr="0038045B">
        <w:t>: P</w:t>
      </w:r>
      <w:r w:rsidR="00B677D0" w:rsidRPr="0038045B">
        <w:t xml:space="preserve">otential </w:t>
      </w:r>
      <w:r w:rsidRPr="0038045B">
        <w:t xml:space="preserve">Composition </w:t>
      </w:r>
      <w:r w:rsidR="00B677D0" w:rsidRPr="0038045B">
        <w:t>of a</w:t>
      </w:r>
      <w:r w:rsidRPr="0038045B">
        <w:t xml:space="preserve"> Financial Inclusion Forum</w:t>
      </w:r>
      <w:bookmarkEnd w:id="107"/>
    </w:p>
    <w:p w14:paraId="1FDAF574" w14:textId="77777777" w:rsidR="00CB4418" w:rsidRPr="0038045B" w:rsidRDefault="00396610" w:rsidP="00396610">
      <w:pPr>
        <w:spacing w:after="120"/>
        <w:jc w:val="both"/>
        <w:rPr>
          <w:sz w:val="22"/>
          <w:szCs w:val="22"/>
        </w:rPr>
      </w:pPr>
      <w:r w:rsidRPr="0038045B">
        <w:rPr>
          <w:sz w:val="22"/>
          <w:szCs w:val="22"/>
        </w:rPr>
        <w:t>This annex describes the e</w:t>
      </w:r>
      <w:r w:rsidR="00B677D0" w:rsidRPr="0038045B">
        <w:rPr>
          <w:sz w:val="22"/>
          <w:szCs w:val="22"/>
        </w:rPr>
        <w:t xml:space="preserve">xample </w:t>
      </w:r>
      <w:r w:rsidRPr="0038045B">
        <w:rPr>
          <w:sz w:val="22"/>
          <w:szCs w:val="22"/>
        </w:rPr>
        <w:t xml:space="preserve">of </w:t>
      </w:r>
      <w:r w:rsidR="00B677D0" w:rsidRPr="0038045B">
        <w:rPr>
          <w:sz w:val="22"/>
          <w:szCs w:val="22"/>
        </w:rPr>
        <w:t>South Africa’s Financial Inclusion Forum</w:t>
      </w:r>
      <w:r w:rsidRPr="0038045B">
        <w:rPr>
          <w:sz w:val="22"/>
          <w:szCs w:val="22"/>
        </w:rPr>
        <w:t xml:space="preserve">, and is intended </w:t>
      </w:r>
      <w:r w:rsidRPr="0038045B">
        <w:rPr>
          <w:i/>
          <w:sz w:val="22"/>
          <w:szCs w:val="22"/>
        </w:rPr>
        <w:t>for illustrative purposes only.</w:t>
      </w:r>
      <w:r w:rsidRPr="0038045B">
        <w:rPr>
          <w:sz w:val="22"/>
          <w:szCs w:val="22"/>
        </w:rPr>
        <w:t xml:space="preserve"> </w:t>
      </w:r>
    </w:p>
    <w:p w14:paraId="2E071D70" w14:textId="77777777" w:rsidR="00CB4418" w:rsidRPr="0038045B" w:rsidRDefault="00396610" w:rsidP="00396610">
      <w:pPr>
        <w:spacing w:after="120"/>
        <w:jc w:val="both"/>
        <w:rPr>
          <w:sz w:val="22"/>
          <w:szCs w:val="22"/>
        </w:rPr>
      </w:pPr>
      <w:r w:rsidRPr="0038045B">
        <w:rPr>
          <w:sz w:val="22"/>
          <w:szCs w:val="22"/>
        </w:rPr>
        <w:t>“</w:t>
      </w:r>
      <w:r w:rsidR="00CB4418" w:rsidRPr="0038045B">
        <w:rPr>
          <w:sz w:val="22"/>
          <w:szCs w:val="22"/>
        </w:rPr>
        <w:t>In order to optimally co-ordinate and maximi</w:t>
      </w:r>
      <w:r w:rsidRPr="0038045B">
        <w:rPr>
          <w:sz w:val="22"/>
          <w:szCs w:val="22"/>
        </w:rPr>
        <w:t>z</w:t>
      </w:r>
      <w:r w:rsidR="00CB4418" w:rsidRPr="0038045B">
        <w:rPr>
          <w:sz w:val="22"/>
          <w:szCs w:val="22"/>
        </w:rPr>
        <w:t>e cross-departmental and cross-sectorial acceptance of financial inclusion policies and initiatives, it is proposed that:</w:t>
      </w:r>
    </w:p>
    <w:p w14:paraId="6201114D" w14:textId="77777777" w:rsidR="00CB4418" w:rsidRPr="0038045B" w:rsidRDefault="00CB4418" w:rsidP="00396610">
      <w:pPr>
        <w:pStyle w:val="ListParagraph"/>
        <w:numPr>
          <w:ilvl w:val="0"/>
          <w:numId w:val="12"/>
        </w:numPr>
        <w:spacing w:after="120"/>
        <w:ind w:left="270" w:hanging="270"/>
        <w:jc w:val="both"/>
        <w:rPr>
          <w:sz w:val="22"/>
          <w:szCs w:val="22"/>
        </w:rPr>
      </w:pPr>
      <w:r w:rsidRPr="0038045B">
        <w:rPr>
          <w:sz w:val="22"/>
          <w:szCs w:val="22"/>
        </w:rPr>
        <w:t xml:space="preserve">The South African Financial Inclusion Forum is established, preferably as part of the Financial Regulations legal regime and with the Minister of Finance as the executive head. </w:t>
      </w:r>
    </w:p>
    <w:p w14:paraId="5E0198FA" w14:textId="77777777" w:rsidR="00CB4418" w:rsidRPr="0038045B" w:rsidRDefault="00CB4418" w:rsidP="00C80F30">
      <w:pPr>
        <w:pStyle w:val="ListParagraph"/>
        <w:numPr>
          <w:ilvl w:val="0"/>
          <w:numId w:val="12"/>
        </w:numPr>
        <w:spacing w:after="200" w:line="276" w:lineRule="auto"/>
        <w:ind w:left="270" w:hanging="270"/>
        <w:contextualSpacing/>
        <w:jc w:val="both"/>
        <w:rPr>
          <w:sz w:val="22"/>
          <w:szCs w:val="22"/>
        </w:rPr>
      </w:pPr>
      <w:r w:rsidRPr="0038045B">
        <w:rPr>
          <w:sz w:val="22"/>
          <w:szCs w:val="22"/>
        </w:rPr>
        <w:t>The Forum should have, as permanent members</w:t>
      </w:r>
    </w:p>
    <w:p w14:paraId="7E569F22" w14:textId="77777777" w:rsidR="00CB4418" w:rsidRPr="0038045B" w:rsidRDefault="00CB4418" w:rsidP="00C80F30">
      <w:pPr>
        <w:pStyle w:val="ListParagraph"/>
        <w:numPr>
          <w:ilvl w:val="1"/>
          <w:numId w:val="12"/>
        </w:numPr>
        <w:spacing w:after="200" w:line="276" w:lineRule="auto"/>
        <w:contextualSpacing/>
        <w:jc w:val="both"/>
        <w:rPr>
          <w:sz w:val="22"/>
          <w:szCs w:val="22"/>
        </w:rPr>
      </w:pPr>
      <w:r w:rsidRPr="0038045B">
        <w:rPr>
          <w:sz w:val="22"/>
          <w:szCs w:val="22"/>
        </w:rPr>
        <w:t>National Treasury (as the policymaker and secretariat)</w:t>
      </w:r>
    </w:p>
    <w:p w14:paraId="5C23E644" w14:textId="77777777" w:rsidR="00CB4418" w:rsidRPr="0038045B" w:rsidRDefault="00CB4418" w:rsidP="00C80F30">
      <w:pPr>
        <w:pStyle w:val="ListParagraph"/>
        <w:numPr>
          <w:ilvl w:val="1"/>
          <w:numId w:val="12"/>
        </w:numPr>
        <w:spacing w:after="200" w:line="276" w:lineRule="auto"/>
        <w:contextualSpacing/>
        <w:jc w:val="both"/>
        <w:rPr>
          <w:sz w:val="22"/>
          <w:szCs w:val="22"/>
        </w:rPr>
      </w:pPr>
      <w:r w:rsidRPr="0038045B">
        <w:rPr>
          <w:sz w:val="22"/>
          <w:szCs w:val="22"/>
        </w:rPr>
        <w:t xml:space="preserve">The Prudential Authority, the Financial Services Conduct Authority, the National Credit Regulator and the Co-operative Banks Development Agency as regulators. </w:t>
      </w:r>
    </w:p>
    <w:p w14:paraId="6845B5E9" w14:textId="77777777" w:rsidR="00CB4418" w:rsidRPr="0038045B" w:rsidRDefault="00CB4418" w:rsidP="00C80F30">
      <w:pPr>
        <w:pStyle w:val="ListParagraph"/>
        <w:numPr>
          <w:ilvl w:val="1"/>
          <w:numId w:val="12"/>
        </w:numPr>
        <w:spacing w:after="200" w:line="276" w:lineRule="auto"/>
        <w:contextualSpacing/>
        <w:jc w:val="both"/>
        <w:rPr>
          <w:sz w:val="22"/>
          <w:szCs w:val="22"/>
        </w:rPr>
      </w:pPr>
      <w:r w:rsidRPr="0038045B">
        <w:rPr>
          <w:sz w:val="22"/>
          <w:szCs w:val="22"/>
        </w:rPr>
        <w:t>The Small Enterprise Development Department, the Economic Development Department, the data and the Department of Social Development.</w:t>
      </w:r>
    </w:p>
    <w:p w14:paraId="5560AB79" w14:textId="77777777" w:rsidR="00CB4418" w:rsidRPr="0038045B" w:rsidRDefault="00CB4418" w:rsidP="00C80F30">
      <w:pPr>
        <w:pStyle w:val="ListParagraph"/>
        <w:numPr>
          <w:ilvl w:val="1"/>
          <w:numId w:val="12"/>
        </w:numPr>
        <w:spacing w:after="200" w:line="276" w:lineRule="auto"/>
        <w:contextualSpacing/>
        <w:jc w:val="both"/>
        <w:rPr>
          <w:sz w:val="22"/>
          <w:szCs w:val="22"/>
        </w:rPr>
      </w:pPr>
      <w:r w:rsidRPr="0038045B">
        <w:rPr>
          <w:sz w:val="22"/>
          <w:szCs w:val="22"/>
        </w:rPr>
        <w:t>Financial service industry representative (BASA, SAIA, ASISA and others)</w:t>
      </w:r>
    </w:p>
    <w:p w14:paraId="789F1626" w14:textId="77777777" w:rsidR="00CB4418" w:rsidRPr="0038045B" w:rsidRDefault="00CB4418" w:rsidP="00C80F30">
      <w:pPr>
        <w:pStyle w:val="ListParagraph"/>
        <w:numPr>
          <w:ilvl w:val="1"/>
          <w:numId w:val="12"/>
        </w:numPr>
        <w:spacing w:after="200" w:line="276" w:lineRule="auto"/>
        <w:contextualSpacing/>
        <w:jc w:val="both"/>
        <w:rPr>
          <w:sz w:val="22"/>
          <w:szCs w:val="22"/>
        </w:rPr>
      </w:pPr>
      <w:r w:rsidRPr="0038045B">
        <w:rPr>
          <w:sz w:val="22"/>
          <w:szCs w:val="22"/>
        </w:rPr>
        <w:t>Payments Association of South Africa (as there is substantial reliance on the national payments network to sustainably advance financial inclusion).</w:t>
      </w:r>
    </w:p>
    <w:p w14:paraId="0A219DCE" w14:textId="77777777" w:rsidR="00CB4418" w:rsidRPr="0038045B" w:rsidRDefault="00CB4418" w:rsidP="00C80F30">
      <w:pPr>
        <w:pStyle w:val="ListParagraph"/>
        <w:numPr>
          <w:ilvl w:val="1"/>
          <w:numId w:val="12"/>
        </w:numPr>
        <w:spacing w:after="200" w:line="276" w:lineRule="auto"/>
        <w:contextualSpacing/>
        <w:jc w:val="both"/>
        <w:rPr>
          <w:sz w:val="22"/>
          <w:szCs w:val="22"/>
        </w:rPr>
      </w:pPr>
      <w:r w:rsidRPr="0038045B">
        <w:rPr>
          <w:sz w:val="22"/>
          <w:szCs w:val="22"/>
        </w:rPr>
        <w:t>Agencies representing civil society and other relevant interests</w:t>
      </w:r>
    </w:p>
    <w:p w14:paraId="46AF8DD3" w14:textId="77777777" w:rsidR="00CB4418" w:rsidRPr="0038045B" w:rsidRDefault="00CB4418" w:rsidP="00C80F30">
      <w:pPr>
        <w:pStyle w:val="ListParagraph"/>
        <w:numPr>
          <w:ilvl w:val="1"/>
          <w:numId w:val="12"/>
        </w:numPr>
        <w:spacing w:after="200" w:line="276" w:lineRule="auto"/>
        <w:contextualSpacing/>
        <w:jc w:val="both"/>
        <w:rPr>
          <w:sz w:val="22"/>
          <w:szCs w:val="22"/>
        </w:rPr>
      </w:pPr>
      <w:r w:rsidRPr="0038045B">
        <w:rPr>
          <w:sz w:val="22"/>
          <w:szCs w:val="22"/>
        </w:rPr>
        <w:t>Independent financial inclusion experts</w:t>
      </w:r>
    </w:p>
    <w:p w14:paraId="57E0B503" w14:textId="77777777" w:rsidR="00CB4418" w:rsidRPr="0038045B" w:rsidRDefault="00CB4418" w:rsidP="00396610">
      <w:pPr>
        <w:pStyle w:val="ListParagraph"/>
        <w:numPr>
          <w:ilvl w:val="0"/>
          <w:numId w:val="12"/>
        </w:numPr>
        <w:spacing w:after="240"/>
        <w:ind w:left="274" w:hanging="274"/>
        <w:jc w:val="both"/>
        <w:rPr>
          <w:sz w:val="22"/>
          <w:szCs w:val="22"/>
        </w:rPr>
      </w:pPr>
      <w:r w:rsidRPr="0038045B">
        <w:rPr>
          <w:sz w:val="22"/>
          <w:szCs w:val="22"/>
        </w:rPr>
        <w:t>Consumer representative organisations, small enterprise representative organisations, state owned enterprises involved in the provision of financial services (Post Office/Postbank, SEFA and others) and payment service providers could either be part of FIP or co-opted as required. A direct link with the FSC will have to be part of the structure of the FIP.</w:t>
      </w:r>
    </w:p>
    <w:p w14:paraId="628D1A5D" w14:textId="77777777" w:rsidR="00CB4418" w:rsidRPr="0038045B" w:rsidRDefault="00CB4418" w:rsidP="00396610">
      <w:pPr>
        <w:spacing w:before="240" w:after="120"/>
        <w:jc w:val="both"/>
        <w:rPr>
          <w:sz w:val="22"/>
          <w:szCs w:val="22"/>
        </w:rPr>
      </w:pPr>
      <w:r w:rsidRPr="0038045B">
        <w:rPr>
          <w:sz w:val="22"/>
          <w:szCs w:val="22"/>
        </w:rPr>
        <w:t>The responsibilities of the Forum will primarily be:</w:t>
      </w:r>
    </w:p>
    <w:p w14:paraId="5A395FAA" w14:textId="77777777" w:rsidR="00CB4418" w:rsidRPr="0038045B" w:rsidRDefault="00CB4418" w:rsidP="00396610">
      <w:pPr>
        <w:pStyle w:val="ListParagraph"/>
        <w:numPr>
          <w:ilvl w:val="0"/>
          <w:numId w:val="12"/>
        </w:numPr>
        <w:spacing w:after="120"/>
        <w:ind w:left="274" w:hanging="274"/>
        <w:jc w:val="both"/>
        <w:rPr>
          <w:sz w:val="22"/>
          <w:szCs w:val="22"/>
        </w:rPr>
      </w:pPr>
      <w:r w:rsidRPr="0038045B">
        <w:rPr>
          <w:sz w:val="22"/>
          <w:szCs w:val="22"/>
        </w:rPr>
        <w:t>Overall co-ordination of the financial inclusion strategy in South Africa</w:t>
      </w:r>
    </w:p>
    <w:p w14:paraId="6617DC97" w14:textId="77777777" w:rsidR="00CB4418" w:rsidRPr="0038045B" w:rsidRDefault="00CB4418" w:rsidP="00396610">
      <w:pPr>
        <w:pStyle w:val="ListParagraph"/>
        <w:numPr>
          <w:ilvl w:val="0"/>
          <w:numId w:val="12"/>
        </w:numPr>
        <w:spacing w:after="120"/>
        <w:ind w:left="274" w:hanging="274"/>
        <w:jc w:val="both"/>
        <w:rPr>
          <w:sz w:val="22"/>
          <w:szCs w:val="22"/>
        </w:rPr>
      </w:pPr>
      <w:r w:rsidRPr="0038045B">
        <w:rPr>
          <w:sz w:val="22"/>
          <w:szCs w:val="22"/>
        </w:rPr>
        <w:t xml:space="preserve">Ensuring implementation of the strategy and monitoring of results and the effect on economic development </w:t>
      </w:r>
    </w:p>
    <w:p w14:paraId="3C7672E9" w14:textId="77777777" w:rsidR="00CB4418" w:rsidRPr="0038045B" w:rsidRDefault="00CB4418" w:rsidP="00396610">
      <w:pPr>
        <w:pStyle w:val="ListParagraph"/>
        <w:numPr>
          <w:ilvl w:val="0"/>
          <w:numId w:val="12"/>
        </w:numPr>
        <w:spacing w:after="120"/>
        <w:ind w:left="274" w:hanging="274"/>
        <w:jc w:val="both"/>
        <w:rPr>
          <w:sz w:val="22"/>
          <w:szCs w:val="22"/>
        </w:rPr>
      </w:pPr>
      <w:r w:rsidRPr="0038045B">
        <w:rPr>
          <w:sz w:val="22"/>
          <w:szCs w:val="22"/>
        </w:rPr>
        <w:t>Ensuring responsible and sustainable management of the linkages between inclusion, stability, integrity and market protection</w:t>
      </w:r>
    </w:p>
    <w:p w14:paraId="27231742" w14:textId="77777777" w:rsidR="00CB4418" w:rsidRPr="0038045B" w:rsidRDefault="00CB4418" w:rsidP="00396610">
      <w:pPr>
        <w:pStyle w:val="ListParagraph"/>
        <w:numPr>
          <w:ilvl w:val="0"/>
          <w:numId w:val="12"/>
        </w:numPr>
        <w:spacing w:after="120"/>
        <w:ind w:left="274" w:hanging="274"/>
        <w:jc w:val="both"/>
        <w:rPr>
          <w:sz w:val="22"/>
          <w:szCs w:val="22"/>
        </w:rPr>
      </w:pPr>
      <w:r w:rsidRPr="0038045B">
        <w:rPr>
          <w:sz w:val="22"/>
          <w:szCs w:val="22"/>
        </w:rPr>
        <w:t>Ensuring supportive approaches between the all regulators and other stakeholders in respect of financial inclusion</w:t>
      </w:r>
    </w:p>
    <w:p w14:paraId="084004D0" w14:textId="77777777" w:rsidR="00CB4418" w:rsidRPr="0038045B" w:rsidRDefault="00CB4418" w:rsidP="00396610">
      <w:pPr>
        <w:pStyle w:val="ListParagraph"/>
        <w:numPr>
          <w:ilvl w:val="0"/>
          <w:numId w:val="12"/>
        </w:numPr>
        <w:spacing w:after="120"/>
        <w:ind w:left="274" w:hanging="274"/>
        <w:jc w:val="both"/>
        <w:rPr>
          <w:sz w:val="22"/>
          <w:szCs w:val="22"/>
        </w:rPr>
      </w:pPr>
      <w:r w:rsidRPr="0038045B">
        <w:rPr>
          <w:sz w:val="22"/>
          <w:szCs w:val="22"/>
        </w:rPr>
        <w:t xml:space="preserve">Coordinating interactions with other state agencies, regional bodies and international bodies engaged in the promotion of financial inclusion.   </w:t>
      </w:r>
    </w:p>
    <w:p w14:paraId="1B055E21" w14:textId="77777777" w:rsidR="00CB4418" w:rsidRPr="0038045B" w:rsidRDefault="00CB4418" w:rsidP="00396610">
      <w:pPr>
        <w:pStyle w:val="ListParagraph"/>
        <w:numPr>
          <w:ilvl w:val="0"/>
          <w:numId w:val="12"/>
        </w:numPr>
        <w:spacing w:after="120"/>
        <w:ind w:left="274" w:hanging="274"/>
        <w:jc w:val="both"/>
        <w:rPr>
          <w:sz w:val="22"/>
          <w:szCs w:val="22"/>
        </w:rPr>
      </w:pPr>
      <w:r w:rsidRPr="0038045B">
        <w:rPr>
          <w:sz w:val="22"/>
          <w:szCs w:val="22"/>
        </w:rPr>
        <w:t>The measurement and monitoring of all aspects of financial inclusion, including the assessment of the socio-economic impact of financial inclusion.</w:t>
      </w:r>
    </w:p>
    <w:p w14:paraId="37F8E52A" w14:textId="77777777" w:rsidR="00CB4418" w:rsidRPr="0038045B" w:rsidRDefault="00CB4418" w:rsidP="00396610">
      <w:pPr>
        <w:pStyle w:val="ListParagraph"/>
        <w:numPr>
          <w:ilvl w:val="0"/>
          <w:numId w:val="12"/>
        </w:numPr>
        <w:spacing w:after="120"/>
        <w:ind w:left="274" w:hanging="274"/>
        <w:jc w:val="both"/>
        <w:rPr>
          <w:sz w:val="22"/>
          <w:szCs w:val="22"/>
        </w:rPr>
      </w:pPr>
      <w:r w:rsidRPr="0038045B">
        <w:rPr>
          <w:sz w:val="22"/>
          <w:szCs w:val="22"/>
        </w:rPr>
        <w:t>Since the co-ordination of development efforts in the small enterprise world is crucial to maximi</w:t>
      </w:r>
      <w:r w:rsidR="00396610" w:rsidRPr="0038045B">
        <w:rPr>
          <w:sz w:val="22"/>
          <w:szCs w:val="22"/>
        </w:rPr>
        <w:t>z</w:t>
      </w:r>
      <w:r w:rsidRPr="0038045B">
        <w:rPr>
          <w:sz w:val="22"/>
          <w:szCs w:val="22"/>
        </w:rPr>
        <w:t>e impact, the Forum should ensure that adequate structures are in place to achieve such impact.</w:t>
      </w:r>
      <w:r w:rsidR="00396610" w:rsidRPr="0038045B">
        <w:rPr>
          <w:sz w:val="22"/>
          <w:szCs w:val="22"/>
        </w:rPr>
        <w:t>”</w:t>
      </w:r>
    </w:p>
    <w:p w14:paraId="627C598B" w14:textId="77777777" w:rsidR="00700811" w:rsidRPr="0038045B" w:rsidRDefault="00700811">
      <w:pPr>
        <w:rPr>
          <w:sz w:val="21"/>
          <w:szCs w:val="21"/>
        </w:rPr>
      </w:pPr>
      <w:r w:rsidRPr="0038045B">
        <w:rPr>
          <w:sz w:val="21"/>
          <w:szCs w:val="21"/>
        </w:rPr>
        <w:br w:type="page"/>
      </w:r>
    </w:p>
    <w:p w14:paraId="578408CE" w14:textId="77777777" w:rsidR="00700811" w:rsidRPr="0038045B" w:rsidRDefault="00700811" w:rsidP="00700811">
      <w:pPr>
        <w:pStyle w:val="Heading1"/>
        <w:pageBreakBefore/>
        <w:numPr>
          <w:ilvl w:val="0"/>
          <w:numId w:val="0"/>
        </w:numPr>
        <w:spacing w:before="120" w:after="240"/>
        <w:jc w:val="center"/>
      </w:pPr>
      <w:bookmarkStart w:id="108" w:name="_Toc476239743"/>
      <w:r w:rsidRPr="0038045B">
        <w:lastRenderedPageBreak/>
        <w:t>Annex 4: Key outcomes from a PAFI survey of basic accounts in selected countries</w:t>
      </w:r>
      <w:bookmarkEnd w:id="108"/>
    </w:p>
    <w:p w14:paraId="7F52A278" w14:textId="77777777" w:rsidR="00700811" w:rsidRPr="0038045B" w:rsidRDefault="00700811" w:rsidP="007B0D73">
      <w:pPr>
        <w:spacing w:after="240"/>
        <w:jc w:val="both"/>
        <w:rPr>
          <w:sz w:val="22"/>
          <w:szCs w:val="22"/>
        </w:rPr>
      </w:pPr>
      <w:r w:rsidRPr="0038045B">
        <w:rPr>
          <w:sz w:val="22"/>
          <w:szCs w:val="22"/>
        </w:rPr>
        <w:t>As part of its analytical work, the PAFI Task Force obtained information among its members on basic accounts in their jurisdictions (some members also provided information from other jurisdictions in their region).</w:t>
      </w:r>
      <w:r w:rsidRPr="0038045B">
        <w:rPr>
          <w:rStyle w:val="FootnoteReference"/>
          <w:sz w:val="22"/>
          <w:szCs w:val="22"/>
        </w:rPr>
        <w:footnoteReference w:id="86"/>
      </w:r>
      <w:r w:rsidRPr="0038045B">
        <w:rPr>
          <w:sz w:val="22"/>
          <w:szCs w:val="22"/>
        </w:rPr>
        <w:t xml:space="preserve"> This annex reproduces Box 3 of the PAFI report, which summarizes the key observations from the information collection.</w:t>
      </w:r>
      <w:r w:rsidR="007B0D73" w:rsidRPr="0038045B">
        <w:rPr>
          <w:rStyle w:val="FootnoteReference"/>
          <w:sz w:val="22"/>
          <w:szCs w:val="22"/>
        </w:rPr>
        <w:footnoteReference w:id="87"/>
      </w:r>
    </w:p>
    <w:p w14:paraId="202FDB6B" w14:textId="77777777" w:rsidR="00700811" w:rsidRPr="0038045B" w:rsidRDefault="00700811" w:rsidP="007B0D73">
      <w:pPr>
        <w:spacing w:after="240"/>
        <w:jc w:val="both"/>
        <w:rPr>
          <w:sz w:val="22"/>
          <w:szCs w:val="22"/>
        </w:rPr>
      </w:pPr>
      <w:r w:rsidRPr="0038045B">
        <w:rPr>
          <w:sz w:val="22"/>
          <w:szCs w:val="22"/>
        </w:rPr>
        <w:t>In general terms, the various countries recognize the importance of basic accounts as part of their overall financial inclusion strategy: almost all countries that provided information indicated that a form of a basic account was offered in their jurisdiction. For a majority of respondents, basic accounts were being offered via deposit-taking institutions (including banks), although in some cases authorized agents, post offices and selected retailers were also involved in the provision of basic accounts.</w:t>
      </w:r>
    </w:p>
    <w:p w14:paraId="67015B3B" w14:textId="77777777" w:rsidR="00700811" w:rsidRPr="0038045B" w:rsidRDefault="00700811" w:rsidP="007B0D73">
      <w:pPr>
        <w:spacing w:after="240"/>
        <w:jc w:val="both"/>
        <w:rPr>
          <w:sz w:val="22"/>
          <w:szCs w:val="22"/>
        </w:rPr>
      </w:pPr>
      <w:r w:rsidRPr="0038045B">
        <w:rPr>
          <w:sz w:val="22"/>
          <w:szCs w:val="22"/>
        </w:rPr>
        <w:t>Basic accounts that are offered without any associated fees often have a requirement for a minimum balance. In other countries, basic accounts do involve a fee, although that fee is invariably very low. In the latter case, these basic accounts do not tend to require the maintenance of a minimum balance.</w:t>
      </w:r>
    </w:p>
    <w:p w14:paraId="3A15CB96" w14:textId="77777777" w:rsidR="00700811" w:rsidRPr="0038045B" w:rsidRDefault="00700811" w:rsidP="007B0D73">
      <w:pPr>
        <w:spacing w:after="240"/>
        <w:jc w:val="both"/>
        <w:rPr>
          <w:sz w:val="22"/>
          <w:szCs w:val="22"/>
        </w:rPr>
      </w:pPr>
      <w:r w:rsidRPr="0038045B">
        <w:rPr>
          <w:sz w:val="22"/>
          <w:szCs w:val="22"/>
        </w:rPr>
        <w:t>The provision of basic accounts is reported to be a market-led initiative in the majority of countries. The countries in which providers were obliged by legal/regulatory requirements to offer basic accounts were the exception.</w:t>
      </w:r>
    </w:p>
    <w:p w14:paraId="71301B92" w14:textId="77777777" w:rsidR="00700811" w:rsidRPr="0038045B" w:rsidRDefault="00700811" w:rsidP="007B0D73">
      <w:pPr>
        <w:spacing w:after="120"/>
        <w:jc w:val="both"/>
        <w:rPr>
          <w:sz w:val="22"/>
          <w:szCs w:val="22"/>
        </w:rPr>
      </w:pPr>
      <w:r w:rsidRPr="0038045B">
        <w:rPr>
          <w:sz w:val="22"/>
          <w:szCs w:val="22"/>
        </w:rPr>
        <w:t>A number of regulatory and economic factors seem to potentially hinder further availability and use of basic accounts in some jurisdictions. These include:</w:t>
      </w:r>
    </w:p>
    <w:p w14:paraId="5D9EA753" w14:textId="77777777" w:rsidR="00700811" w:rsidRPr="0038045B" w:rsidRDefault="00700811" w:rsidP="001214CB">
      <w:pPr>
        <w:pStyle w:val="ListParagraph"/>
        <w:numPr>
          <w:ilvl w:val="2"/>
          <w:numId w:val="15"/>
        </w:numPr>
        <w:ind w:left="720"/>
        <w:jc w:val="both"/>
        <w:rPr>
          <w:sz w:val="22"/>
          <w:szCs w:val="22"/>
          <w:lang w:eastAsia="es-ES"/>
        </w:rPr>
      </w:pPr>
      <w:r w:rsidRPr="0038045B">
        <w:rPr>
          <w:sz w:val="22"/>
          <w:szCs w:val="22"/>
        </w:rPr>
        <w:t>the relatively high regulatory burden for account providers related to the requirements in connection with</w:t>
      </w:r>
      <w:r w:rsidR="007B0D73" w:rsidRPr="0038045B">
        <w:rPr>
          <w:sz w:val="22"/>
          <w:szCs w:val="22"/>
        </w:rPr>
        <w:t xml:space="preserve"> </w:t>
      </w:r>
      <w:r w:rsidRPr="0038045B">
        <w:rPr>
          <w:sz w:val="22"/>
          <w:szCs w:val="22"/>
          <w:lang w:eastAsia="es-ES"/>
        </w:rPr>
        <w:t>know-your-customer (KYC) and anti-money laundering (AML) policies;</w:t>
      </w:r>
    </w:p>
    <w:p w14:paraId="2A85FB96" w14:textId="77777777" w:rsidR="00700811" w:rsidRPr="0038045B" w:rsidRDefault="00700811" w:rsidP="001214CB">
      <w:pPr>
        <w:pStyle w:val="ListParagraph"/>
        <w:numPr>
          <w:ilvl w:val="2"/>
          <w:numId w:val="15"/>
        </w:numPr>
        <w:ind w:left="720"/>
        <w:jc w:val="both"/>
        <w:rPr>
          <w:sz w:val="22"/>
          <w:szCs w:val="22"/>
          <w:lang w:eastAsia="es-ES"/>
        </w:rPr>
      </w:pPr>
      <w:r w:rsidRPr="0038045B">
        <w:rPr>
          <w:sz w:val="22"/>
          <w:szCs w:val="22"/>
          <w:lang w:eastAsia="es-ES"/>
        </w:rPr>
        <w:t>thin profit margins for basic account providers. Some respondents noted that there is little economic</w:t>
      </w:r>
      <w:r w:rsidR="007B0D73" w:rsidRPr="0038045B">
        <w:rPr>
          <w:sz w:val="22"/>
          <w:szCs w:val="22"/>
          <w:lang w:eastAsia="es-ES"/>
        </w:rPr>
        <w:t xml:space="preserve"> </w:t>
      </w:r>
      <w:r w:rsidRPr="0038045B">
        <w:rPr>
          <w:sz w:val="22"/>
          <w:szCs w:val="22"/>
          <w:lang w:eastAsia="es-ES"/>
        </w:rPr>
        <w:t>incentive for private sector parties to provide these accounts; and</w:t>
      </w:r>
    </w:p>
    <w:p w14:paraId="71117A90" w14:textId="77777777" w:rsidR="00700811" w:rsidRPr="0038045B" w:rsidRDefault="00700811" w:rsidP="007B0D73">
      <w:pPr>
        <w:pStyle w:val="ListParagraph"/>
        <w:numPr>
          <w:ilvl w:val="2"/>
          <w:numId w:val="15"/>
        </w:numPr>
        <w:spacing w:after="240"/>
        <w:ind w:left="720"/>
        <w:jc w:val="both"/>
        <w:rPr>
          <w:sz w:val="22"/>
          <w:szCs w:val="22"/>
          <w:lang w:eastAsia="es-ES"/>
        </w:rPr>
      </w:pPr>
      <w:r w:rsidRPr="0038045B">
        <w:rPr>
          <w:sz w:val="22"/>
          <w:szCs w:val="22"/>
          <w:lang w:eastAsia="es-ES"/>
        </w:rPr>
        <w:t>limited scope for product cross-selling. Some respondents highlighted that, given the low balances in basic</w:t>
      </w:r>
      <w:r w:rsidR="007B0D73" w:rsidRPr="0038045B">
        <w:rPr>
          <w:sz w:val="22"/>
          <w:szCs w:val="22"/>
        </w:rPr>
        <w:t xml:space="preserve"> </w:t>
      </w:r>
      <w:r w:rsidRPr="0038045B">
        <w:rPr>
          <w:sz w:val="22"/>
          <w:szCs w:val="22"/>
          <w:lang w:eastAsia="es-ES"/>
        </w:rPr>
        <w:t>accounts and thin profit margins, there was not a lot of scope for offering (higher-profit-margin) additional products</w:t>
      </w:r>
      <w:r w:rsidR="007B0D73" w:rsidRPr="0038045B">
        <w:rPr>
          <w:sz w:val="22"/>
          <w:szCs w:val="22"/>
        </w:rPr>
        <w:t xml:space="preserve"> </w:t>
      </w:r>
      <w:r w:rsidRPr="0038045B">
        <w:rPr>
          <w:sz w:val="22"/>
          <w:szCs w:val="22"/>
          <w:lang w:eastAsia="es-ES"/>
        </w:rPr>
        <w:t>to these groups.</w:t>
      </w:r>
    </w:p>
    <w:p w14:paraId="4697D4AF" w14:textId="77777777" w:rsidR="00700811" w:rsidRDefault="00700811" w:rsidP="007B0D73">
      <w:pPr>
        <w:jc w:val="both"/>
        <w:rPr>
          <w:sz w:val="22"/>
          <w:szCs w:val="22"/>
        </w:rPr>
      </w:pPr>
      <w:r w:rsidRPr="0038045B">
        <w:rPr>
          <w:sz w:val="22"/>
          <w:szCs w:val="22"/>
        </w:rPr>
        <w:t>In terms of improving access to and usage of basic accounts, there was relatively broad agreement on the</w:t>
      </w:r>
      <w:r w:rsidR="007B0D73" w:rsidRPr="0038045B">
        <w:rPr>
          <w:sz w:val="22"/>
          <w:szCs w:val="22"/>
        </w:rPr>
        <w:t xml:space="preserve"> </w:t>
      </w:r>
      <w:r w:rsidRPr="0038045B">
        <w:rPr>
          <w:sz w:val="22"/>
          <w:szCs w:val="22"/>
        </w:rPr>
        <w:t>efficacy of enhancing public awareness about the benefits of basic accounts (and of being financially included more</w:t>
      </w:r>
      <w:r w:rsidR="007B0D73" w:rsidRPr="0038045B">
        <w:rPr>
          <w:sz w:val="22"/>
          <w:szCs w:val="22"/>
        </w:rPr>
        <w:t xml:space="preserve"> </w:t>
      </w:r>
      <w:r w:rsidRPr="0038045B">
        <w:rPr>
          <w:sz w:val="22"/>
          <w:szCs w:val="22"/>
        </w:rPr>
        <w:t>generally). Respondents also pointed to the potential benefits of imposing maximum balances on basic accounts to</w:t>
      </w:r>
      <w:r w:rsidR="007B0D73" w:rsidRPr="0038045B">
        <w:rPr>
          <w:sz w:val="22"/>
          <w:szCs w:val="22"/>
        </w:rPr>
        <w:t xml:space="preserve"> </w:t>
      </w:r>
      <w:r w:rsidRPr="0038045B">
        <w:rPr>
          <w:sz w:val="22"/>
          <w:szCs w:val="22"/>
        </w:rPr>
        <w:t>assuage AML concerns, and augmenting the shared use of infrastructures and access points to reduce costs for basic</w:t>
      </w:r>
      <w:r w:rsidR="007B0D73" w:rsidRPr="0038045B">
        <w:rPr>
          <w:sz w:val="22"/>
          <w:szCs w:val="22"/>
        </w:rPr>
        <w:t xml:space="preserve"> </w:t>
      </w:r>
      <w:r w:rsidRPr="0038045B">
        <w:rPr>
          <w:sz w:val="22"/>
          <w:szCs w:val="22"/>
        </w:rPr>
        <w:t>account providers.</w:t>
      </w:r>
    </w:p>
    <w:p w14:paraId="49C7067B" w14:textId="77777777" w:rsidR="00396610" w:rsidRDefault="00396610" w:rsidP="007B0D73">
      <w:pPr>
        <w:jc w:val="both"/>
        <w:rPr>
          <w:sz w:val="22"/>
          <w:szCs w:val="22"/>
        </w:rPr>
      </w:pPr>
    </w:p>
    <w:p w14:paraId="73506C68" w14:textId="77777777" w:rsidR="00396610" w:rsidRPr="00396610" w:rsidRDefault="00396610" w:rsidP="007B0D73">
      <w:pPr>
        <w:jc w:val="both"/>
        <w:rPr>
          <w:sz w:val="22"/>
          <w:szCs w:val="22"/>
        </w:rPr>
      </w:pPr>
    </w:p>
    <w:sectPr w:rsidR="00396610" w:rsidRPr="00396610" w:rsidSect="00A05E30">
      <w:headerReference w:type="even" r:id="rId19"/>
      <w:headerReference w:type="default" r:id="rId20"/>
      <w:footerReference w:type="even" r:id="rId21"/>
      <w:footerReference w:type="default" r:id="rId22"/>
      <w:headerReference w:type="first" r:id="rId23"/>
      <w:pgSz w:w="12240" w:h="15840" w:code="1"/>
      <w:pgMar w:top="1440" w:right="1800" w:bottom="1440" w:left="1800" w:header="720"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1002B" w14:textId="77777777" w:rsidR="0079560A" w:rsidRDefault="0079560A">
      <w:r>
        <w:separator/>
      </w:r>
    </w:p>
  </w:endnote>
  <w:endnote w:type="continuationSeparator" w:id="0">
    <w:p w14:paraId="6FFE8033" w14:textId="77777777" w:rsidR="0079560A" w:rsidRDefault="0079560A">
      <w:r>
        <w:continuationSeparator/>
      </w:r>
    </w:p>
  </w:endnote>
  <w:endnote w:type="continuationNotice" w:id="1">
    <w:p w14:paraId="53983F98" w14:textId="77777777" w:rsidR="0079560A" w:rsidRDefault="00795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G Omeg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Bliss 2 Regular">
    <w:altName w:val="Bliss 2 Regula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DA95E" w14:textId="77777777" w:rsidR="00267829" w:rsidRDefault="00267829" w:rsidP="00B457CC">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F176CF6" w14:textId="77777777" w:rsidR="00267829" w:rsidRDefault="002678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6DAF" w14:textId="77777777" w:rsidR="00267829" w:rsidRDefault="00267829" w:rsidP="006718F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C51E" w14:textId="77777777" w:rsidR="00267829" w:rsidRDefault="00267829">
    <w:pPr>
      <w:pStyle w:val="Footer"/>
      <w:jc w:val="center"/>
    </w:pPr>
    <w:r>
      <w:fldChar w:fldCharType="begin"/>
    </w:r>
    <w:r>
      <w:instrText xml:space="preserve"> PAGE   \* MERGEFORMAT </w:instrText>
    </w:r>
    <w:r>
      <w:fldChar w:fldCharType="separate"/>
    </w:r>
    <w:r w:rsidR="0051721D">
      <w:rPr>
        <w:noProof/>
      </w:rPr>
      <w:t>1</w:t>
    </w:r>
    <w:r>
      <w:rPr>
        <w:noProof/>
      </w:rPr>
      <w:fldChar w:fldCharType="end"/>
    </w:r>
  </w:p>
  <w:p w14:paraId="61F8E65D" w14:textId="77777777" w:rsidR="00267829" w:rsidRDefault="002678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A4C0" w14:textId="77777777" w:rsidR="00267829" w:rsidRDefault="00267829" w:rsidP="00B457CC">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53B475F" w14:textId="77777777" w:rsidR="00267829" w:rsidRDefault="0026782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CBC91" w14:textId="77777777" w:rsidR="00267829" w:rsidRDefault="00267829" w:rsidP="00B457CC">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51721D">
      <w:rPr>
        <w:rStyle w:val="PageNumber"/>
        <w:noProof/>
      </w:rPr>
      <w:t>29</w:t>
    </w:r>
    <w:r>
      <w:rPr>
        <w:rStyle w:val="PageNumber"/>
      </w:rPr>
      <w:fldChar w:fldCharType="end"/>
    </w:r>
  </w:p>
  <w:p w14:paraId="50CAEB27" w14:textId="77777777" w:rsidR="00267829" w:rsidRDefault="00267829" w:rsidP="000523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FA1D4" w14:textId="77777777" w:rsidR="0079560A" w:rsidRDefault="0079560A">
      <w:r>
        <w:separator/>
      </w:r>
    </w:p>
  </w:footnote>
  <w:footnote w:type="continuationSeparator" w:id="0">
    <w:p w14:paraId="0E29D80F" w14:textId="77777777" w:rsidR="0079560A" w:rsidRDefault="0079560A">
      <w:r>
        <w:continuationSeparator/>
      </w:r>
    </w:p>
  </w:footnote>
  <w:footnote w:type="continuationNotice" w:id="1">
    <w:p w14:paraId="524FFE1B" w14:textId="77777777" w:rsidR="0079560A" w:rsidRDefault="0079560A"/>
  </w:footnote>
  <w:footnote w:id="2">
    <w:p w14:paraId="6B50C67C" w14:textId="77777777" w:rsidR="00267829" w:rsidRDefault="00267829" w:rsidP="00275558">
      <w:pPr>
        <w:pStyle w:val="FootnoteText"/>
      </w:pPr>
      <w:r>
        <w:rPr>
          <w:rStyle w:val="FootnoteReference"/>
        </w:rPr>
        <w:footnoteRef/>
      </w:r>
      <w:r>
        <w:t xml:space="preserve"> The fist mission was </w:t>
      </w:r>
      <w:r w:rsidRPr="0007137B">
        <w:t>comprised of Carlo Corazza, Senior Payment Systems and Remittances Specialist, and Nenad Bosiljcic, Elisabetta Cervone and Jose Antonio Garcia, all consultants</w:t>
      </w:r>
      <w:r>
        <w:t>. The second mission also included</w:t>
      </w:r>
      <w:r w:rsidRPr="0007137B">
        <w:t xml:space="preserve"> </w:t>
      </w:r>
      <w:r>
        <w:t xml:space="preserve">Maria Teresa Chimienti, Sr. Payment Systems Specialist, and Massimo Cirasino, </w:t>
      </w:r>
      <w:r w:rsidRPr="00E62F18">
        <w:t>Adviser to Senior Director, Global Lead Payments and Market Infrastructures</w:t>
      </w:r>
      <w:r>
        <w:t>.</w:t>
      </w:r>
    </w:p>
  </w:footnote>
  <w:footnote w:id="3">
    <w:p w14:paraId="14DB7730" w14:textId="77777777" w:rsidR="00267829" w:rsidRDefault="00267829" w:rsidP="00275558">
      <w:pPr>
        <w:pStyle w:val="FootnoteText"/>
      </w:pPr>
      <w:r>
        <w:rPr>
          <w:rStyle w:val="FootnoteReference"/>
        </w:rPr>
        <w:footnoteRef/>
      </w:r>
      <w:r>
        <w:t xml:space="preserve"> Age 15+.</w:t>
      </w:r>
    </w:p>
  </w:footnote>
  <w:footnote w:id="4">
    <w:p w14:paraId="427834E5" w14:textId="77777777" w:rsidR="00267829" w:rsidRDefault="00267829" w:rsidP="00275558">
      <w:pPr>
        <w:pStyle w:val="FootnoteText"/>
      </w:pPr>
      <w:r>
        <w:rPr>
          <w:rStyle w:val="FootnoteReference"/>
        </w:rPr>
        <w:footnoteRef/>
      </w:r>
      <w:r>
        <w:t xml:space="preserve"> This can be explained to some extent by the fact that the Government of Albania enforced the channeling of employees’ salaries through the banking system. As mentioned earlier, unemployment rates for woman, young adults and rural adults are higher. Hence, these groups are less likely to have an account. </w:t>
      </w:r>
    </w:p>
  </w:footnote>
  <w:footnote w:id="5">
    <w:p w14:paraId="18920179" w14:textId="77777777" w:rsidR="00267829" w:rsidRDefault="00267829">
      <w:pPr>
        <w:pStyle w:val="FootnoteText"/>
      </w:pPr>
      <w:r>
        <w:rPr>
          <w:rStyle w:val="FootnoteReference"/>
        </w:rPr>
        <w:footnoteRef/>
      </w:r>
      <w:r>
        <w:t xml:space="preserve"> Source: Findex 2014 and Retail Payments Cost Study. </w:t>
      </w:r>
    </w:p>
  </w:footnote>
  <w:footnote w:id="6">
    <w:p w14:paraId="344F2EFD" w14:textId="77777777" w:rsidR="00267829" w:rsidRDefault="00267829" w:rsidP="00116E55">
      <w:pPr>
        <w:pStyle w:val="FootnoteText"/>
      </w:pPr>
      <w:r>
        <w:rPr>
          <w:rStyle w:val="FootnoteReference"/>
        </w:rPr>
        <w:footnoteRef/>
      </w:r>
      <w:r>
        <w:t xml:space="preserve"> Credit reporting systems comprise the institutions, individuals, rules, procedures, standards and technology that enable information flows relevant to making decisions related to credit and loan agreements. At their core, credit reporting systems consist of databases of information on debtors, together with the institutional, technological and legal framework supporting the efficient functioning of such databases. The information stored in these systems can relate to individuals and/or businesses. See World Bank General Principles for Credit Reporting, September 2011. </w:t>
      </w:r>
    </w:p>
  </w:footnote>
  <w:footnote w:id="7">
    <w:p w14:paraId="5CCA63F2" w14:textId="77777777" w:rsidR="00267829" w:rsidRDefault="00267829">
      <w:pPr>
        <w:pStyle w:val="FootnoteText"/>
      </w:pPr>
      <w:r>
        <w:rPr>
          <w:rStyle w:val="FootnoteReference"/>
        </w:rPr>
        <w:footnoteRef/>
      </w:r>
      <w:r>
        <w:t xml:space="preserve"> The team was coordinated remotely by Maria Teresa Chimienti, Sr. Payment Systems Specialist.</w:t>
      </w:r>
    </w:p>
  </w:footnote>
  <w:footnote w:id="8">
    <w:p w14:paraId="5B69120E" w14:textId="77777777" w:rsidR="00267829" w:rsidRDefault="00267829">
      <w:pPr>
        <w:pStyle w:val="FootnoteText"/>
      </w:pPr>
      <w:r>
        <w:rPr>
          <w:rStyle w:val="FootnoteReference"/>
        </w:rPr>
        <w:footnoteRef/>
      </w:r>
      <w:r>
        <w:t xml:space="preserve"> </w:t>
      </w:r>
      <w:r w:rsidRPr="00A10315">
        <w:t>http://documents.worldbank.org/curated/en/806481470154477031/pdf/107382-PUB-PUBLIC-payment-systems-of-financial-inclusion-PAFI-2016.pdf</w:t>
      </w:r>
    </w:p>
  </w:footnote>
  <w:footnote w:id="9">
    <w:p w14:paraId="68E68670" w14:textId="77777777" w:rsidR="00267829" w:rsidRPr="006D0902" w:rsidRDefault="00267829" w:rsidP="006D0902">
      <w:pPr>
        <w:pStyle w:val="FootnoteText"/>
      </w:pPr>
      <w:r>
        <w:rPr>
          <w:rStyle w:val="FootnoteReference"/>
        </w:rPr>
        <w:footnoteRef/>
      </w:r>
      <w:r>
        <w:t xml:space="preserve"> Unless otherwise indicated, the source of the data in this section are INSTAT, “Population and Housing Census 2011, Main Results”, Part 1, and INSTAT, “Albania Labour Market Dynamics 2001-2011”.</w:t>
      </w:r>
    </w:p>
  </w:footnote>
  <w:footnote w:id="10">
    <w:p w14:paraId="6EC07158" w14:textId="77777777" w:rsidR="00267829" w:rsidRPr="00F35D74" w:rsidRDefault="00267829">
      <w:pPr>
        <w:pStyle w:val="FootnoteText"/>
      </w:pPr>
      <w:r>
        <w:rPr>
          <w:rStyle w:val="FootnoteReference"/>
        </w:rPr>
        <w:footnoteRef/>
      </w:r>
      <w:r w:rsidRPr="00F35D74">
        <w:t xml:space="preserve"> Source: International Monetary Fund, International Financial Statistics</w:t>
      </w:r>
      <w:r>
        <w:t>.</w:t>
      </w:r>
    </w:p>
  </w:footnote>
  <w:footnote w:id="11">
    <w:p w14:paraId="67C92411" w14:textId="77777777" w:rsidR="00267829" w:rsidRPr="000F4DA4" w:rsidRDefault="00267829" w:rsidP="00244526">
      <w:pPr>
        <w:pStyle w:val="FootnoteText"/>
        <w:rPr>
          <w:lang w:val="fr-FR"/>
        </w:rPr>
      </w:pPr>
      <w:r>
        <w:rPr>
          <w:rStyle w:val="FootnoteReference"/>
        </w:rPr>
        <w:footnoteRef/>
      </w:r>
      <w:r w:rsidRPr="000F4DA4">
        <w:rPr>
          <w:lang w:val="fr-FR"/>
        </w:rPr>
        <w:t xml:space="preserve"> Bilateral migration matrix 2013, </w:t>
      </w:r>
      <w:hyperlink r:id="rId1" w:history="1">
        <w:r w:rsidRPr="000F4DA4">
          <w:rPr>
            <w:rStyle w:val="Hyperlink"/>
            <w:lang w:val="fr-FR"/>
          </w:rPr>
          <w:t>http://www.worldbank.org/en/topic/migrationremittancesdiasporaissues/brief/migration-remittances-data</w:t>
        </w:r>
      </w:hyperlink>
      <w:r w:rsidRPr="000F4DA4">
        <w:rPr>
          <w:lang w:val="fr-FR"/>
        </w:rPr>
        <w:t xml:space="preserve"> </w:t>
      </w:r>
    </w:p>
  </w:footnote>
  <w:footnote w:id="12">
    <w:p w14:paraId="2A799DFB" w14:textId="77777777" w:rsidR="00267829" w:rsidRPr="00827AEB" w:rsidRDefault="00267829" w:rsidP="00244526">
      <w:pPr>
        <w:pStyle w:val="FootnoteText"/>
      </w:pPr>
      <w:r w:rsidRPr="00B67B4B">
        <w:rPr>
          <w:rStyle w:val="FootnoteReference"/>
          <w:rFonts w:asciiTheme="minorHAnsi" w:hAnsiTheme="minorHAnsi"/>
        </w:rPr>
        <w:footnoteRef/>
      </w:r>
      <w:r w:rsidRPr="00B67B4B">
        <w:rPr>
          <w:rFonts w:asciiTheme="minorHAnsi" w:hAnsiTheme="minorHAnsi"/>
          <w:sz w:val="18"/>
          <w:szCs w:val="18"/>
        </w:rPr>
        <w:t xml:space="preserve"> </w:t>
      </w:r>
      <w:r w:rsidRPr="00827AEB">
        <w:t>WB staff calculation based on data from IMF Balance of Payments Statistics database and data releases from central banks, national statistical agencies, and WBG country desks (October 2014).</w:t>
      </w:r>
    </w:p>
  </w:footnote>
  <w:footnote w:id="13">
    <w:p w14:paraId="16AE7F0D" w14:textId="77777777" w:rsidR="00267829" w:rsidRDefault="00267829" w:rsidP="00E207A7">
      <w:pPr>
        <w:pStyle w:val="FootnoteText"/>
      </w:pPr>
      <w:r>
        <w:rPr>
          <w:rStyle w:val="FootnoteReference"/>
        </w:rPr>
        <w:footnoteRef/>
      </w:r>
      <w:r>
        <w:t xml:space="preserve"> </w:t>
      </w:r>
      <w:r w:rsidRPr="00346D0B">
        <w:t>http://www.worldbank.org/en/programs/globalfindex</w:t>
      </w:r>
    </w:p>
  </w:footnote>
  <w:footnote w:id="14">
    <w:p w14:paraId="3F4CD988" w14:textId="77777777" w:rsidR="00267829" w:rsidRPr="0002422E" w:rsidRDefault="00267829" w:rsidP="007E6C86">
      <w:pPr>
        <w:pStyle w:val="FootnoteText"/>
      </w:pPr>
      <w:r>
        <w:rPr>
          <w:rStyle w:val="FootnoteReference"/>
        </w:rPr>
        <w:footnoteRef/>
      </w:r>
      <w:r>
        <w:t xml:space="preserve"> Albania is classified by the World Bank as an upper-middle income economy.</w:t>
      </w:r>
    </w:p>
  </w:footnote>
  <w:footnote w:id="15">
    <w:p w14:paraId="02421F03" w14:textId="77777777" w:rsidR="00267829" w:rsidRDefault="00267829">
      <w:pPr>
        <w:pStyle w:val="FootnoteText"/>
      </w:pPr>
      <w:r>
        <w:rPr>
          <w:rStyle w:val="FootnoteReference"/>
        </w:rPr>
        <w:footnoteRef/>
      </w:r>
      <w:r>
        <w:t xml:space="preserve"> Age 15+.</w:t>
      </w:r>
    </w:p>
  </w:footnote>
  <w:footnote w:id="16">
    <w:p w14:paraId="3DAC5915" w14:textId="77777777" w:rsidR="00267829" w:rsidRPr="0002422E" w:rsidRDefault="00267829">
      <w:pPr>
        <w:pStyle w:val="FootnoteText"/>
      </w:pPr>
      <w:r>
        <w:rPr>
          <w:rStyle w:val="FootnoteReference"/>
        </w:rPr>
        <w:footnoteRef/>
      </w:r>
      <w:r>
        <w:t xml:space="preserve"> </w:t>
      </w:r>
      <w:r>
        <w:rPr>
          <w:lang w:eastAsia="en-US"/>
        </w:rPr>
        <w:t>This is, assuming that all current holders of mobile money accounts were unbanked individuals, an additional 3% of the population age 15 or above in Albania now have an account to make and receive payments and store some money through the use of e-money accounts.</w:t>
      </w:r>
    </w:p>
  </w:footnote>
  <w:footnote w:id="17">
    <w:p w14:paraId="17E24DCE" w14:textId="77777777" w:rsidR="00267829" w:rsidRDefault="00267829">
      <w:pPr>
        <w:pStyle w:val="FootnoteText"/>
      </w:pPr>
      <w:r>
        <w:rPr>
          <w:rStyle w:val="FootnoteReference"/>
        </w:rPr>
        <w:footnoteRef/>
      </w:r>
      <w:r>
        <w:t xml:space="preserve"> This can be explained to some extent by the fact that the Government of Albania enforced the channeling of employees’ salaries through the banking system. As mentioned earlier, unemployment rates for woman, young adults and rural adults are higher. Hence, these groups are less likely to have an account. </w:t>
      </w:r>
    </w:p>
  </w:footnote>
  <w:footnote w:id="18">
    <w:p w14:paraId="5FCF93C7" w14:textId="77777777" w:rsidR="00267829" w:rsidRPr="007E6C86" w:rsidRDefault="00267829">
      <w:pPr>
        <w:pStyle w:val="FootnoteText"/>
      </w:pPr>
      <w:r>
        <w:rPr>
          <w:rStyle w:val="FootnoteReference"/>
        </w:rPr>
        <w:footnoteRef/>
      </w:r>
      <w:r>
        <w:t xml:space="preserve"> </w:t>
      </w:r>
      <w:r>
        <w:rPr>
          <w:lang w:eastAsia="en-US"/>
        </w:rPr>
        <w:t>The comparable figure for the Sub-Saharan Africa region is 24.6%.</w:t>
      </w:r>
    </w:p>
  </w:footnote>
  <w:footnote w:id="19">
    <w:p w14:paraId="39651F1F" w14:textId="77777777" w:rsidR="00267829" w:rsidRPr="005772CC" w:rsidRDefault="00267829" w:rsidP="00C53028">
      <w:pPr>
        <w:pStyle w:val="FootnoteText"/>
        <w:rPr>
          <w:lang w:val="en"/>
        </w:rPr>
      </w:pPr>
      <w:r>
        <w:rPr>
          <w:rStyle w:val="FootnoteReference"/>
        </w:rPr>
        <w:footnoteRef/>
      </w:r>
      <w:r>
        <w:t xml:space="preserve"> </w:t>
      </w:r>
      <w:r w:rsidRPr="005772CC">
        <w:t>Source</w:t>
      </w:r>
      <w:r>
        <w:t>s</w:t>
      </w:r>
      <w:r w:rsidRPr="005772CC">
        <w:t xml:space="preserve">: </w:t>
      </w:r>
      <w:r>
        <w:t xml:space="preserve">World Bank Global Payment System Survey 2015; </w:t>
      </w:r>
      <w:r w:rsidRPr="005772CC">
        <w:t>Committee on Payments and Market Infrastructures (201</w:t>
      </w:r>
      <w:r>
        <w:t>5</w:t>
      </w:r>
      <w:r w:rsidRPr="005772CC">
        <w:t xml:space="preserve">), “Statistics </w:t>
      </w:r>
      <w:r w:rsidRPr="005772CC">
        <w:rPr>
          <w:lang w:val="en"/>
        </w:rPr>
        <w:t>on payment, clearing and settlement systems in the CPMI countries - Figures for 201</w:t>
      </w:r>
      <w:r>
        <w:rPr>
          <w:lang w:val="en"/>
        </w:rPr>
        <w:t>4”</w:t>
      </w:r>
      <w:r w:rsidRPr="005772CC">
        <w:rPr>
          <w:lang w:val="en"/>
        </w:rPr>
        <w:t xml:space="preserve">, </w:t>
      </w:r>
      <w:r>
        <w:rPr>
          <w:lang w:val="en"/>
        </w:rPr>
        <w:t xml:space="preserve">Table 6, </w:t>
      </w:r>
      <w:r w:rsidRPr="005772CC">
        <w:rPr>
          <w:lang w:val="en"/>
        </w:rPr>
        <w:t>Basel.</w:t>
      </w:r>
    </w:p>
  </w:footnote>
  <w:footnote w:id="20">
    <w:p w14:paraId="7767BC54" w14:textId="77777777" w:rsidR="00267829" w:rsidRPr="00C872C6" w:rsidRDefault="00267829" w:rsidP="00C872C6">
      <w:pPr>
        <w:pStyle w:val="FootnoteText"/>
      </w:pPr>
      <w:r>
        <w:rPr>
          <w:rStyle w:val="FootnoteReference"/>
        </w:rPr>
        <w:footnoteRef/>
      </w:r>
      <w:r>
        <w:t xml:space="preserve"> The full document of the FIAP 2014 is available at the GPFI’s website: </w:t>
      </w:r>
      <w:hyperlink r:id="rId2" w:history="1">
        <w:r w:rsidRPr="00942E0C">
          <w:rPr>
            <w:rStyle w:val="Hyperlink"/>
          </w:rPr>
          <w:t>http://www.gpfi.org/sites/default/files/documents/2014_g20_financial_inclusion_action_plan.pdf</w:t>
        </w:r>
      </w:hyperlink>
      <w:r>
        <w:t xml:space="preserve"> </w:t>
      </w:r>
    </w:p>
  </w:footnote>
  <w:footnote w:id="21">
    <w:p w14:paraId="61B0DB13" w14:textId="77777777" w:rsidR="00267829" w:rsidRPr="009A685A" w:rsidRDefault="00267829" w:rsidP="00F221ED">
      <w:pPr>
        <w:pStyle w:val="FootnoteText"/>
      </w:pPr>
      <w:r>
        <w:rPr>
          <w:rStyle w:val="FootnoteReference"/>
        </w:rPr>
        <w:footnoteRef/>
      </w:r>
      <w:r>
        <w:t xml:space="preserve"> CPSS (2012), “Innovations in Retail Payments”, Basel.</w:t>
      </w:r>
    </w:p>
  </w:footnote>
  <w:footnote w:id="22">
    <w:p w14:paraId="58D14BC8" w14:textId="77777777" w:rsidR="00267829" w:rsidRPr="009A685A" w:rsidRDefault="00267829" w:rsidP="002D0AEF">
      <w:pPr>
        <w:pStyle w:val="FootnoteText"/>
      </w:pPr>
      <w:r>
        <w:rPr>
          <w:rStyle w:val="FootnoteReference"/>
        </w:rPr>
        <w:footnoteRef/>
      </w:r>
      <w:r>
        <w:t xml:space="preserve"> CPSS (2014), “Non-banks in Retail Payments”, Basel.</w:t>
      </w:r>
    </w:p>
  </w:footnote>
  <w:footnote w:id="23">
    <w:p w14:paraId="7055165D" w14:textId="77777777" w:rsidR="00267829" w:rsidRPr="0076379F" w:rsidRDefault="00267829" w:rsidP="0084298B">
      <w:pPr>
        <w:pStyle w:val="FootnoteText"/>
      </w:pPr>
      <w:r>
        <w:rPr>
          <w:rStyle w:val="FootnoteReference"/>
        </w:rPr>
        <w:footnoteRef/>
      </w:r>
      <w:r>
        <w:t xml:space="preserve"> </w:t>
      </w:r>
      <w:r>
        <w:rPr>
          <w:spacing w:val="-3"/>
        </w:rPr>
        <w:t>T</w:t>
      </w:r>
      <w:r w:rsidRPr="0076379F">
        <w:rPr>
          <w:spacing w:val="-3"/>
        </w:rPr>
        <w:t>ransaction accounts are defined as accounts (including e-money accounts) held with banks or other authori</w:t>
      </w:r>
      <w:r>
        <w:rPr>
          <w:spacing w:val="-3"/>
        </w:rPr>
        <w:t>z</w:t>
      </w:r>
      <w:r w:rsidRPr="0076379F">
        <w:rPr>
          <w:spacing w:val="-3"/>
        </w:rPr>
        <w:t xml:space="preserve">ed and/or regulated </w:t>
      </w:r>
      <w:r>
        <w:rPr>
          <w:spacing w:val="-3"/>
        </w:rPr>
        <w:t>PSPs</w:t>
      </w:r>
      <w:r w:rsidRPr="0076379F">
        <w:rPr>
          <w:spacing w:val="-3"/>
        </w:rPr>
        <w:t>, which can be used to make and receive payments and to store value.</w:t>
      </w:r>
    </w:p>
  </w:footnote>
  <w:footnote w:id="24">
    <w:p w14:paraId="0B47DE68" w14:textId="77777777" w:rsidR="00267829" w:rsidRPr="0092279F" w:rsidRDefault="00267829">
      <w:pPr>
        <w:pStyle w:val="FootnoteText"/>
      </w:pPr>
      <w:r>
        <w:rPr>
          <w:rStyle w:val="FootnoteReference"/>
        </w:rPr>
        <w:footnoteRef/>
      </w:r>
      <w:r>
        <w:t xml:space="preserve"> Individuals and microenterprises operating under conditions of informality </w:t>
      </w:r>
      <w:r w:rsidRPr="0092279F">
        <w:rPr>
          <w:spacing w:val="-3"/>
        </w:rPr>
        <w:t>rely exclusively or almost exclusively on cash for receiving and making payments</w:t>
      </w:r>
      <w:r w:rsidRPr="0092279F">
        <w:t>. This limit</w:t>
      </w:r>
      <w:r>
        <w:t xml:space="preserve">s </w:t>
      </w:r>
      <w:r w:rsidRPr="0092279F">
        <w:t>t</w:t>
      </w:r>
      <w:r w:rsidRPr="0092279F">
        <w:rPr>
          <w:spacing w:val="-3"/>
        </w:rPr>
        <w:t>he overall extent to which non-cash payment instruments can be used as a means of payment</w:t>
      </w:r>
      <w:r w:rsidRPr="0092279F">
        <w:t xml:space="preserve">, </w:t>
      </w:r>
      <w:r>
        <w:t xml:space="preserve">which in turn </w:t>
      </w:r>
      <w:r w:rsidRPr="0092279F">
        <w:rPr>
          <w:spacing w:val="-3"/>
        </w:rPr>
        <w:t xml:space="preserve">reduces the value proposition of transaction accounts for all economic agents, including those that already have a transaction account. </w:t>
      </w:r>
    </w:p>
  </w:footnote>
  <w:footnote w:id="25">
    <w:p w14:paraId="5F2BEF8E" w14:textId="77777777" w:rsidR="00267829" w:rsidRPr="000C5090" w:rsidRDefault="00267829">
      <w:pPr>
        <w:pStyle w:val="FootnoteText"/>
      </w:pPr>
      <w:r>
        <w:rPr>
          <w:rStyle w:val="FootnoteReference"/>
        </w:rPr>
        <w:footnoteRef/>
      </w:r>
      <w:r>
        <w:t xml:space="preserve"> The full report may be consulted at </w:t>
      </w:r>
      <w:hyperlink r:id="rId3" w:history="1">
        <w:r w:rsidRPr="00942E0C">
          <w:rPr>
            <w:rStyle w:val="Hyperlink"/>
          </w:rPr>
          <w:t>http://www.gpfi.org/sites/default/files/documents/G20%20High%20Level%20Principles%20for%20Digital%20Financial%20Inclusion%20-%20Full%20version-.pdf</w:t>
        </w:r>
      </w:hyperlink>
      <w:r>
        <w:t xml:space="preserve"> </w:t>
      </w:r>
    </w:p>
  </w:footnote>
  <w:footnote w:id="26">
    <w:p w14:paraId="33920822" w14:textId="77777777" w:rsidR="00267829" w:rsidRPr="00844A23" w:rsidRDefault="00267829">
      <w:pPr>
        <w:pStyle w:val="FootnoteText"/>
      </w:pPr>
      <w:r>
        <w:rPr>
          <w:rStyle w:val="FootnoteReference"/>
        </w:rPr>
        <w:footnoteRef/>
      </w:r>
      <w:r>
        <w:t xml:space="preserve">  The NPSC, its role and structure are discussed in further detail in sub-section 3.3.1 of this report.</w:t>
      </w:r>
    </w:p>
  </w:footnote>
  <w:footnote w:id="27">
    <w:p w14:paraId="044EC943" w14:textId="77777777" w:rsidR="00267829" w:rsidRPr="008A3B67" w:rsidRDefault="00267829" w:rsidP="006005B4">
      <w:pPr>
        <w:autoSpaceDE w:val="0"/>
        <w:autoSpaceDN w:val="0"/>
        <w:adjustRightInd w:val="0"/>
        <w:rPr>
          <w:sz w:val="20"/>
        </w:rPr>
      </w:pPr>
      <w:r w:rsidRPr="006234F0">
        <w:rPr>
          <w:rStyle w:val="FootnoteReference"/>
          <w:sz w:val="20"/>
        </w:rPr>
        <w:footnoteRef/>
      </w:r>
      <w:r>
        <w:t xml:space="preserve"> </w:t>
      </w:r>
      <w:r>
        <w:rPr>
          <w:sz w:val="20"/>
        </w:rPr>
        <w:t xml:space="preserve">For additional details on coordination structures see </w:t>
      </w:r>
      <w:r w:rsidRPr="008A3B67">
        <w:rPr>
          <w:sz w:val="20"/>
        </w:rPr>
        <w:t>F</w:t>
      </w:r>
      <w:r w:rsidRPr="008A3B67">
        <w:rPr>
          <w:sz w:val="20"/>
          <w:lang w:eastAsia="en-US"/>
        </w:rPr>
        <w:t xml:space="preserve">athallah S., and D. Pearce (2013), </w:t>
      </w:r>
      <w:r>
        <w:rPr>
          <w:sz w:val="20"/>
          <w:lang w:eastAsia="en-US"/>
        </w:rPr>
        <w:t>“</w:t>
      </w:r>
      <w:r w:rsidRPr="008A3B67">
        <w:rPr>
          <w:bCs/>
          <w:iCs/>
          <w:sz w:val="20"/>
          <w:lang w:eastAsia="en-US"/>
        </w:rPr>
        <w:t>Coordination Structures for Financial</w:t>
      </w:r>
      <w:r>
        <w:rPr>
          <w:bCs/>
          <w:iCs/>
          <w:sz w:val="20"/>
          <w:lang w:eastAsia="en-US"/>
        </w:rPr>
        <w:t xml:space="preserve"> </w:t>
      </w:r>
      <w:r w:rsidRPr="008A3B67">
        <w:rPr>
          <w:bCs/>
          <w:iCs/>
          <w:sz w:val="20"/>
          <w:lang w:eastAsia="en-US"/>
        </w:rPr>
        <w:t>Inclusion Strategies and Reforms</w:t>
      </w:r>
      <w:r>
        <w:rPr>
          <w:bCs/>
          <w:iCs/>
          <w:sz w:val="20"/>
          <w:lang w:eastAsia="en-US"/>
        </w:rPr>
        <w:t>”, The World Bank, Washington DC.</w:t>
      </w:r>
    </w:p>
  </w:footnote>
  <w:footnote w:id="28">
    <w:p w14:paraId="5D8BB8B3" w14:textId="77777777" w:rsidR="00267829" w:rsidRDefault="00267829" w:rsidP="00827AEB">
      <w:pPr>
        <w:pStyle w:val="FootnoteText"/>
        <w:jc w:val="both"/>
      </w:pPr>
      <w:r>
        <w:rPr>
          <w:rStyle w:val="FootnoteReference"/>
        </w:rPr>
        <w:footnoteRef/>
      </w:r>
      <w:r>
        <w:t xml:space="preserve"> </w:t>
      </w:r>
      <w:r w:rsidRPr="00F31616">
        <w:t>Law No. 133/2013, dated 29.04.2013 "On Payment System"</w:t>
      </w:r>
      <w:r>
        <w:t>.</w:t>
      </w:r>
    </w:p>
  </w:footnote>
  <w:footnote w:id="29">
    <w:p w14:paraId="54398F0E" w14:textId="77777777" w:rsidR="00267829" w:rsidRPr="00FA1D5F" w:rsidRDefault="00267829" w:rsidP="00FA1D5F">
      <w:pPr>
        <w:pStyle w:val="Default"/>
        <w:rPr>
          <w:rFonts w:ascii="Times New Roman" w:hAnsi="Times New Roman" w:cs="Times New Roman"/>
          <w:sz w:val="20"/>
          <w:szCs w:val="20"/>
          <w:lang w:val="en-US" w:eastAsia="en-US"/>
        </w:rPr>
      </w:pPr>
      <w:r w:rsidRPr="00FA1D5F">
        <w:rPr>
          <w:rStyle w:val="FootnoteReference"/>
          <w:rFonts w:ascii="Times New Roman" w:hAnsi="Times New Roman" w:cs="Times New Roman"/>
          <w:sz w:val="20"/>
          <w:szCs w:val="20"/>
        </w:rPr>
        <w:footnoteRef/>
      </w:r>
      <w:r w:rsidRPr="00FA1D5F">
        <w:rPr>
          <w:rFonts w:ascii="Times New Roman" w:hAnsi="Times New Roman" w:cs="Times New Roman"/>
          <w:sz w:val="20"/>
          <w:szCs w:val="20"/>
          <w:lang w:val="en-US"/>
        </w:rPr>
        <w:t xml:space="preserve"> “…and </w:t>
      </w:r>
      <w:r w:rsidRPr="00FA1D5F">
        <w:rPr>
          <w:rFonts w:ascii="Times New Roman" w:hAnsi="Times New Roman" w:cs="Times New Roman"/>
          <w:sz w:val="20"/>
          <w:szCs w:val="20"/>
          <w:lang w:val="en-US" w:eastAsia="en-US"/>
        </w:rPr>
        <w:t>occasionally may extend credit to those participants for settlement purposes”</w:t>
      </w:r>
      <w:r>
        <w:rPr>
          <w:rFonts w:ascii="Times New Roman" w:hAnsi="Times New Roman" w:cs="Times New Roman"/>
          <w:sz w:val="20"/>
          <w:szCs w:val="20"/>
          <w:lang w:val="en-US" w:eastAsia="en-US"/>
        </w:rPr>
        <w:t xml:space="preserve">, art.5 (s) of the Law on Payment System. </w:t>
      </w:r>
    </w:p>
  </w:footnote>
  <w:footnote w:id="30">
    <w:p w14:paraId="3F31F8BB" w14:textId="77777777" w:rsidR="00267829" w:rsidRDefault="00267829" w:rsidP="00722157">
      <w:pPr>
        <w:pStyle w:val="FootnoteText"/>
      </w:pPr>
      <w:r>
        <w:rPr>
          <w:rStyle w:val="FootnoteReference"/>
        </w:rPr>
        <w:footnoteRef/>
      </w:r>
      <w:r>
        <w:t xml:space="preserve"> </w:t>
      </w:r>
      <w:r w:rsidRPr="00ED5CDF">
        <w:t>Law No. 9662</w:t>
      </w:r>
      <w:r>
        <w:t>/</w:t>
      </w:r>
      <w:r w:rsidRPr="00ED5CDF">
        <w:t>2006 "On banks in the Republic of Albania", as amended (hereinafter the Banking Law)</w:t>
      </w:r>
      <w:r>
        <w:t>.</w:t>
      </w:r>
    </w:p>
  </w:footnote>
  <w:footnote w:id="31">
    <w:p w14:paraId="7B20064E" w14:textId="77777777" w:rsidR="00267829" w:rsidRDefault="00267829" w:rsidP="00722157">
      <w:pPr>
        <w:pStyle w:val="FootnoteText"/>
      </w:pPr>
      <w:r>
        <w:rPr>
          <w:rStyle w:val="FootnoteReference"/>
        </w:rPr>
        <w:footnoteRef/>
      </w:r>
      <w:r>
        <w:t xml:space="preserve"> </w:t>
      </w:r>
      <w:r w:rsidRPr="00EA27B0">
        <w:t xml:space="preserve">According to </w:t>
      </w:r>
      <w:r>
        <w:t xml:space="preserve">the Banking </w:t>
      </w:r>
      <w:r w:rsidRPr="00EA27B0">
        <w:t>Law</w:t>
      </w:r>
      <w:r>
        <w:t>,</w:t>
      </w:r>
      <w:r w:rsidRPr="00EA27B0">
        <w:t xml:space="preserve"> “banking activity” represents the receipt of monetary deposits or other repayable funds from the public, and their use for granting loans or their placement under its name and for its own account, as well as the issuance of payments in the form of electronic money.  Whereas “financial activities” include: all types of loans, factoring and financing of commercial transactions; financial leasing, payments and money transfers; guarantees and commitments; money brokering; trading for a bank’s account or for the account of clients and any advisory, intermediation and other auxiliary financial services of all the above activities, including credit reference and analyses, investment and portfolio research and advice; as well as advice on acquisitions and on corporate restructuring and strategy.</w:t>
      </w:r>
    </w:p>
  </w:footnote>
  <w:footnote w:id="32">
    <w:p w14:paraId="169EDF84" w14:textId="77777777" w:rsidR="00267829" w:rsidRPr="00D21530" w:rsidRDefault="00267829" w:rsidP="00722157">
      <w:pPr>
        <w:pStyle w:val="Default"/>
        <w:rPr>
          <w:rFonts w:ascii="Times New Roman" w:hAnsi="Times New Roman" w:cs="Times New Roman"/>
          <w:sz w:val="20"/>
          <w:szCs w:val="20"/>
          <w:lang w:val="en-US"/>
        </w:rPr>
      </w:pPr>
      <w:r>
        <w:rPr>
          <w:rStyle w:val="FootnoteReference"/>
        </w:rPr>
        <w:footnoteRef/>
      </w:r>
      <w:r w:rsidRPr="00D21530">
        <w:rPr>
          <w:lang w:val="en-US"/>
        </w:rPr>
        <w:t xml:space="preserve"> </w:t>
      </w:r>
      <w:r w:rsidRPr="00D21530">
        <w:rPr>
          <w:rFonts w:ascii="Times New Roman" w:hAnsi="Times New Roman" w:cs="Times New Roman"/>
          <w:sz w:val="20"/>
          <w:szCs w:val="20"/>
          <w:lang w:val="en-US"/>
        </w:rPr>
        <w:t xml:space="preserve">Together with </w:t>
      </w:r>
      <w:r>
        <w:rPr>
          <w:rFonts w:ascii="Times New Roman" w:hAnsi="Times New Roman" w:cs="Times New Roman"/>
          <w:sz w:val="20"/>
          <w:szCs w:val="20"/>
          <w:lang w:val="en-US"/>
        </w:rPr>
        <w:t xml:space="preserve">foreign exchange, </w:t>
      </w:r>
      <w:r w:rsidRPr="00D21530">
        <w:rPr>
          <w:rFonts w:ascii="Times New Roman" w:hAnsi="Times New Roman" w:cs="Times New Roman"/>
          <w:sz w:val="20"/>
          <w:szCs w:val="20"/>
          <w:lang w:val="en-US"/>
        </w:rPr>
        <w:t>a</w:t>
      </w:r>
      <w:r>
        <w:rPr>
          <w:rFonts w:ascii="Times New Roman" w:hAnsi="Times New Roman" w:cs="Times New Roman"/>
          <w:sz w:val="20"/>
          <w:szCs w:val="20"/>
          <w:lang w:val="en-US"/>
        </w:rPr>
        <w:t xml:space="preserve">s well as </w:t>
      </w:r>
      <w:r w:rsidRPr="00D21530">
        <w:rPr>
          <w:rFonts w:ascii="Times New Roman" w:hAnsi="Times New Roman" w:cs="Times New Roman"/>
          <w:sz w:val="20"/>
          <w:szCs w:val="20"/>
          <w:lang w:val="en-US"/>
        </w:rPr>
        <w:t>advisory, intermediation and other auxiliary services related to the financial activity specified in the license.</w:t>
      </w:r>
    </w:p>
  </w:footnote>
  <w:footnote w:id="33">
    <w:p w14:paraId="67F1841F" w14:textId="77777777" w:rsidR="00267829" w:rsidRDefault="00267829" w:rsidP="00722157">
      <w:pPr>
        <w:pStyle w:val="FootnoteText"/>
      </w:pPr>
      <w:r>
        <w:rPr>
          <w:rStyle w:val="FootnoteReference"/>
        </w:rPr>
        <w:footnoteRef/>
      </w:r>
      <w:r>
        <w:t xml:space="preserve"> According to the Law, “e</w:t>
      </w:r>
      <w:r w:rsidRPr="00627303">
        <w:t>lectronic document</w:t>
      </w:r>
      <w:r>
        <w:t>”</w:t>
      </w:r>
      <w:r w:rsidRPr="00627303">
        <w:t xml:space="preserve"> is any information created with documentary qualities, sent, received or stored electronically by a computer system or a similar mechanism. It includes all forms of data, reflected in letters, numbers, symbols, voice and image.</w:t>
      </w:r>
    </w:p>
  </w:footnote>
  <w:footnote w:id="34">
    <w:p w14:paraId="376689CE" w14:textId="77777777" w:rsidR="00267829" w:rsidRDefault="00267829" w:rsidP="00722157">
      <w:pPr>
        <w:pStyle w:val="FootnoteText"/>
      </w:pPr>
      <w:r>
        <w:rPr>
          <w:rStyle w:val="FootnoteReference"/>
        </w:rPr>
        <w:footnoteRef/>
      </w:r>
      <w:r>
        <w:t xml:space="preserve"> </w:t>
      </w:r>
      <w:r w:rsidRPr="00232325">
        <w:t>Current transactions include “transfers related to emigrants and employees’ remittances abroad, other transfers for living familiar expenses, pensions, financial aids for inability of work and other social profits, taxes and quotas in respect of intergovernmental membership, collaboration.” (article 7(1)(d)).</w:t>
      </w:r>
    </w:p>
  </w:footnote>
  <w:footnote w:id="35">
    <w:p w14:paraId="73C176EE" w14:textId="77777777" w:rsidR="00267829" w:rsidRDefault="00267829" w:rsidP="00722157">
      <w:pPr>
        <w:pStyle w:val="FootnoteText"/>
      </w:pPr>
      <w:r>
        <w:rPr>
          <w:rStyle w:val="FootnoteReference"/>
        </w:rPr>
        <w:footnoteRef/>
      </w:r>
      <w:r>
        <w:t xml:space="preserve"> </w:t>
      </w:r>
      <w:r w:rsidRPr="00ED5CDF">
        <w:t>Law No. 8269</w:t>
      </w:r>
      <w:r>
        <w:t>/</w:t>
      </w:r>
      <w:r w:rsidRPr="00ED5CDF">
        <w:t>1997 "On the B</w:t>
      </w:r>
      <w:r>
        <w:t xml:space="preserve">ank </w:t>
      </w:r>
      <w:r w:rsidRPr="00ED5CDF">
        <w:t>o</w:t>
      </w:r>
      <w:r>
        <w:t xml:space="preserve">f </w:t>
      </w:r>
      <w:r w:rsidRPr="00ED5CDF">
        <w:t>A</w:t>
      </w:r>
      <w:r>
        <w:t>lbania</w:t>
      </w:r>
      <w:r w:rsidRPr="00ED5CDF">
        <w:t>", as amended</w:t>
      </w:r>
      <w:r>
        <w:t xml:space="preserve">. </w:t>
      </w:r>
      <w:r w:rsidRPr="00CD7E88">
        <w:t xml:space="preserve">Article 3, Law on the Bank, </w:t>
      </w:r>
      <w:r>
        <w:t>constitutes</w:t>
      </w:r>
      <w:r w:rsidRPr="00CD7E88">
        <w:t xml:space="preserve"> the </w:t>
      </w:r>
      <w:r>
        <w:t xml:space="preserve">source of </w:t>
      </w:r>
      <w:r w:rsidRPr="00CD7E88">
        <w:t xml:space="preserve">responsibility of the </w:t>
      </w:r>
      <w:r>
        <w:t>BoA</w:t>
      </w:r>
      <w:r w:rsidRPr="00CD7E88">
        <w:t xml:space="preserve"> with regard to the well-</w:t>
      </w:r>
      <w:r>
        <w:t>f</w:t>
      </w:r>
      <w:r w:rsidRPr="00CD7E88">
        <w:t>unctioning of the payment systems in Albania, and simultaneously sets one of its main functions. In this article it is stipulated that: “</w:t>
      </w:r>
      <w:r>
        <w:t>BoA</w:t>
      </w:r>
      <w:r w:rsidRPr="00CD7E88">
        <w:t xml:space="preserve">, in line with its main target and based on the internal banking market, promotes and supports […] the payment system”, and that: “The main tasks of the </w:t>
      </w:r>
      <w:r>
        <w:t>BoA</w:t>
      </w:r>
      <w:r w:rsidRPr="00CD7E88">
        <w:t xml:space="preserve"> are as follows: […] dh) to promote the normal functioning of payment s</w:t>
      </w:r>
      <w:r>
        <w:t>ystem”. Article 21 of the Law “O</w:t>
      </w:r>
      <w:r w:rsidRPr="00CD7E88">
        <w:t>n the Bank</w:t>
      </w:r>
      <w:r>
        <w:t xml:space="preserve"> of Albania”</w:t>
      </w:r>
      <w:r w:rsidRPr="00CD7E88">
        <w:t xml:space="preserve"> details further the above legal responsibility into the implementation ground, concerning the organization and functioning of payment and settlement systems as well as on the payment instruments.</w:t>
      </w:r>
    </w:p>
  </w:footnote>
  <w:footnote w:id="36">
    <w:p w14:paraId="5FFC7328" w14:textId="77777777" w:rsidR="00267829" w:rsidRPr="00AD1026" w:rsidRDefault="00267829">
      <w:pPr>
        <w:pStyle w:val="FootnoteText"/>
      </w:pPr>
      <w:r>
        <w:rPr>
          <w:rStyle w:val="FootnoteReference"/>
        </w:rPr>
        <w:footnoteRef/>
      </w:r>
      <w:r>
        <w:t xml:space="preserve"> </w:t>
      </w:r>
      <w:r w:rsidRPr="00FC2EEA">
        <w:t xml:space="preserve"> “</w:t>
      </w:r>
      <w:r>
        <w:t>E</w:t>
      </w:r>
      <w:r w:rsidRPr="00FC2EEA">
        <w:t>lectronic money means electronically or magnetically-stored monetary value, which is issued upon receipt of funds to make payment transactions and represents a liability of the electronic money issuer to the receiver, who is a natural or legal person other than the electronic money issuer”.</w:t>
      </w:r>
    </w:p>
  </w:footnote>
  <w:footnote w:id="37">
    <w:p w14:paraId="72DAB88B" w14:textId="77777777" w:rsidR="00267829" w:rsidRDefault="00267829" w:rsidP="00722157">
      <w:pPr>
        <w:pStyle w:val="FootnoteText"/>
      </w:pPr>
      <w:r>
        <w:rPr>
          <w:rStyle w:val="FootnoteReference"/>
        </w:rPr>
        <w:footnoteRef/>
      </w:r>
      <w:r>
        <w:t xml:space="preserve"> Liquid assets are defined as: (a) current accounts and/or deposits with maturity term up to 7 days and/or demand deposits, in a bank or branch of foreign bank; (b) T-bills of the Government of the Republic of Albania denominated in either domestic or foreign currency, recorded in the balance-sheet as for trading or available for sale items; (c) current accounts and/or deposits with maturity term up to 7 days and/or demand deposits in a foreign commercial bank, with rating higher than A+ , according to Standard&amp;Poors or equal with it; (d) debt securities issued or guaranteed by governments, central banks, international institutions or multilateral development banks, whose rating (counter parties) according to Standard&amp;Poors, or equal, is higher than A+, recorded in the balance sheet as for trading or available for sale items. </w:t>
      </w:r>
    </w:p>
  </w:footnote>
  <w:footnote w:id="38">
    <w:p w14:paraId="4BE6A5BB" w14:textId="77777777" w:rsidR="00267829" w:rsidRPr="007B2861" w:rsidRDefault="00267829">
      <w:pPr>
        <w:pStyle w:val="FootnoteText"/>
      </w:pPr>
      <w:r>
        <w:rPr>
          <w:rStyle w:val="FootnoteReference"/>
        </w:rPr>
        <w:footnoteRef/>
      </w:r>
      <w:r>
        <w:t xml:space="preserve"> </w:t>
      </w:r>
      <w:r w:rsidRPr="00FC2EEA">
        <w:t xml:space="preserve">The AML/CFT Law </w:t>
      </w:r>
      <w:r>
        <w:t xml:space="preserve">states </w:t>
      </w:r>
      <w:r w:rsidRPr="00FC2EEA">
        <w:t xml:space="preserve">that entities, in applying enhanced CDD measures, shall require the physical presence of </w:t>
      </w:r>
      <w:r w:rsidRPr="00F01C00">
        <w:t xml:space="preserve">customers prior to the customer opening an account </w:t>
      </w:r>
      <w:r w:rsidRPr="00F01C00">
        <w:rPr>
          <w:i/>
        </w:rPr>
        <w:t>and</w:t>
      </w:r>
      <w:r w:rsidRPr="00F01C00">
        <w:t xml:space="preserve"> prior to executing</w:t>
      </w:r>
      <w:r w:rsidRPr="00FC2EEA">
        <w:t xml:space="preserve"> a transaction. </w:t>
      </w:r>
    </w:p>
  </w:footnote>
  <w:footnote w:id="39">
    <w:p w14:paraId="6A70CCE0" w14:textId="77777777" w:rsidR="00267829" w:rsidRPr="00F01C00" w:rsidRDefault="00267829" w:rsidP="00722157">
      <w:pPr>
        <w:pStyle w:val="FootnoteText"/>
      </w:pPr>
      <w:r>
        <w:rPr>
          <w:rStyle w:val="FootnoteReference"/>
        </w:rPr>
        <w:footnoteRef/>
      </w:r>
      <w:r>
        <w:t xml:space="preserve"> As stated by BoA in the text of this Guideline within Regulation 44/2009, “T</w:t>
      </w:r>
      <w:r w:rsidRPr="00FC2EEA">
        <w:t xml:space="preserve">he </w:t>
      </w:r>
      <w:r>
        <w:t xml:space="preserve">guideline </w:t>
      </w:r>
      <w:r w:rsidRPr="00FC2EEA">
        <w:t xml:space="preserve">does not replace the legal obligations of entities, but aims at assisting them to understand and manage risks that may </w:t>
      </w:r>
      <w:r>
        <w:t xml:space="preserve">during the </w:t>
      </w:r>
      <w:r w:rsidRPr="00FC2EEA">
        <w:t>conducti</w:t>
      </w:r>
      <w:r>
        <w:t xml:space="preserve">on of </w:t>
      </w:r>
      <w:r w:rsidRPr="00FC2EEA">
        <w:t>their activity</w:t>
      </w:r>
      <w:r>
        <w:t>”.</w:t>
      </w:r>
    </w:p>
  </w:footnote>
  <w:footnote w:id="40">
    <w:p w14:paraId="04709455" w14:textId="77777777" w:rsidR="00267829" w:rsidRPr="00D80437" w:rsidRDefault="00267829" w:rsidP="00722157">
      <w:pPr>
        <w:pStyle w:val="FootnoteText"/>
      </w:pPr>
      <w:r>
        <w:rPr>
          <w:rStyle w:val="FootnoteReference"/>
        </w:rPr>
        <w:footnoteRef/>
      </w:r>
      <w:r>
        <w:t xml:space="preserve"> This sub-section analyzes the organization of the NPS and its core payments </w:t>
      </w:r>
      <w:r w:rsidRPr="00D80437">
        <w:t xml:space="preserve">infrastructures. Section </w:t>
      </w:r>
      <w:r>
        <w:t>4</w:t>
      </w:r>
      <w:r w:rsidRPr="00D80437">
        <w:t>.</w:t>
      </w:r>
      <w:r>
        <w:t>1</w:t>
      </w:r>
      <w:r w:rsidRPr="00D80437">
        <w:t xml:space="preserve"> discusses the current offering of payment services in </w:t>
      </w:r>
      <w:r>
        <w:t>Albania from a product design perspective</w:t>
      </w:r>
      <w:r w:rsidRPr="00D80437">
        <w:t>. As mentioned earlier, Section 4.</w:t>
      </w:r>
      <w:r>
        <w:t>2</w:t>
      </w:r>
      <w:r w:rsidRPr="00D80437">
        <w:t xml:space="preserve"> discusses service point and access channel networks.</w:t>
      </w:r>
    </w:p>
  </w:footnote>
  <w:footnote w:id="41">
    <w:p w14:paraId="6DF72405" w14:textId="77777777" w:rsidR="00267829" w:rsidRPr="00CF4BBC" w:rsidRDefault="00267829" w:rsidP="00722157">
      <w:pPr>
        <w:pStyle w:val="FootnoteText"/>
      </w:pPr>
      <w:r>
        <w:rPr>
          <w:rStyle w:val="FootnoteReference"/>
        </w:rPr>
        <w:footnoteRef/>
      </w:r>
      <w:r>
        <w:t xml:space="preserve"> These two systems are described in further detail below.</w:t>
      </w:r>
    </w:p>
  </w:footnote>
  <w:footnote w:id="42">
    <w:p w14:paraId="3D2DB4ED" w14:textId="77777777" w:rsidR="00267829" w:rsidRPr="005B085C" w:rsidRDefault="00267829">
      <w:pPr>
        <w:pStyle w:val="FootnoteText"/>
      </w:pPr>
      <w:r>
        <w:rPr>
          <w:rStyle w:val="FootnoteReference"/>
        </w:rPr>
        <w:footnoteRef/>
      </w:r>
      <w:r>
        <w:t xml:space="preserve"> Among many other topics, this policy document clarifies </w:t>
      </w:r>
      <w:r w:rsidRPr="005B085C">
        <w:t>the BoA’s competence on licensing and oversight of securities settlement systems, central counterparties, central securities depositories and trade repositories, in cooperation with the FSA.</w:t>
      </w:r>
    </w:p>
  </w:footnote>
  <w:footnote w:id="43">
    <w:p w14:paraId="1D82AB29" w14:textId="77777777" w:rsidR="00267829" w:rsidRPr="00EC1DF1" w:rsidRDefault="00267829">
      <w:pPr>
        <w:pStyle w:val="FootnoteText"/>
      </w:pPr>
      <w:r>
        <w:rPr>
          <w:rStyle w:val="FootnoteReference"/>
        </w:rPr>
        <w:footnoteRef/>
      </w:r>
      <w:r>
        <w:t xml:space="preserve"> However, as in many other RTGS systems throughout the world in Albania there are significant differences in size between the various types of payment orders that flow through these systems, for example, payments related to interbank markets versus customer payments.</w:t>
      </w:r>
    </w:p>
  </w:footnote>
  <w:footnote w:id="44">
    <w:p w14:paraId="38ED0D2D" w14:textId="77777777" w:rsidR="00267829" w:rsidRPr="008C16F9" w:rsidRDefault="00267829">
      <w:pPr>
        <w:pStyle w:val="FootnoteText"/>
      </w:pPr>
      <w:r>
        <w:rPr>
          <w:rStyle w:val="FootnoteReference"/>
        </w:rPr>
        <w:footnoteRef/>
      </w:r>
      <w:r>
        <w:t xml:space="preserve"> Otherwise, the beneficiary bank may be subject to penalties and eventually other sanctions.</w:t>
      </w:r>
    </w:p>
  </w:footnote>
  <w:footnote w:id="45">
    <w:p w14:paraId="791F438C" w14:textId="77777777" w:rsidR="00267829" w:rsidRPr="008B3609" w:rsidRDefault="00267829">
      <w:pPr>
        <w:pStyle w:val="FootnoteText"/>
      </w:pPr>
      <w:r>
        <w:rPr>
          <w:rStyle w:val="FootnoteReference"/>
        </w:rPr>
        <w:footnoteRef/>
      </w:r>
      <w:r>
        <w:t xml:space="preserve"> However, all payment orders worth ALL 1.5 million or above must be channeled through AIPS.</w:t>
      </w:r>
    </w:p>
  </w:footnote>
  <w:footnote w:id="46">
    <w:p w14:paraId="3F6F47A6" w14:textId="77777777" w:rsidR="00267829" w:rsidRDefault="00267829" w:rsidP="00FA59C7">
      <w:pPr>
        <w:pStyle w:val="FootnoteText"/>
      </w:pPr>
      <w:r>
        <w:rPr>
          <w:rStyle w:val="FootnoteReference"/>
        </w:rPr>
        <w:footnoteRef/>
      </w:r>
      <w:r>
        <w:t xml:space="preserve"> </w:t>
      </w:r>
      <w:r w:rsidRPr="00B471D8">
        <w:t>This infrastructure</w:t>
      </w:r>
      <w:r>
        <w:t xml:space="preserve"> is </w:t>
      </w:r>
      <w:r w:rsidRPr="00B471D8">
        <w:t xml:space="preserve">often referred to as a </w:t>
      </w:r>
      <w:r>
        <w:t>“</w:t>
      </w:r>
      <w:r w:rsidRPr="00B471D8">
        <w:t>payment card processing platform</w:t>
      </w:r>
      <w:r>
        <w:t>”</w:t>
      </w:r>
      <w:r w:rsidRPr="00B471D8">
        <w:t xml:space="preserve"> or simply a “payments card switch”</w:t>
      </w:r>
      <w:r>
        <w:t>.</w:t>
      </w:r>
    </w:p>
  </w:footnote>
  <w:footnote w:id="47">
    <w:p w14:paraId="2B1C7376" w14:textId="77777777" w:rsidR="00267829" w:rsidRPr="00E17A9B" w:rsidRDefault="00267829">
      <w:pPr>
        <w:pStyle w:val="FootnoteText"/>
      </w:pPr>
      <w:r>
        <w:rPr>
          <w:rStyle w:val="FootnoteReference"/>
        </w:rPr>
        <w:footnoteRef/>
      </w:r>
      <w:r>
        <w:t xml:space="preserve"> </w:t>
      </w:r>
      <w:r w:rsidRPr="00CD480F">
        <w:t xml:space="preserve">This type of infrastructure is regulated in Albania </w:t>
      </w:r>
      <w:r>
        <w:t xml:space="preserve">under </w:t>
      </w:r>
      <w:r w:rsidRPr="00CD480F">
        <w:t>Regulation No. 42 of 2013 “On the licensing, regulation and over sight card payment schemes operators</w:t>
      </w:r>
      <w:r w:rsidRPr="00E17A9B">
        <w:t>”.</w:t>
      </w:r>
    </w:p>
  </w:footnote>
  <w:footnote w:id="48">
    <w:p w14:paraId="7D864CA1" w14:textId="77777777" w:rsidR="00267829" w:rsidRPr="00895905" w:rsidRDefault="00267829">
      <w:pPr>
        <w:pStyle w:val="FootnoteText"/>
      </w:pPr>
      <w:r>
        <w:rPr>
          <w:rStyle w:val="FootnoteReference"/>
        </w:rPr>
        <w:footnoteRef/>
      </w:r>
      <w:r>
        <w:t xml:space="preserve"> See below on the issue of financial risks management in the AECH.</w:t>
      </w:r>
    </w:p>
  </w:footnote>
  <w:footnote w:id="49">
    <w:p w14:paraId="2436C9BB" w14:textId="77777777" w:rsidR="00267829" w:rsidRPr="00B66FD0" w:rsidRDefault="00267829" w:rsidP="00914580">
      <w:pPr>
        <w:pStyle w:val="FootnoteText"/>
      </w:pPr>
      <w:r>
        <w:rPr>
          <w:rStyle w:val="FootnoteReference"/>
        </w:rPr>
        <w:footnoteRef/>
      </w:r>
      <w:r>
        <w:t xml:space="preserve"> </w:t>
      </w:r>
      <w:r w:rsidRPr="00B66FD0">
        <w:rPr>
          <w:color w:val="000000" w:themeColor="text1"/>
          <w:szCs w:val="24"/>
          <w:lang w:eastAsia="en-US"/>
        </w:rPr>
        <w:t xml:space="preserve">Account and payment product design aspects will be discussed in </w:t>
      </w:r>
      <w:r>
        <w:rPr>
          <w:color w:val="000000" w:themeColor="text1"/>
          <w:szCs w:val="24"/>
          <w:lang w:eastAsia="en-US"/>
        </w:rPr>
        <w:t>S</w:t>
      </w:r>
      <w:r w:rsidRPr="00B66FD0">
        <w:rPr>
          <w:color w:val="000000" w:themeColor="text1"/>
          <w:szCs w:val="24"/>
          <w:lang w:eastAsia="en-US"/>
        </w:rPr>
        <w:t>ection 4.</w:t>
      </w:r>
    </w:p>
  </w:footnote>
  <w:footnote w:id="50">
    <w:p w14:paraId="64E5CD8B" w14:textId="77777777" w:rsidR="00267829" w:rsidRPr="00136806" w:rsidRDefault="00267829">
      <w:pPr>
        <w:pStyle w:val="FootnoteText"/>
      </w:pPr>
      <w:r>
        <w:rPr>
          <w:rStyle w:val="FootnoteReference"/>
        </w:rPr>
        <w:footnoteRef/>
      </w:r>
      <w:r>
        <w:t xml:space="preserve"> I</w:t>
      </w:r>
      <w:r>
        <w:rPr>
          <w:color w:val="000000" w:themeColor="text1"/>
          <w:lang w:eastAsia="en-US"/>
        </w:rPr>
        <w:t xml:space="preserve">n any case, </w:t>
      </w:r>
      <w:r w:rsidRPr="00136806">
        <w:rPr>
          <w:color w:val="000000" w:themeColor="text1"/>
          <w:lang w:eastAsia="en-US"/>
        </w:rPr>
        <w:t xml:space="preserve">card issuers should </w:t>
      </w:r>
      <w:r>
        <w:rPr>
          <w:color w:val="000000" w:themeColor="text1"/>
          <w:lang w:eastAsia="en-US"/>
        </w:rPr>
        <w:t xml:space="preserve">still </w:t>
      </w:r>
      <w:r w:rsidRPr="00136806">
        <w:rPr>
          <w:color w:val="000000" w:themeColor="text1"/>
          <w:lang w:eastAsia="en-US"/>
        </w:rPr>
        <w:t>be able to select the payment card brand(s) they want to issue.</w:t>
      </w:r>
    </w:p>
  </w:footnote>
  <w:footnote w:id="51">
    <w:p w14:paraId="5F0B39B1" w14:textId="77777777" w:rsidR="00267829" w:rsidRPr="008D5E0F" w:rsidRDefault="00267829">
      <w:pPr>
        <w:pStyle w:val="FootnoteText"/>
      </w:pPr>
      <w:r>
        <w:rPr>
          <w:rStyle w:val="FootnoteReference"/>
        </w:rPr>
        <w:footnoteRef/>
      </w:r>
      <w:r>
        <w:t xml:space="preserve"> </w:t>
      </w:r>
      <w:r w:rsidRPr="008D5E0F">
        <w:rPr>
          <w:color w:val="000000" w:themeColor="text1"/>
          <w:lang w:eastAsia="en-US"/>
        </w:rPr>
        <w:t>Nevertheless, card issuers must still be able to choose the processing platform(s) that best fits their needs</w:t>
      </w:r>
      <w:r>
        <w:rPr>
          <w:color w:val="000000" w:themeColor="text1"/>
          <w:lang w:eastAsia="en-US"/>
        </w:rPr>
        <w:t>.</w:t>
      </w:r>
    </w:p>
  </w:footnote>
  <w:footnote w:id="52">
    <w:p w14:paraId="4CB1203B" w14:textId="77777777" w:rsidR="00267829" w:rsidRPr="005C250E" w:rsidRDefault="00267829" w:rsidP="00132448">
      <w:pPr>
        <w:pStyle w:val="FootnoteText"/>
      </w:pPr>
      <w:r>
        <w:rPr>
          <w:rStyle w:val="FootnoteReference"/>
        </w:rPr>
        <w:footnoteRef/>
      </w:r>
      <w:r>
        <w:t xml:space="preserve"> While the AECH is a retail payments system, it is also regarded as a financial market infrastructure by BoA. Hence, the Principles for Financial Market Infrastructures become applicable to this system.</w:t>
      </w:r>
    </w:p>
  </w:footnote>
  <w:footnote w:id="53">
    <w:p w14:paraId="422E449C" w14:textId="77777777" w:rsidR="00267829" w:rsidRPr="005A4EDB" w:rsidRDefault="00267829">
      <w:pPr>
        <w:pStyle w:val="FootnoteText"/>
      </w:pPr>
      <w:r>
        <w:rPr>
          <w:rStyle w:val="FootnoteReference"/>
        </w:rPr>
        <w:footnoteRef/>
      </w:r>
      <w:r>
        <w:t xml:space="preserve"> </w:t>
      </w:r>
      <w:r w:rsidRPr="005A4EDB">
        <w:rPr>
          <w:color w:val="000000" w:themeColor="text1"/>
          <w:szCs w:val="24"/>
          <w:lang w:eastAsia="en-US"/>
        </w:rPr>
        <w:t>It should also be noted that the collateralization of net debit positions is a measure that</w:t>
      </w:r>
      <w:r>
        <w:rPr>
          <w:color w:val="000000" w:themeColor="text1"/>
          <w:szCs w:val="24"/>
          <w:lang w:eastAsia="en-US"/>
        </w:rPr>
        <w:t xml:space="preserve">, </w:t>
      </w:r>
      <w:r w:rsidRPr="005A4EDB">
        <w:rPr>
          <w:color w:val="000000" w:themeColor="text1"/>
          <w:szCs w:val="24"/>
          <w:lang w:eastAsia="en-US"/>
        </w:rPr>
        <w:t xml:space="preserve">depending on </w:t>
      </w:r>
      <w:r>
        <w:rPr>
          <w:color w:val="000000" w:themeColor="text1"/>
          <w:szCs w:val="24"/>
          <w:lang w:eastAsia="en-US"/>
        </w:rPr>
        <w:t xml:space="preserve">its </w:t>
      </w:r>
      <w:r w:rsidRPr="005A4EDB">
        <w:rPr>
          <w:color w:val="000000" w:themeColor="text1"/>
          <w:szCs w:val="24"/>
          <w:lang w:eastAsia="en-US"/>
        </w:rPr>
        <w:t>specific design</w:t>
      </w:r>
      <w:r>
        <w:rPr>
          <w:color w:val="000000" w:themeColor="text1"/>
          <w:szCs w:val="24"/>
          <w:lang w:eastAsia="en-US"/>
        </w:rPr>
        <w:t xml:space="preserve">, </w:t>
      </w:r>
      <w:r w:rsidRPr="005A4EDB">
        <w:rPr>
          <w:color w:val="000000" w:themeColor="text1"/>
          <w:szCs w:val="24"/>
          <w:lang w:eastAsia="en-US"/>
        </w:rPr>
        <w:t xml:space="preserve">could </w:t>
      </w:r>
      <w:r>
        <w:rPr>
          <w:color w:val="000000" w:themeColor="text1"/>
          <w:szCs w:val="24"/>
          <w:lang w:eastAsia="en-US"/>
        </w:rPr>
        <w:t xml:space="preserve">in principle </w:t>
      </w:r>
      <w:r w:rsidRPr="005A4EDB">
        <w:rPr>
          <w:color w:val="000000" w:themeColor="text1"/>
          <w:szCs w:val="24"/>
          <w:lang w:eastAsia="en-US"/>
        </w:rPr>
        <w:t>be fulfilled by both banks and non-banks</w:t>
      </w:r>
      <w:r>
        <w:rPr>
          <w:color w:val="000000" w:themeColor="text1"/>
          <w:szCs w:val="24"/>
          <w:lang w:eastAsia="en-US"/>
        </w:rPr>
        <w:t xml:space="preserve"> in t</w:t>
      </w:r>
      <w:r w:rsidRPr="005A4EDB">
        <w:rPr>
          <w:color w:val="000000" w:themeColor="text1"/>
          <w:szCs w:val="24"/>
          <w:lang w:eastAsia="en-US"/>
        </w:rPr>
        <w:t xml:space="preserve">he </w:t>
      </w:r>
      <w:r>
        <w:rPr>
          <w:color w:val="000000" w:themeColor="text1"/>
          <w:szCs w:val="24"/>
          <w:lang w:eastAsia="en-US"/>
        </w:rPr>
        <w:t>e</w:t>
      </w:r>
      <w:r w:rsidRPr="005A4EDB">
        <w:rPr>
          <w:color w:val="000000" w:themeColor="text1"/>
          <w:szCs w:val="24"/>
          <w:lang w:eastAsia="en-US"/>
        </w:rPr>
        <w:t xml:space="preserve">vent the latter </w:t>
      </w:r>
      <w:r>
        <w:rPr>
          <w:color w:val="000000" w:themeColor="text1"/>
          <w:szCs w:val="24"/>
          <w:lang w:eastAsia="en-US"/>
        </w:rPr>
        <w:t>we</w:t>
      </w:r>
      <w:r w:rsidRPr="005A4EDB">
        <w:rPr>
          <w:color w:val="000000" w:themeColor="text1"/>
          <w:szCs w:val="24"/>
          <w:lang w:eastAsia="en-US"/>
        </w:rPr>
        <w:t xml:space="preserve">re allowed to </w:t>
      </w:r>
      <w:r>
        <w:rPr>
          <w:color w:val="000000" w:themeColor="text1"/>
          <w:szCs w:val="24"/>
          <w:lang w:eastAsia="en-US"/>
        </w:rPr>
        <w:t>settle their positions from the AECH directly in AIPS. In other words, a</w:t>
      </w:r>
      <w:r w:rsidRPr="005A4EDB">
        <w:rPr>
          <w:color w:val="000000" w:themeColor="text1"/>
          <w:szCs w:val="24"/>
          <w:lang w:eastAsia="en-US"/>
        </w:rPr>
        <w:t>ccess to the ILF</w:t>
      </w:r>
      <w:r>
        <w:rPr>
          <w:color w:val="000000" w:themeColor="text1"/>
          <w:szCs w:val="24"/>
          <w:lang w:eastAsia="en-US"/>
        </w:rPr>
        <w:t xml:space="preserve"> as a settlement assurance tool for AECH positions would not necessarily be needed by non-banks (or by banks). </w:t>
      </w:r>
    </w:p>
  </w:footnote>
  <w:footnote w:id="54">
    <w:p w14:paraId="040AF1F6" w14:textId="77777777" w:rsidR="00267829" w:rsidRPr="004A346A" w:rsidRDefault="00267829">
      <w:pPr>
        <w:pStyle w:val="FootnoteText"/>
      </w:pPr>
      <w:r>
        <w:rPr>
          <w:rStyle w:val="FootnoteReference"/>
        </w:rPr>
        <w:footnoteRef/>
      </w:r>
      <w:r>
        <w:t xml:space="preserve"> For details on how these infrastructures support access to financial services, see CPMI and World Bank (2016), “Payment Aspects of Financial Inclusion”, pp 31-34.</w:t>
      </w:r>
    </w:p>
  </w:footnote>
  <w:footnote w:id="55">
    <w:p w14:paraId="32F12350" w14:textId="77777777" w:rsidR="00267829" w:rsidRPr="0065612F" w:rsidRDefault="00267829">
      <w:pPr>
        <w:pStyle w:val="FootnoteText"/>
      </w:pPr>
      <w:r>
        <w:rPr>
          <w:rStyle w:val="FootnoteReference"/>
        </w:rPr>
        <w:footnoteRef/>
      </w:r>
      <w:r>
        <w:t xml:space="preserve">  A 100% coverage is rather common throughout the Balkans. However, as at 2012 the global average was 85% according to World Bank data.</w:t>
      </w:r>
    </w:p>
  </w:footnote>
  <w:footnote w:id="56">
    <w:p w14:paraId="67E48FB3" w14:textId="77777777" w:rsidR="00267829" w:rsidRPr="00D5154F" w:rsidRDefault="00267829">
      <w:pPr>
        <w:pStyle w:val="FootnoteText"/>
      </w:pPr>
      <w:r>
        <w:rPr>
          <w:rStyle w:val="FootnoteReference"/>
        </w:rPr>
        <w:footnoteRef/>
      </w:r>
      <w:r>
        <w:t xml:space="preserve"> Source: Ministry of Innovation and Public Administration’s document “Digital Agenda of Albania 2015-2020”, page 14.</w:t>
      </w:r>
    </w:p>
  </w:footnote>
  <w:footnote w:id="57">
    <w:p w14:paraId="4669A57C" w14:textId="77777777" w:rsidR="00267829" w:rsidRPr="009D4925" w:rsidRDefault="00267829">
      <w:pPr>
        <w:pStyle w:val="FootnoteText"/>
      </w:pPr>
      <w:r>
        <w:rPr>
          <w:rStyle w:val="FootnoteReference"/>
        </w:rPr>
        <w:footnoteRef/>
      </w:r>
      <w:r>
        <w:t xml:space="preserve"> </w:t>
      </w:r>
      <w:r w:rsidRPr="009D4925">
        <w:rPr>
          <w:color w:val="000000" w:themeColor="text1"/>
          <w:szCs w:val="24"/>
          <w:lang w:eastAsia="en-US"/>
        </w:rPr>
        <w:t xml:space="preserve">Also, </w:t>
      </w:r>
      <w:r>
        <w:rPr>
          <w:color w:val="000000" w:themeColor="text1"/>
          <w:szCs w:val="24"/>
          <w:lang w:eastAsia="en-US"/>
        </w:rPr>
        <w:t xml:space="preserve">it should be noted that including </w:t>
      </w:r>
      <w:r w:rsidRPr="009D4925">
        <w:rPr>
          <w:color w:val="000000" w:themeColor="text1"/>
          <w:szCs w:val="24"/>
          <w:lang w:eastAsia="en-US"/>
        </w:rPr>
        <w:t xml:space="preserve">data from loans </w:t>
      </w:r>
      <w:r>
        <w:rPr>
          <w:color w:val="000000" w:themeColor="text1"/>
          <w:szCs w:val="24"/>
          <w:lang w:eastAsia="en-US"/>
        </w:rPr>
        <w:t xml:space="preserve">and other forms of credit granted by </w:t>
      </w:r>
      <w:r w:rsidRPr="009D4925">
        <w:rPr>
          <w:color w:val="000000" w:themeColor="text1"/>
          <w:szCs w:val="24"/>
          <w:lang w:eastAsia="en-US"/>
        </w:rPr>
        <w:t xml:space="preserve">non-financial sector entities </w:t>
      </w:r>
      <w:r>
        <w:rPr>
          <w:color w:val="000000" w:themeColor="text1"/>
          <w:szCs w:val="24"/>
          <w:lang w:eastAsia="en-US"/>
        </w:rPr>
        <w:t xml:space="preserve">in a credit bureau </w:t>
      </w:r>
      <w:r w:rsidRPr="009D4925">
        <w:rPr>
          <w:color w:val="000000" w:themeColor="text1"/>
          <w:szCs w:val="24"/>
          <w:lang w:eastAsia="en-US"/>
        </w:rPr>
        <w:t xml:space="preserve">can eventually open the door to </w:t>
      </w:r>
      <w:r>
        <w:rPr>
          <w:color w:val="000000" w:themeColor="text1"/>
          <w:szCs w:val="24"/>
          <w:lang w:eastAsia="en-US"/>
        </w:rPr>
        <w:t xml:space="preserve">obtaining </w:t>
      </w:r>
      <w:r w:rsidRPr="009D4925">
        <w:rPr>
          <w:color w:val="000000" w:themeColor="text1"/>
          <w:szCs w:val="24"/>
          <w:lang w:eastAsia="en-US"/>
        </w:rPr>
        <w:t>large</w:t>
      </w:r>
      <w:r>
        <w:rPr>
          <w:color w:val="000000" w:themeColor="text1"/>
          <w:szCs w:val="24"/>
          <w:lang w:eastAsia="en-US"/>
        </w:rPr>
        <w:t>r</w:t>
      </w:r>
      <w:r w:rsidRPr="009D4925">
        <w:rPr>
          <w:color w:val="000000" w:themeColor="text1"/>
          <w:szCs w:val="24"/>
          <w:lang w:eastAsia="en-US"/>
        </w:rPr>
        <w:t xml:space="preserve"> loans from banks (e.g. a mortgage).</w:t>
      </w:r>
      <w:r>
        <w:rPr>
          <w:color w:val="000000" w:themeColor="text1"/>
          <w:szCs w:val="24"/>
          <w:lang w:eastAsia="en-US"/>
        </w:rPr>
        <w:t xml:space="preserve"> For additional information see the latest consultative report of the International Committee on Credit Reporting and the World Bank “How Credit Reporting Contributes to Financial Inclusion”, available at </w:t>
      </w:r>
      <w:hyperlink r:id="rId4" w:history="1">
        <w:r w:rsidRPr="008515B3">
          <w:rPr>
            <w:rStyle w:val="Hyperlink"/>
            <w:szCs w:val="24"/>
            <w:lang w:eastAsia="en-US"/>
          </w:rPr>
          <w:t>https://consultations.worldbank.org/consultation/how-credit-reporting-contributes-financial-inclusion</w:t>
        </w:r>
      </w:hyperlink>
      <w:r>
        <w:rPr>
          <w:color w:val="000000" w:themeColor="text1"/>
          <w:szCs w:val="24"/>
          <w:lang w:eastAsia="en-US"/>
        </w:rPr>
        <w:t>.</w:t>
      </w:r>
    </w:p>
  </w:footnote>
  <w:footnote w:id="58">
    <w:p w14:paraId="5DFE6F9F" w14:textId="77777777" w:rsidR="00267829" w:rsidRPr="00C676C5" w:rsidRDefault="00267829">
      <w:pPr>
        <w:pStyle w:val="FootnoteText"/>
      </w:pPr>
      <w:r>
        <w:rPr>
          <w:rStyle w:val="FootnoteReference"/>
        </w:rPr>
        <w:footnoteRef/>
      </w:r>
      <w:r>
        <w:t xml:space="preserve"> </w:t>
      </w:r>
      <w:r w:rsidRPr="004103D6">
        <w:t>This section focuses on accounts owned by individuals</w:t>
      </w:r>
      <w:r>
        <w:t xml:space="preserve">. </w:t>
      </w:r>
      <w:r w:rsidRPr="004103D6">
        <w:t xml:space="preserve">The corresponding figures for firms are 192,995 </w:t>
      </w:r>
      <w:r>
        <w:t xml:space="preserve">resident bank accounts </w:t>
      </w:r>
      <w:r w:rsidRPr="004103D6">
        <w:t>and 1,326</w:t>
      </w:r>
      <w:r>
        <w:t xml:space="preserve"> non-resident bank accounts</w:t>
      </w:r>
      <w:r w:rsidRPr="004103D6">
        <w:t xml:space="preserve">. </w:t>
      </w:r>
    </w:p>
  </w:footnote>
  <w:footnote w:id="59">
    <w:p w14:paraId="050CFDFB" w14:textId="77777777" w:rsidR="00267829" w:rsidRPr="00F465AA" w:rsidRDefault="00267829">
      <w:pPr>
        <w:pStyle w:val="FootnoteText"/>
      </w:pPr>
      <w:r>
        <w:rPr>
          <w:rStyle w:val="FootnoteReference"/>
        </w:rPr>
        <w:footnoteRef/>
      </w:r>
      <w:r>
        <w:t xml:space="preserve"> This data has already been discussed in detail in section 2.3 of this report.</w:t>
      </w:r>
    </w:p>
  </w:footnote>
  <w:footnote w:id="60">
    <w:p w14:paraId="5E784A24" w14:textId="77777777" w:rsidR="00267829" w:rsidRPr="00F465AA" w:rsidRDefault="00267829">
      <w:pPr>
        <w:pStyle w:val="FootnoteText"/>
      </w:pPr>
      <w:r>
        <w:rPr>
          <w:rStyle w:val="FootnoteReference"/>
        </w:rPr>
        <w:footnoteRef/>
      </w:r>
      <w:r>
        <w:t xml:space="preserve"> As of 2014, the number of e-money accounts was very small, and hence little representative in the total.</w:t>
      </w:r>
    </w:p>
  </w:footnote>
  <w:footnote w:id="61">
    <w:p w14:paraId="47C13D9D" w14:textId="77777777" w:rsidR="00267829" w:rsidRPr="006E6653" w:rsidRDefault="00267829">
      <w:pPr>
        <w:pStyle w:val="FootnoteText"/>
      </w:pPr>
      <w:r>
        <w:rPr>
          <w:rStyle w:val="FootnoteReference"/>
        </w:rPr>
        <w:footnoteRef/>
      </w:r>
      <w:r>
        <w:t xml:space="preserve"> Student and pensioner accounts are a partial exception to this.</w:t>
      </w:r>
    </w:p>
  </w:footnote>
  <w:footnote w:id="62">
    <w:p w14:paraId="5B659783" w14:textId="77777777" w:rsidR="00267829" w:rsidRPr="008763A4" w:rsidRDefault="00267829" w:rsidP="00D371F2">
      <w:pPr>
        <w:pStyle w:val="FootnoteText"/>
      </w:pPr>
      <w:r>
        <w:rPr>
          <w:rStyle w:val="FootnoteReference"/>
        </w:rPr>
        <w:footnoteRef/>
      </w:r>
      <w:r>
        <w:t xml:space="preserve"> Banks in Albania do not operate with non-bank agents or correspondents. </w:t>
      </w:r>
    </w:p>
  </w:footnote>
  <w:footnote w:id="63">
    <w:p w14:paraId="63725082" w14:textId="77777777" w:rsidR="00267829" w:rsidRPr="00C16CF8" w:rsidRDefault="00267829">
      <w:pPr>
        <w:pStyle w:val="FootnoteText"/>
      </w:pPr>
      <w:r>
        <w:rPr>
          <w:rStyle w:val="FootnoteReference"/>
        </w:rPr>
        <w:footnoteRef/>
      </w:r>
      <w:r>
        <w:t xml:space="preserve"> Interbank funds transfers are generally only available in ALL, as there is no domestic interbank systems for processing payments in Euro or other foreign currencies.</w:t>
      </w:r>
    </w:p>
  </w:footnote>
  <w:footnote w:id="64">
    <w:p w14:paraId="338775DA" w14:textId="77777777" w:rsidR="00267829" w:rsidRPr="00B6603A" w:rsidRDefault="00267829">
      <w:pPr>
        <w:pStyle w:val="FootnoteText"/>
      </w:pPr>
      <w:r>
        <w:rPr>
          <w:rStyle w:val="FootnoteReference"/>
        </w:rPr>
        <w:footnoteRef/>
      </w:r>
      <w:r>
        <w:t xml:space="preserve"> Account numbers are standardized in Albania on the basis of IBAN.</w:t>
      </w:r>
    </w:p>
  </w:footnote>
  <w:footnote w:id="65">
    <w:p w14:paraId="6EC0F1E0" w14:textId="77777777" w:rsidR="00267829" w:rsidRPr="009F5814" w:rsidRDefault="00267829">
      <w:pPr>
        <w:pStyle w:val="FootnoteText"/>
      </w:pPr>
      <w:r>
        <w:rPr>
          <w:rStyle w:val="FootnoteReference"/>
        </w:rPr>
        <w:footnoteRef/>
      </w:r>
      <w:r>
        <w:t xml:space="preserve"> During one of the meetings with the banks it was mentioned that banks will generally not charge a fee for interbank funds transfers for an amount up to ALL 1 million.</w:t>
      </w:r>
    </w:p>
  </w:footnote>
  <w:footnote w:id="66">
    <w:p w14:paraId="7B0C1BBA" w14:textId="77777777" w:rsidR="00267829" w:rsidRPr="003D4E58" w:rsidRDefault="00267829">
      <w:pPr>
        <w:pStyle w:val="FootnoteText"/>
      </w:pPr>
      <w:r>
        <w:rPr>
          <w:rStyle w:val="FootnoteReference"/>
        </w:rPr>
        <w:footnoteRef/>
      </w:r>
      <w:r>
        <w:t xml:space="preserve"> All figures in this paragraph exclude account top-ups or cash-outs.</w:t>
      </w:r>
    </w:p>
  </w:footnote>
  <w:footnote w:id="67">
    <w:p w14:paraId="1A90AA6E" w14:textId="77777777" w:rsidR="00267829" w:rsidRPr="00E55358" w:rsidRDefault="00267829" w:rsidP="00721C85">
      <w:pPr>
        <w:pStyle w:val="FootnoteText"/>
      </w:pPr>
      <w:r>
        <w:rPr>
          <w:rStyle w:val="FootnoteReference"/>
        </w:rPr>
        <w:footnoteRef/>
      </w:r>
      <w:r>
        <w:t xml:space="preserve"> </w:t>
      </w:r>
      <w:r>
        <w:rPr>
          <w:lang w:eastAsia="en-US"/>
        </w:rPr>
        <w:t>However, the vast majority of EasyPay’s payments business actually comes from walk-in customers that pay in cash: as mentioned earlier, it has issued approximately 9,000 accounts, while it has some 450,000 walk-in customers that make their bill payments in cash.</w:t>
      </w:r>
    </w:p>
  </w:footnote>
  <w:footnote w:id="68">
    <w:p w14:paraId="3AE6FB2E" w14:textId="77777777" w:rsidR="00267829" w:rsidRPr="00C468D5" w:rsidRDefault="00267829">
      <w:pPr>
        <w:pStyle w:val="FootnoteText"/>
      </w:pPr>
      <w:r>
        <w:rPr>
          <w:rStyle w:val="FootnoteReference"/>
        </w:rPr>
        <w:footnoteRef/>
      </w:r>
      <w:r>
        <w:t xml:space="preserve"> Excluding transportation costs, time spent and other variables.</w:t>
      </w:r>
    </w:p>
  </w:footnote>
  <w:footnote w:id="69">
    <w:p w14:paraId="4A3ED68C" w14:textId="77777777" w:rsidR="00267829" w:rsidRPr="005E0D6F" w:rsidRDefault="00267829">
      <w:pPr>
        <w:pStyle w:val="FootnoteText"/>
      </w:pPr>
      <w:r>
        <w:rPr>
          <w:rStyle w:val="FootnoteReference"/>
        </w:rPr>
        <w:footnoteRef/>
      </w:r>
      <w:r>
        <w:t xml:space="preserve"> It should be noted that banks could still benefit from this situation as they would have a larger amount of relatively stable funds available for on-lending. At the same time, the minimum average balance required should not be too high so as to make it practically impossible to achieve for a majority of accountholders. </w:t>
      </w:r>
    </w:p>
  </w:footnote>
  <w:footnote w:id="70">
    <w:p w14:paraId="67B99398" w14:textId="77777777" w:rsidR="00267829" w:rsidRPr="00C626B7" w:rsidRDefault="00267829">
      <w:pPr>
        <w:pStyle w:val="FootnoteText"/>
      </w:pPr>
      <w:r>
        <w:rPr>
          <w:rStyle w:val="FootnoteReference"/>
        </w:rPr>
        <w:footnoteRef/>
      </w:r>
      <w:r>
        <w:t xml:space="preserve"> For additional information see annex 4, which reproduces Box 3 “Key outcomes from a PAFI survey of basic accounts in selected countries” of the PAFI report.</w:t>
      </w:r>
    </w:p>
  </w:footnote>
  <w:footnote w:id="71">
    <w:p w14:paraId="55602D25" w14:textId="77777777" w:rsidR="00267829" w:rsidRPr="00F574A3" w:rsidRDefault="00267829">
      <w:pPr>
        <w:pStyle w:val="FootnoteText"/>
      </w:pPr>
      <w:r>
        <w:rPr>
          <w:rStyle w:val="FootnoteReference"/>
        </w:rPr>
        <w:footnoteRef/>
      </w:r>
      <w:r>
        <w:t xml:space="preserve"> According to BoA data, the number of POS terminals with cash back/ cash withdrawal functions was actually much higher in 2008 and 2009, and fell abruptly from 2010 onwards. </w:t>
      </w:r>
    </w:p>
  </w:footnote>
  <w:footnote w:id="72">
    <w:p w14:paraId="65B0D91A" w14:textId="77777777" w:rsidR="00267829" w:rsidRDefault="00267829">
      <w:pPr>
        <w:pStyle w:val="FootnoteText"/>
      </w:pPr>
      <w:r>
        <w:rPr>
          <w:rStyle w:val="FootnoteReference"/>
        </w:rPr>
        <w:footnoteRef/>
      </w:r>
      <w:r>
        <w:t xml:space="preserve"> Source: World Bank Global Payment Systems Survey (2015), IMF Financial Access Survey (2015).</w:t>
      </w:r>
    </w:p>
  </w:footnote>
  <w:footnote w:id="73">
    <w:p w14:paraId="4C85B387" w14:textId="77777777" w:rsidR="00267829" w:rsidRPr="00E620A2" w:rsidRDefault="00267829">
      <w:pPr>
        <w:pStyle w:val="FootnoteText"/>
      </w:pPr>
      <w:r>
        <w:rPr>
          <w:rStyle w:val="FootnoteReference"/>
        </w:rPr>
        <w:footnoteRef/>
      </w:r>
      <w:r>
        <w:t xml:space="preserve"> This includes some social grants/benefit programs that are disbursed directly by municipalities.</w:t>
      </w:r>
    </w:p>
  </w:footnote>
  <w:footnote w:id="74">
    <w:p w14:paraId="40453043" w14:textId="77777777" w:rsidR="00267829" w:rsidRPr="00C36D33" w:rsidRDefault="00267829">
      <w:pPr>
        <w:pStyle w:val="FootnoteText"/>
      </w:pPr>
      <w:r>
        <w:rPr>
          <w:rStyle w:val="FootnoteReference"/>
        </w:rPr>
        <w:footnoteRef/>
      </w:r>
      <w:r>
        <w:t xml:space="preserve"> Box 15 of the PAFI report describes successful examples of agent banking throughout the world.</w:t>
      </w:r>
    </w:p>
  </w:footnote>
  <w:footnote w:id="75">
    <w:p w14:paraId="39595B99" w14:textId="77777777" w:rsidR="00267829" w:rsidRPr="00710282" w:rsidRDefault="00267829">
      <w:pPr>
        <w:pStyle w:val="FootnoteText"/>
      </w:pPr>
      <w:r>
        <w:rPr>
          <w:rStyle w:val="FootnoteReference"/>
        </w:rPr>
        <w:footnoteRef/>
      </w:r>
      <w:r>
        <w:t xml:space="preserve"> In some countries agents perform a wider range of operations. For example, they also receive loan applications that are forwarded to the bank for analysis and decision. </w:t>
      </w:r>
    </w:p>
  </w:footnote>
  <w:footnote w:id="76">
    <w:p w14:paraId="341BCD95" w14:textId="77777777" w:rsidR="00267829" w:rsidRPr="009306A9" w:rsidRDefault="00267829">
      <w:pPr>
        <w:pStyle w:val="FootnoteText"/>
      </w:pPr>
      <w:r>
        <w:rPr>
          <w:rStyle w:val="FootnoteReference"/>
        </w:rPr>
        <w:footnoteRef/>
      </w:r>
      <w:r>
        <w:t xml:space="preserve"> This observation is different from the one in section 4.1 which discusses the i</w:t>
      </w:r>
      <w:r w:rsidRPr="009306A9">
        <w:t xml:space="preserve">nteroperability of </w:t>
      </w:r>
      <w:r>
        <w:t xml:space="preserve">e-money accounts and interoperability between </w:t>
      </w:r>
      <w:r w:rsidRPr="009306A9">
        <w:t>bank accounts and e-money accounts.</w:t>
      </w:r>
      <w:r>
        <w:t xml:space="preserve"> In an ideal scenario, the whole banking and e-money ecosystems (i.e. products, channels and service points, processing infrastructures, etc.) would be interoperable.</w:t>
      </w:r>
    </w:p>
  </w:footnote>
  <w:footnote w:id="77">
    <w:p w14:paraId="29AA8E2B" w14:textId="77777777" w:rsidR="00267829" w:rsidRPr="001D1503" w:rsidRDefault="00267829">
      <w:pPr>
        <w:pStyle w:val="FootnoteText"/>
      </w:pPr>
      <w:r>
        <w:rPr>
          <w:rStyle w:val="FootnoteReference"/>
        </w:rPr>
        <w:footnoteRef/>
      </w:r>
      <w:r>
        <w:t xml:space="preserve"> </w:t>
      </w:r>
      <w:r w:rsidRPr="00D338DD">
        <w:t xml:space="preserve">However, </w:t>
      </w:r>
      <w:r>
        <w:t>as mentioned in the PAFI report, le</w:t>
      </w:r>
      <w:r w:rsidRPr="00D338DD">
        <w:t>verag</w:t>
      </w:r>
      <w:r>
        <w:t>ing</w:t>
      </w:r>
      <w:r w:rsidRPr="00D338DD">
        <w:t xml:space="preserve"> these payment streams for financial</w:t>
      </w:r>
      <w:r>
        <w:t xml:space="preserve"> </w:t>
      </w:r>
      <w:r w:rsidRPr="00D338DD">
        <w:t>inclusion purposes is unlikely to be pursued if technical and business considerations are not</w:t>
      </w:r>
      <w:r>
        <w:t xml:space="preserve"> </w:t>
      </w:r>
      <w:r w:rsidRPr="00D338DD">
        <w:t>supportive of the primary objectives of the driving party (e</w:t>
      </w:r>
      <w:r>
        <w:t>.</w:t>
      </w:r>
      <w:r w:rsidRPr="00D338DD">
        <w:t>g</w:t>
      </w:r>
      <w:r>
        <w:t>.</w:t>
      </w:r>
      <w:r w:rsidRPr="00D338DD">
        <w:t xml:space="preserve"> to cut costs</w:t>
      </w:r>
      <w:r>
        <w:t>,</w:t>
      </w:r>
      <w:r w:rsidRPr="00D338DD">
        <w:t xml:space="preserve"> </w:t>
      </w:r>
      <w:r>
        <w:t>improve targeting of beneficiaries, reduce leakage, etc.</w:t>
      </w:r>
      <w:r w:rsidRPr="00D338DD">
        <w:t>).</w:t>
      </w:r>
    </w:p>
  </w:footnote>
  <w:footnote w:id="78">
    <w:p w14:paraId="0F1CD493" w14:textId="77777777" w:rsidR="00267829" w:rsidRDefault="00267829" w:rsidP="0070650E">
      <w:pPr>
        <w:pStyle w:val="FootnoteText"/>
      </w:pPr>
      <w:r>
        <w:rPr>
          <w:rStyle w:val="FootnoteReference"/>
        </w:rPr>
        <w:footnoteRef/>
      </w:r>
      <w:r>
        <w:t xml:space="preserve"> Source: Instat, 2015.</w:t>
      </w:r>
    </w:p>
  </w:footnote>
  <w:footnote w:id="79">
    <w:p w14:paraId="6013D3C8" w14:textId="77777777" w:rsidR="00267829" w:rsidRDefault="00267829" w:rsidP="0070650E">
      <w:pPr>
        <w:pStyle w:val="FootnoteText"/>
      </w:pPr>
      <w:r>
        <w:rPr>
          <w:rStyle w:val="FootnoteReference"/>
        </w:rPr>
        <w:footnoteRef/>
      </w:r>
      <w:r>
        <w:t xml:space="preserve"> Even though salaries are channeled through the beneficiary’s bank account, the beneficiary in many cases withdraws the entire salary in cash from the bank branch or ATM during pay-day. Another indicative statistic of this is that 78</w:t>
      </w:r>
      <w:r>
        <w:rPr>
          <w:szCs w:val="24"/>
        </w:rPr>
        <w:t xml:space="preserve">% </w:t>
      </w:r>
      <w:r>
        <w:t xml:space="preserve">of adults that own a debit card use it exclusively for cash withdrawals. </w:t>
      </w:r>
    </w:p>
  </w:footnote>
  <w:footnote w:id="80">
    <w:p w14:paraId="73B08B53" w14:textId="77777777" w:rsidR="00267829" w:rsidRDefault="00267829" w:rsidP="00A92948">
      <w:pPr>
        <w:pStyle w:val="FootnoteText"/>
      </w:pPr>
      <w:r>
        <w:rPr>
          <w:rStyle w:val="FootnoteReference"/>
        </w:rPr>
        <w:footnoteRef/>
      </w:r>
      <w:r>
        <w:t xml:space="preserve"> </w:t>
      </w:r>
      <w:r>
        <w:rPr>
          <w:lang w:val="en-GB"/>
        </w:rPr>
        <w:t>The specific challenges associated with international remittances are discussed in a separate World Bank PSDG report “Review of the market for remittances in Albania on the basis of the CPSS-World Bank General Principles for International Remittances”.</w:t>
      </w:r>
    </w:p>
  </w:footnote>
  <w:footnote w:id="81">
    <w:p w14:paraId="56DDF007" w14:textId="77777777" w:rsidR="00267829" w:rsidRPr="00B719E4" w:rsidRDefault="00267829" w:rsidP="0070650E">
      <w:pPr>
        <w:pStyle w:val="FootnoteText"/>
        <w:rPr>
          <w:lang w:val="en-GB"/>
        </w:rPr>
      </w:pPr>
      <w:r w:rsidRPr="00B719E4">
        <w:rPr>
          <w:vertAlign w:val="superscript"/>
          <w:lang w:val="en-GB"/>
        </w:rPr>
        <w:footnoteRef/>
      </w:r>
      <w:r w:rsidRPr="00B719E4">
        <w:rPr>
          <w:vertAlign w:val="superscript"/>
          <w:lang w:val="en-GB"/>
        </w:rPr>
        <w:t xml:space="preserve"> </w:t>
      </w:r>
      <w:r w:rsidRPr="00B719E4">
        <w:rPr>
          <w:lang w:val="en-GB"/>
        </w:rPr>
        <w:t>WB staff calculation based on data from IMF Balance of Payments Statistics database and data releases from central banks, national statistical agencies, and WBG country desks, October 2014.</w:t>
      </w:r>
    </w:p>
  </w:footnote>
  <w:footnote w:id="82">
    <w:p w14:paraId="1B4E2692" w14:textId="77777777" w:rsidR="00267829" w:rsidRDefault="00267829" w:rsidP="0070650E">
      <w:pPr>
        <w:pStyle w:val="FootnoteText"/>
        <w:rPr>
          <w:rFonts w:ascii="Calibri" w:hAnsi="Calibri" w:cs="Calibri"/>
          <w:szCs w:val="18"/>
        </w:rPr>
      </w:pPr>
      <w:r w:rsidRPr="00B719E4">
        <w:rPr>
          <w:vertAlign w:val="superscript"/>
          <w:lang w:val="en-GB"/>
        </w:rPr>
        <w:footnoteRef/>
      </w:r>
      <w:r w:rsidRPr="00B719E4">
        <w:rPr>
          <w:vertAlign w:val="superscript"/>
          <w:lang w:val="en-GB"/>
        </w:rPr>
        <w:t xml:space="preserve">  </w:t>
      </w:r>
      <w:r w:rsidRPr="00B719E4">
        <w:rPr>
          <w:lang w:val="en-GB"/>
        </w:rPr>
        <w:t>Data collected by the WBG Baseline Survey on remittance beneficiaries’ financial behaviors in Albania, 2016.</w:t>
      </w:r>
      <w:r>
        <w:rPr>
          <w:rFonts w:ascii="Calibri" w:hAnsi="Calibri" w:cs="Calibri"/>
          <w:szCs w:val="18"/>
        </w:rPr>
        <w:t xml:space="preserve"> </w:t>
      </w:r>
    </w:p>
  </w:footnote>
  <w:footnote w:id="83">
    <w:p w14:paraId="202A6357" w14:textId="77777777" w:rsidR="00267829" w:rsidRDefault="00267829" w:rsidP="0070650E">
      <w:pPr>
        <w:pStyle w:val="FootnoteText"/>
      </w:pPr>
      <w:r>
        <w:rPr>
          <w:rStyle w:val="FootnoteReference"/>
        </w:rPr>
        <w:footnoteRef/>
      </w:r>
      <w:r>
        <w:t xml:space="preserve"> Multiple responses allowed. </w:t>
      </w:r>
    </w:p>
  </w:footnote>
  <w:footnote w:id="84">
    <w:p w14:paraId="1531D235" w14:textId="77777777" w:rsidR="00267829" w:rsidRDefault="00267829" w:rsidP="005B381C">
      <w:pPr>
        <w:pStyle w:val="FootnoteText"/>
        <w:jc w:val="both"/>
      </w:pPr>
      <w:r>
        <w:rPr>
          <w:rStyle w:val="FootnoteReference"/>
        </w:rPr>
        <w:footnoteRef/>
      </w:r>
      <w:r>
        <w:t xml:space="preserve"> </w:t>
      </w:r>
      <w:r w:rsidRPr="005B381C">
        <w:t xml:space="preserve">The Financial Inclusion Law of Uruguay (Law 19.210 of May 2014) </w:t>
      </w:r>
      <w:r>
        <w:t xml:space="preserve">aimed to: </w:t>
      </w:r>
      <w:r w:rsidRPr="005B381C">
        <w:t>(i) achieve universal access to payment / financial services in the country; (ii) improve competition in the provision of financial services;</w:t>
      </w:r>
      <w:r>
        <w:t xml:space="preserve"> (</w:t>
      </w:r>
      <w:r w:rsidRPr="005B381C">
        <w:t>iii) improve the efficiency of payment services, including through e-money; and</w:t>
      </w:r>
      <w:r>
        <w:t>,</w:t>
      </w:r>
      <w:r w:rsidRPr="005B381C">
        <w:t xml:space="preserve"> (iv) reduce VAT on transactions effected using electronic payment instruments. </w:t>
      </w:r>
      <w:r>
        <w:t xml:space="preserve">The Law </w:t>
      </w:r>
      <w:r w:rsidRPr="005B381C">
        <w:t>provisions do not only concern salaries, pensions, and government disbursements, but also affect day-to-day economic transactions and tax payments. In particular, the law established restrictions on use of cash for sales of goods and services over a certain amount and lease / sublease, real estate sale, and purchase of vehicles, and determined a threshold for cash payment of taxes and social security contribution. Furthermore, in the aftermath of the promulgation of the law, purchases made by debit / e-money cards and credit cards at the point of sale were subjected to a VAT rebate of up to 4 percentage points and 2 percentage points, respectively (reductions were designed to decrease over time)</w:t>
      </w:r>
    </w:p>
  </w:footnote>
  <w:footnote w:id="85">
    <w:p w14:paraId="3359E750" w14:textId="77777777" w:rsidR="00267829" w:rsidRPr="008A3B67" w:rsidRDefault="00267829" w:rsidP="008A3B67">
      <w:pPr>
        <w:autoSpaceDE w:val="0"/>
        <w:autoSpaceDN w:val="0"/>
        <w:adjustRightInd w:val="0"/>
        <w:rPr>
          <w:sz w:val="20"/>
        </w:rPr>
      </w:pPr>
      <w:r>
        <w:rPr>
          <w:rStyle w:val="FootnoteReference"/>
        </w:rPr>
        <w:footnoteRef/>
      </w:r>
      <w:r>
        <w:t xml:space="preserve"> </w:t>
      </w:r>
      <w:r w:rsidRPr="008A3B67">
        <w:rPr>
          <w:sz w:val="20"/>
        </w:rPr>
        <w:t>Source: F</w:t>
      </w:r>
      <w:r w:rsidRPr="008A3B67">
        <w:rPr>
          <w:sz w:val="20"/>
          <w:lang w:eastAsia="en-US"/>
        </w:rPr>
        <w:t xml:space="preserve">athallah S., and D. Pearce (2013), </w:t>
      </w:r>
      <w:r>
        <w:rPr>
          <w:sz w:val="20"/>
          <w:lang w:eastAsia="en-US"/>
        </w:rPr>
        <w:t>“</w:t>
      </w:r>
      <w:r w:rsidRPr="008A3B67">
        <w:rPr>
          <w:bCs/>
          <w:iCs/>
          <w:sz w:val="20"/>
          <w:lang w:eastAsia="en-US"/>
        </w:rPr>
        <w:t>Coordination Structures for Financial</w:t>
      </w:r>
      <w:r>
        <w:rPr>
          <w:bCs/>
          <w:iCs/>
          <w:sz w:val="20"/>
          <w:lang w:eastAsia="en-US"/>
        </w:rPr>
        <w:t xml:space="preserve"> </w:t>
      </w:r>
      <w:r w:rsidRPr="008A3B67">
        <w:rPr>
          <w:bCs/>
          <w:iCs/>
          <w:sz w:val="20"/>
          <w:lang w:eastAsia="en-US"/>
        </w:rPr>
        <w:t>Inclusion Strategies and Reforms</w:t>
      </w:r>
      <w:r>
        <w:rPr>
          <w:bCs/>
          <w:iCs/>
          <w:sz w:val="20"/>
          <w:lang w:eastAsia="en-US"/>
        </w:rPr>
        <w:t>”, The World Bank, Washington DC.</w:t>
      </w:r>
    </w:p>
  </w:footnote>
  <w:footnote w:id="86">
    <w:p w14:paraId="1B0BBA69" w14:textId="77777777" w:rsidR="00267829" w:rsidRPr="00700811" w:rsidRDefault="00267829" w:rsidP="00700811">
      <w:pPr>
        <w:pStyle w:val="FootnoteText"/>
      </w:pPr>
      <w:r>
        <w:rPr>
          <w:rStyle w:val="FootnoteReference"/>
        </w:rPr>
        <w:footnoteRef/>
      </w:r>
      <w:r>
        <w:t xml:space="preserve"> </w:t>
      </w:r>
      <w:r w:rsidRPr="00700811">
        <w:rPr>
          <w:lang w:eastAsia="en-US"/>
        </w:rPr>
        <w:t>The term “basic account” is used functionally in this box. In some of the responding countries, this term is not used as such, although there is a product in the marketplace with essentially the same characteristics.</w:t>
      </w:r>
    </w:p>
  </w:footnote>
  <w:footnote w:id="87">
    <w:p w14:paraId="2BFB1986" w14:textId="77777777" w:rsidR="00267829" w:rsidRPr="007B0D73" w:rsidRDefault="00267829">
      <w:pPr>
        <w:pStyle w:val="FootnoteText"/>
      </w:pPr>
      <w:r>
        <w:rPr>
          <w:rStyle w:val="FootnoteReference"/>
        </w:rPr>
        <w:footnoteRef/>
      </w:r>
      <w:r>
        <w:t xml:space="preserve"> Countries surveyed were </w:t>
      </w:r>
      <w:r w:rsidRPr="007B0D73">
        <w:rPr>
          <w:lang w:eastAsia="en-US"/>
        </w:rPr>
        <w:t>Brazil, China, El Salvador, Germany, Hong Kong SAR, India, Italy, Korea, Mauritius, Mexico, Mozambique, Namibia, Russia, the Seychelles, South Africa, Turkey, the United States, Uruguay and Zimbabwe</w:t>
      </w:r>
      <w:r>
        <w:rPr>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B3B4F" w14:textId="69A17085" w:rsidR="00267829" w:rsidRDefault="00267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19F0" w14:textId="716685B7" w:rsidR="00267829" w:rsidRDefault="00267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C861C" w14:textId="28B9593E" w:rsidR="00267829" w:rsidRDefault="00267829" w:rsidP="00D9356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6FE30" w14:textId="6B9F4A90" w:rsidR="00267829" w:rsidRDefault="002678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05164" w14:textId="58FC68F4" w:rsidR="00267829" w:rsidRDefault="002678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DE4DC" w14:textId="0524B0CD" w:rsidR="00267829" w:rsidRDefault="00267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11E2708"/>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00AC010C"/>
    <w:multiLevelType w:val="hybridMultilevel"/>
    <w:tmpl w:val="5546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67432"/>
    <w:multiLevelType w:val="multilevel"/>
    <w:tmpl w:val="31A4C5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0AA1034A"/>
    <w:multiLevelType w:val="multilevel"/>
    <w:tmpl w:val="C11AB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FC8120E"/>
    <w:multiLevelType w:val="hybridMultilevel"/>
    <w:tmpl w:val="CA06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13339"/>
    <w:multiLevelType w:val="hybridMultilevel"/>
    <w:tmpl w:val="8EF82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356E9"/>
    <w:multiLevelType w:val="hybridMultilevel"/>
    <w:tmpl w:val="FBA8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B038B"/>
    <w:multiLevelType w:val="hybridMultilevel"/>
    <w:tmpl w:val="596E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05CA9"/>
    <w:multiLevelType w:val="hybridMultilevel"/>
    <w:tmpl w:val="71EA7A90"/>
    <w:lvl w:ilvl="0" w:tplc="614C33DE">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C40EAD"/>
    <w:multiLevelType w:val="hybridMultilevel"/>
    <w:tmpl w:val="A0182208"/>
    <w:lvl w:ilvl="0" w:tplc="EFE6DCFE">
      <w:start w:val="1"/>
      <w:numFmt w:val="decimal"/>
      <w:lvlText w:val="%1."/>
      <w:lvlJc w:val="left"/>
      <w:pPr>
        <w:ind w:left="720" w:hanging="36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42919"/>
    <w:multiLevelType w:val="hybridMultilevel"/>
    <w:tmpl w:val="D2A468B2"/>
    <w:lvl w:ilvl="0" w:tplc="E804881A">
      <w:start w:val="1"/>
      <w:numFmt w:val="bullet"/>
      <w:pStyle w:val="Chapter"/>
      <w:lvlText w:val=""/>
      <w:lvlJc w:val="left"/>
      <w:pPr>
        <w:tabs>
          <w:tab w:val="num" w:pos="774"/>
        </w:tabs>
        <w:ind w:left="774" w:hanging="360"/>
      </w:pPr>
      <w:rPr>
        <w:rFonts w:ascii="Symbol" w:hAnsi="Symbol" w:hint="default"/>
      </w:rPr>
    </w:lvl>
    <w:lvl w:ilvl="1" w:tplc="0C0A0019" w:tentative="1">
      <w:start w:val="1"/>
      <w:numFmt w:val="bullet"/>
      <w:lvlText w:val="o"/>
      <w:lvlJc w:val="left"/>
      <w:pPr>
        <w:tabs>
          <w:tab w:val="num" w:pos="1494"/>
        </w:tabs>
        <w:ind w:left="1494" w:hanging="360"/>
      </w:pPr>
      <w:rPr>
        <w:rFonts w:ascii="Courier New" w:hAnsi="Courier New" w:cs="Courier New" w:hint="default"/>
      </w:rPr>
    </w:lvl>
    <w:lvl w:ilvl="2" w:tplc="0C0A001B" w:tentative="1">
      <w:start w:val="1"/>
      <w:numFmt w:val="bullet"/>
      <w:lvlText w:val=""/>
      <w:lvlJc w:val="left"/>
      <w:pPr>
        <w:tabs>
          <w:tab w:val="num" w:pos="2214"/>
        </w:tabs>
        <w:ind w:left="2214" w:hanging="360"/>
      </w:pPr>
      <w:rPr>
        <w:rFonts w:ascii="Wingdings" w:hAnsi="Wingdings" w:hint="default"/>
      </w:rPr>
    </w:lvl>
    <w:lvl w:ilvl="3" w:tplc="0C0A000F" w:tentative="1">
      <w:start w:val="1"/>
      <w:numFmt w:val="bullet"/>
      <w:lvlText w:val=""/>
      <w:lvlJc w:val="left"/>
      <w:pPr>
        <w:tabs>
          <w:tab w:val="num" w:pos="2934"/>
        </w:tabs>
        <w:ind w:left="2934" w:hanging="360"/>
      </w:pPr>
      <w:rPr>
        <w:rFonts w:ascii="Symbol" w:hAnsi="Symbol" w:hint="default"/>
      </w:rPr>
    </w:lvl>
    <w:lvl w:ilvl="4" w:tplc="0C0A0019" w:tentative="1">
      <w:start w:val="1"/>
      <w:numFmt w:val="bullet"/>
      <w:lvlText w:val="o"/>
      <w:lvlJc w:val="left"/>
      <w:pPr>
        <w:tabs>
          <w:tab w:val="num" w:pos="3654"/>
        </w:tabs>
        <w:ind w:left="3654" w:hanging="360"/>
      </w:pPr>
      <w:rPr>
        <w:rFonts w:ascii="Courier New" w:hAnsi="Courier New" w:cs="Courier New" w:hint="default"/>
      </w:rPr>
    </w:lvl>
    <w:lvl w:ilvl="5" w:tplc="0C0A001B" w:tentative="1">
      <w:start w:val="1"/>
      <w:numFmt w:val="bullet"/>
      <w:lvlText w:val=""/>
      <w:lvlJc w:val="left"/>
      <w:pPr>
        <w:tabs>
          <w:tab w:val="num" w:pos="4374"/>
        </w:tabs>
        <w:ind w:left="4374" w:hanging="360"/>
      </w:pPr>
      <w:rPr>
        <w:rFonts w:ascii="Wingdings" w:hAnsi="Wingdings" w:hint="default"/>
      </w:rPr>
    </w:lvl>
    <w:lvl w:ilvl="6" w:tplc="0C0A000F" w:tentative="1">
      <w:start w:val="1"/>
      <w:numFmt w:val="bullet"/>
      <w:lvlText w:val=""/>
      <w:lvlJc w:val="left"/>
      <w:pPr>
        <w:tabs>
          <w:tab w:val="num" w:pos="5094"/>
        </w:tabs>
        <w:ind w:left="5094" w:hanging="360"/>
      </w:pPr>
      <w:rPr>
        <w:rFonts w:ascii="Symbol" w:hAnsi="Symbol" w:hint="default"/>
      </w:rPr>
    </w:lvl>
    <w:lvl w:ilvl="7" w:tplc="0C0A0019" w:tentative="1">
      <w:start w:val="1"/>
      <w:numFmt w:val="bullet"/>
      <w:lvlText w:val="o"/>
      <w:lvlJc w:val="left"/>
      <w:pPr>
        <w:tabs>
          <w:tab w:val="num" w:pos="5814"/>
        </w:tabs>
        <w:ind w:left="5814" w:hanging="360"/>
      </w:pPr>
      <w:rPr>
        <w:rFonts w:ascii="Courier New" w:hAnsi="Courier New" w:cs="Courier New" w:hint="default"/>
      </w:rPr>
    </w:lvl>
    <w:lvl w:ilvl="8" w:tplc="0C0A001B" w:tentative="1">
      <w:start w:val="1"/>
      <w:numFmt w:val="bullet"/>
      <w:lvlText w:val=""/>
      <w:lvlJc w:val="left"/>
      <w:pPr>
        <w:tabs>
          <w:tab w:val="num" w:pos="6534"/>
        </w:tabs>
        <w:ind w:left="6534" w:hanging="360"/>
      </w:pPr>
      <w:rPr>
        <w:rFonts w:ascii="Wingdings" w:hAnsi="Wingdings" w:hint="default"/>
      </w:rPr>
    </w:lvl>
  </w:abstractNum>
  <w:abstractNum w:abstractNumId="11">
    <w:nsid w:val="284803E3"/>
    <w:multiLevelType w:val="hybridMultilevel"/>
    <w:tmpl w:val="689C9C16"/>
    <w:lvl w:ilvl="0" w:tplc="FFB66E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708A4"/>
    <w:multiLevelType w:val="hybridMultilevel"/>
    <w:tmpl w:val="4E568E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2AF12CB"/>
    <w:multiLevelType w:val="singleLevel"/>
    <w:tmpl w:val="DA9E7FA6"/>
    <w:lvl w:ilvl="0">
      <w:start w:val="1"/>
      <w:numFmt w:val="bullet"/>
      <w:pStyle w:val="LongBullet"/>
      <w:lvlText w:val=""/>
      <w:lvlJc w:val="left"/>
      <w:pPr>
        <w:tabs>
          <w:tab w:val="num" w:pos="360"/>
        </w:tabs>
        <w:ind w:left="284" w:hanging="284"/>
      </w:pPr>
      <w:rPr>
        <w:rFonts w:ascii="Symbol" w:hAnsi="Symbol" w:hint="default"/>
      </w:rPr>
    </w:lvl>
  </w:abstractNum>
  <w:abstractNum w:abstractNumId="14">
    <w:nsid w:val="36063AB1"/>
    <w:multiLevelType w:val="multilevel"/>
    <w:tmpl w:val="CC0C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509DF"/>
    <w:multiLevelType w:val="hybridMultilevel"/>
    <w:tmpl w:val="981CD044"/>
    <w:lvl w:ilvl="0" w:tplc="EFE6DCFE">
      <w:start w:val="1"/>
      <w:numFmt w:val="decimal"/>
      <w:lvlText w:val="%1."/>
      <w:lvlJc w:val="left"/>
      <w:pPr>
        <w:ind w:left="720" w:hanging="36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6D34062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F29A1"/>
    <w:multiLevelType w:val="hybridMultilevel"/>
    <w:tmpl w:val="483EEF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DC83BE6"/>
    <w:multiLevelType w:val="hybridMultilevel"/>
    <w:tmpl w:val="516C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01AAC"/>
    <w:multiLevelType w:val="hybridMultilevel"/>
    <w:tmpl w:val="DE18CEEA"/>
    <w:lvl w:ilvl="0" w:tplc="0409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A93620"/>
    <w:multiLevelType w:val="hybridMultilevel"/>
    <w:tmpl w:val="31A8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B6008"/>
    <w:multiLevelType w:val="hybridMultilevel"/>
    <w:tmpl w:val="403CABEA"/>
    <w:lvl w:ilvl="0" w:tplc="CF30FA1E">
      <w:start w:val="1"/>
      <w:numFmt w:val="bullet"/>
      <w:lvlText w:val=""/>
      <w:lvlJc w:val="left"/>
      <w:pPr>
        <w:tabs>
          <w:tab w:val="num" w:pos="851"/>
        </w:tabs>
        <w:ind w:left="851" w:hanging="851"/>
      </w:pPr>
      <w:rPr>
        <w:rFonts w:ascii="Symbol" w:hAnsi="Symbol" w:hint="default"/>
        <w:color w:val="auto"/>
      </w:rPr>
    </w:lvl>
    <w:lvl w:ilvl="1" w:tplc="E46E10DE">
      <w:start w:val="1"/>
      <w:numFmt w:val="bullet"/>
      <w:pStyle w:val="Bullethyphen"/>
      <w:lvlText w:val="–"/>
      <w:lvlJc w:val="left"/>
      <w:pPr>
        <w:tabs>
          <w:tab w:val="num" w:pos="851"/>
        </w:tabs>
        <w:ind w:left="851" w:hanging="851"/>
      </w:pPr>
      <w:rPr>
        <w:rFonts w:ascii="Arial" w:hAnsi="Arial" w:hint="default"/>
        <w:color w:val="auto"/>
      </w:rPr>
    </w:lvl>
    <w:lvl w:ilvl="2" w:tplc="75EAF8B0" w:tentative="1">
      <w:start w:val="1"/>
      <w:numFmt w:val="bullet"/>
      <w:lvlText w:val=""/>
      <w:lvlJc w:val="left"/>
      <w:pPr>
        <w:tabs>
          <w:tab w:val="num" w:pos="2160"/>
        </w:tabs>
        <w:ind w:left="2160" w:hanging="360"/>
      </w:pPr>
      <w:rPr>
        <w:rFonts w:ascii="Wingdings" w:hAnsi="Wingdings" w:hint="default"/>
      </w:rPr>
    </w:lvl>
    <w:lvl w:ilvl="3" w:tplc="2C4E01C8" w:tentative="1">
      <w:start w:val="1"/>
      <w:numFmt w:val="bullet"/>
      <w:lvlText w:val=""/>
      <w:lvlJc w:val="left"/>
      <w:pPr>
        <w:tabs>
          <w:tab w:val="num" w:pos="2880"/>
        </w:tabs>
        <w:ind w:left="2880" w:hanging="360"/>
      </w:pPr>
      <w:rPr>
        <w:rFonts w:ascii="Symbol" w:hAnsi="Symbol" w:hint="default"/>
      </w:rPr>
    </w:lvl>
    <w:lvl w:ilvl="4" w:tplc="A846F738" w:tentative="1">
      <w:start w:val="1"/>
      <w:numFmt w:val="bullet"/>
      <w:lvlText w:val="o"/>
      <w:lvlJc w:val="left"/>
      <w:pPr>
        <w:tabs>
          <w:tab w:val="num" w:pos="3600"/>
        </w:tabs>
        <w:ind w:left="3600" w:hanging="360"/>
      </w:pPr>
      <w:rPr>
        <w:rFonts w:ascii="Courier New" w:hAnsi="Courier New" w:cs="Arial" w:hint="default"/>
      </w:rPr>
    </w:lvl>
    <w:lvl w:ilvl="5" w:tplc="C972D276" w:tentative="1">
      <w:start w:val="1"/>
      <w:numFmt w:val="bullet"/>
      <w:lvlText w:val=""/>
      <w:lvlJc w:val="left"/>
      <w:pPr>
        <w:tabs>
          <w:tab w:val="num" w:pos="4320"/>
        </w:tabs>
        <w:ind w:left="4320" w:hanging="360"/>
      </w:pPr>
      <w:rPr>
        <w:rFonts w:ascii="Wingdings" w:hAnsi="Wingdings" w:hint="default"/>
      </w:rPr>
    </w:lvl>
    <w:lvl w:ilvl="6" w:tplc="710EA0EE" w:tentative="1">
      <w:start w:val="1"/>
      <w:numFmt w:val="bullet"/>
      <w:lvlText w:val=""/>
      <w:lvlJc w:val="left"/>
      <w:pPr>
        <w:tabs>
          <w:tab w:val="num" w:pos="5040"/>
        </w:tabs>
        <w:ind w:left="5040" w:hanging="360"/>
      </w:pPr>
      <w:rPr>
        <w:rFonts w:ascii="Symbol" w:hAnsi="Symbol" w:hint="default"/>
      </w:rPr>
    </w:lvl>
    <w:lvl w:ilvl="7" w:tplc="39E092C8" w:tentative="1">
      <w:start w:val="1"/>
      <w:numFmt w:val="bullet"/>
      <w:lvlText w:val="o"/>
      <w:lvlJc w:val="left"/>
      <w:pPr>
        <w:tabs>
          <w:tab w:val="num" w:pos="5760"/>
        </w:tabs>
        <w:ind w:left="5760" w:hanging="360"/>
      </w:pPr>
      <w:rPr>
        <w:rFonts w:ascii="Courier New" w:hAnsi="Courier New" w:cs="Arial" w:hint="default"/>
      </w:rPr>
    </w:lvl>
    <w:lvl w:ilvl="8" w:tplc="78C489D8" w:tentative="1">
      <w:start w:val="1"/>
      <w:numFmt w:val="bullet"/>
      <w:lvlText w:val=""/>
      <w:lvlJc w:val="left"/>
      <w:pPr>
        <w:tabs>
          <w:tab w:val="num" w:pos="6480"/>
        </w:tabs>
        <w:ind w:left="6480" w:hanging="360"/>
      </w:pPr>
      <w:rPr>
        <w:rFonts w:ascii="Wingdings" w:hAnsi="Wingdings" w:hint="default"/>
      </w:rPr>
    </w:lvl>
  </w:abstractNum>
  <w:abstractNum w:abstractNumId="22">
    <w:nsid w:val="600975E1"/>
    <w:multiLevelType w:val="hybridMultilevel"/>
    <w:tmpl w:val="B1522880"/>
    <w:lvl w:ilvl="0" w:tplc="07FE12A0">
      <w:start w:val="1"/>
      <w:numFmt w:val="decimal"/>
      <w:lvlText w:val="%1."/>
      <w:lvlJc w:val="left"/>
      <w:pPr>
        <w:ind w:left="468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A61A12"/>
    <w:multiLevelType w:val="hybridMultilevel"/>
    <w:tmpl w:val="B63C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34FD9"/>
    <w:multiLevelType w:val="hybridMultilevel"/>
    <w:tmpl w:val="E4A6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C32405"/>
    <w:multiLevelType w:val="hybridMultilevel"/>
    <w:tmpl w:val="FB84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6A2E29"/>
    <w:multiLevelType w:val="hybridMultilevel"/>
    <w:tmpl w:val="83E8E724"/>
    <w:lvl w:ilvl="0" w:tplc="04090001">
      <w:start w:val="1"/>
      <w:numFmt w:val="bullet"/>
      <w:lvlText w:val=""/>
      <w:lvlJc w:val="left"/>
      <w:pPr>
        <w:ind w:left="720" w:hanging="360"/>
      </w:pPr>
      <w:rPr>
        <w:rFonts w:ascii="Symbol" w:hAnsi="Symbol" w:hint="default"/>
      </w:rPr>
    </w:lvl>
    <w:lvl w:ilvl="1" w:tplc="469AEF8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0512C"/>
    <w:multiLevelType w:val="multilevel"/>
    <w:tmpl w:val="F1084CD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6D2319F"/>
    <w:multiLevelType w:val="hybridMultilevel"/>
    <w:tmpl w:val="8C8C3916"/>
    <w:lvl w:ilvl="0" w:tplc="E428886A">
      <w:start w:val="1"/>
      <w:numFmt w:val="decimal"/>
      <w:lvlText w:val="%1."/>
      <w:lvlJc w:val="left"/>
      <w:pPr>
        <w:ind w:left="360" w:hanging="360"/>
      </w:pPr>
      <w:rPr>
        <w:rFonts w:ascii="Calibri" w:eastAsia="Calibri" w:hAnsi="Calibri" w:cs="Calibri" w:hint="default"/>
        <w:b w:val="0"/>
        <w:i w:val="0"/>
        <w:color w:val="00000A"/>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30">
    <w:nsid w:val="7B23306E"/>
    <w:multiLevelType w:val="hybridMultilevel"/>
    <w:tmpl w:val="2E9A3FA2"/>
    <w:lvl w:ilvl="0" w:tplc="F8D6BE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32A6A"/>
    <w:multiLevelType w:val="hybridMultilevel"/>
    <w:tmpl w:val="A0182208"/>
    <w:lvl w:ilvl="0" w:tplc="EFE6DCFE">
      <w:start w:val="1"/>
      <w:numFmt w:val="decimal"/>
      <w:lvlText w:val="%1."/>
      <w:lvlJc w:val="left"/>
      <w:pPr>
        <w:ind w:left="720" w:hanging="36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21"/>
  </w:num>
  <w:num w:numId="4">
    <w:abstractNumId w:val="10"/>
  </w:num>
  <w:num w:numId="5">
    <w:abstractNumId w:val="2"/>
  </w:num>
  <w:num w:numId="6">
    <w:abstractNumId w:val="27"/>
  </w:num>
  <w:num w:numId="7">
    <w:abstractNumId w:val="8"/>
  </w:num>
  <w:num w:numId="8">
    <w:abstractNumId w:val="0"/>
  </w:num>
  <w:num w:numId="9">
    <w:abstractNumId w:val="31"/>
  </w:num>
  <w:num w:numId="10">
    <w:abstractNumId w:val="19"/>
  </w:num>
  <w:num w:numId="11">
    <w:abstractNumId w:val="18"/>
  </w:num>
  <w:num w:numId="12">
    <w:abstractNumId w:val="26"/>
  </w:num>
  <w:num w:numId="13">
    <w:abstractNumId w:val="13"/>
  </w:num>
  <w:num w:numId="14">
    <w:abstractNumId w:val="22"/>
  </w:num>
  <w:num w:numId="15">
    <w:abstractNumId w:val="15"/>
  </w:num>
  <w:num w:numId="16">
    <w:abstractNumId w:val="16"/>
  </w:num>
  <w:num w:numId="17">
    <w:abstractNumId w:val="24"/>
  </w:num>
  <w:num w:numId="18">
    <w:abstractNumId w:val="14"/>
  </w:num>
  <w:num w:numId="19">
    <w:abstractNumId w:val="1"/>
  </w:num>
  <w:num w:numId="20">
    <w:abstractNumId w:val="5"/>
  </w:num>
  <w:num w:numId="21">
    <w:abstractNumId w:val="20"/>
  </w:num>
  <w:num w:numId="22">
    <w:abstractNumId w:val="3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4"/>
  </w:num>
  <w:num w:numId="26">
    <w:abstractNumId w:val="2"/>
  </w:num>
  <w:num w:numId="27">
    <w:abstractNumId w:val="2"/>
  </w:num>
  <w:num w:numId="28">
    <w:abstractNumId w:val="2"/>
  </w:num>
  <w:num w:numId="29">
    <w:abstractNumId w:val="2"/>
  </w:num>
  <w:num w:numId="30">
    <w:abstractNumId w:val="2"/>
  </w:num>
  <w:num w:numId="31">
    <w:abstractNumId w:val="2"/>
  </w:num>
  <w:num w:numId="32">
    <w:abstractNumId w:val="3"/>
  </w:num>
  <w:num w:numId="33">
    <w:abstractNumId w:val="6"/>
  </w:num>
  <w:num w:numId="34">
    <w:abstractNumId w:val="28"/>
  </w:num>
  <w:num w:numId="35">
    <w:abstractNumId w:val="25"/>
  </w:num>
  <w:num w:numId="36">
    <w:abstractNumId w:val="23"/>
  </w:num>
  <w:num w:numId="37">
    <w:abstractNumId w:val="2"/>
  </w:num>
  <w:num w:numId="38">
    <w:abstractNumId w:val="7"/>
  </w:num>
  <w:num w:numId="39">
    <w:abstractNumId w:val="11"/>
  </w:num>
  <w:num w:numId="4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it-IT"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5B"/>
    <w:rsid w:val="000008B2"/>
    <w:rsid w:val="00000DDC"/>
    <w:rsid w:val="00001160"/>
    <w:rsid w:val="000017F7"/>
    <w:rsid w:val="000019D3"/>
    <w:rsid w:val="00001B8C"/>
    <w:rsid w:val="00001C43"/>
    <w:rsid w:val="00002B2E"/>
    <w:rsid w:val="00002B99"/>
    <w:rsid w:val="00003380"/>
    <w:rsid w:val="000037DB"/>
    <w:rsid w:val="0000384F"/>
    <w:rsid w:val="00003B70"/>
    <w:rsid w:val="00003C3F"/>
    <w:rsid w:val="00005038"/>
    <w:rsid w:val="0000545B"/>
    <w:rsid w:val="00005648"/>
    <w:rsid w:val="00005A39"/>
    <w:rsid w:val="00005D0B"/>
    <w:rsid w:val="00006AB0"/>
    <w:rsid w:val="00006B85"/>
    <w:rsid w:val="0000701B"/>
    <w:rsid w:val="000071C0"/>
    <w:rsid w:val="000073E6"/>
    <w:rsid w:val="00007660"/>
    <w:rsid w:val="00007F86"/>
    <w:rsid w:val="00007FBE"/>
    <w:rsid w:val="00010021"/>
    <w:rsid w:val="0001010D"/>
    <w:rsid w:val="00010542"/>
    <w:rsid w:val="000111F5"/>
    <w:rsid w:val="000115B7"/>
    <w:rsid w:val="000116F5"/>
    <w:rsid w:val="00011AA8"/>
    <w:rsid w:val="00011E2F"/>
    <w:rsid w:val="00012492"/>
    <w:rsid w:val="00012620"/>
    <w:rsid w:val="00012E5D"/>
    <w:rsid w:val="0001306F"/>
    <w:rsid w:val="00013131"/>
    <w:rsid w:val="00013182"/>
    <w:rsid w:val="000133BA"/>
    <w:rsid w:val="000135E4"/>
    <w:rsid w:val="00013A1F"/>
    <w:rsid w:val="000141A1"/>
    <w:rsid w:val="00014389"/>
    <w:rsid w:val="00014431"/>
    <w:rsid w:val="0001470D"/>
    <w:rsid w:val="000150A5"/>
    <w:rsid w:val="00015206"/>
    <w:rsid w:val="0001533D"/>
    <w:rsid w:val="000153B0"/>
    <w:rsid w:val="0001585D"/>
    <w:rsid w:val="00015F0B"/>
    <w:rsid w:val="000165E7"/>
    <w:rsid w:val="00016604"/>
    <w:rsid w:val="0001680D"/>
    <w:rsid w:val="000168B8"/>
    <w:rsid w:val="00016BFE"/>
    <w:rsid w:val="000170FA"/>
    <w:rsid w:val="00017558"/>
    <w:rsid w:val="00017812"/>
    <w:rsid w:val="000200B2"/>
    <w:rsid w:val="000201E9"/>
    <w:rsid w:val="0002032A"/>
    <w:rsid w:val="00020F59"/>
    <w:rsid w:val="000210A0"/>
    <w:rsid w:val="000224E7"/>
    <w:rsid w:val="00022565"/>
    <w:rsid w:val="000226D9"/>
    <w:rsid w:val="000230A7"/>
    <w:rsid w:val="0002327A"/>
    <w:rsid w:val="00023658"/>
    <w:rsid w:val="00023F75"/>
    <w:rsid w:val="0002422E"/>
    <w:rsid w:val="000244E1"/>
    <w:rsid w:val="000245FE"/>
    <w:rsid w:val="00024641"/>
    <w:rsid w:val="00024E37"/>
    <w:rsid w:val="00024E76"/>
    <w:rsid w:val="0002536C"/>
    <w:rsid w:val="000254C6"/>
    <w:rsid w:val="000257CB"/>
    <w:rsid w:val="00025B60"/>
    <w:rsid w:val="000266A4"/>
    <w:rsid w:val="000269F9"/>
    <w:rsid w:val="0002717C"/>
    <w:rsid w:val="000273F9"/>
    <w:rsid w:val="00027B06"/>
    <w:rsid w:val="00027E63"/>
    <w:rsid w:val="000301A9"/>
    <w:rsid w:val="00030262"/>
    <w:rsid w:val="00030331"/>
    <w:rsid w:val="00030454"/>
    <w:rsid w:val="000307EC"/>
    <w:rsid w:val="000309E9"/>
    <w:rsid w:val="00030A1F"/>
    <w:rsid w:val="00030ACB"/>
    <w:rsid w:val="00030B0D"/>
    <w:rsid w:val="00030B33"/>
    <w:rsid w:val="000310A4"/>
    <w:rsid w:val="000313B2"/>
    <w:rsid w:val="000313D5"/>
    <w:rsid w:val="0003178F"/>
    <w:rsid w:val="00031C3A"/>
    <w:rsid w:val="00031DCC"/>
    <w:rsid w:val="00032D44"/>
    <w:rsid w:val="000333A1"/>
    <w:rsid w:val="000338A8"/>
    <w:rsid w:val="00033E60"/>
    <w:rsid w:val="00034806"/>
    <w:rsid w:val="000349BE"/>
    <w:rsid w:val="00034B9F"/>
    <w:rsid w:val="0003508B"/>
    <w:rsid w:val="0003582D"/>
    <w:rsid w:val="00035A67"/>
    <w:rsid w:val="00035BEF"/>
    <w:rsid w:val="00035E5C"/>
    <w:rsid w:val="00035EEF"/>
    <w:rsid w:val="000361DA"/>
    <w:rsid w:val="00036386"/>
    <w:rsid w:val="000368FE"/>
    <w:rsid w:val="000370A0"/>
    <w:rsid w:val="000376AC"/>
    <w:rsid w:val="00037AAA"/>
    <w:rsid w:val="00037D58"/>
    <w:rsid w:val="00037FE3"/>
    <w:rsid w:val="000403A6"/>
    <w:rsid w:val="0004059D"/>
    <w:rsid w:val="0004077A"/>
    <w:rsid w:val="00040C51"/>
    <w:rsid w:val="00040CA5"/>
    <w:rsid w:val="00040F24"/>
    <w:rsid w:val="00041046"/>
    <w:rsid w:val="000416D1"/>
    <w:rsid w:val="000416FA"/>
    <w:rsid w:val="00042108"/>
    <w:rsid w:val="00042B98"/>
    <w:rsid w:val="00042CAA"/>
    <w:rsid w:val="00042E8B"/>
    <w:rsid w:val="000434C5"/>
    <w:rsid w:val="00043512"/>
    <w:rsid w:val="000440A0"/>
    <w:rsid w:val="000446E8"/>
    <w:rsid w:val="000448AF"/>
    <w:rsid w:val="000448D5"/>
    <w:rsid w:val="00044B7F"/>
    <w:rsid w:val="00044EFC"/>
    <w:rsid w:val="0004533F"/>
    <w:rsid w:val="0004546D"/>
    <w:rsid w:val="00045A42"/>
    <w:rsid w:val="00045F25"/>
    <w:rsid w:val="00046240"/>
    <w:rsid w:val="000468C4"/>
    <w:rsid w:val="00046A0D"/>
    <w:rsid w:val="00046D4D"/>
    <w:rsid w:val="00046D5D"/>
    <w:rsid w:val="00046F43"/>
    <w:rsid w:val="00047278"/>
    <w:rsid w:val="00047288"/>
    <w:rsid w:val="000504EC"/>
    <w:rsid w:val="00050AD9"/>
    <w:rsid w:val="00050BAB"/>
    <w:rsid w:val="00050DAC"/>
    <w:rsid w:val="00050F2C"/>
    <w:rsid w:val="000521E6"/>
    <w:rsid w:val="000523B6"/>
    <w:rsid w:val="000523E0"/>
    <w:rsid w:val="000524B5"/>
    <w:rsid w:val="0005256F"/>
    <w:rsid w:val="00052739"/>
    <w:rsid w:val="00052E89"/>
    <w:rsid w:val="00053321"/>
    <w:rsid w:val="000534DF"/>
    <w:rsid w:val="000534EA"/>
    <w:rsid w:val="00053B5E"/>
    <w:rsid w:val="00053BAD"/>
    <w:rsid w:val="00053C01"/>
    <w:rsid w:val="00054033"/>
    <w:rsid w:val="000547D1"/>
    <w:rsid w:val="00054929"/>
    <w:rsid w:val="00054E4E"/>
    <w:rsid w:val="00055DDD"/>
    <w:rsid w:val="00055E4E"/>
    <w:rsid w:val="0005680F"/>
    <w:rsid w:val="000571FF"/>
    <w:rsid w:val="0005733C"/>
    <w:rsid w:val="00057767"/>
    <w:rsid w:val="00057C41"/>
    <w:rsid w:val="00057CA6"/>
    <w:rsid w:val="00057E1B"/>
    <w:rsid w:val="0006033E"/>
    <w:rsid w:val="0006053B"/>
    <w:rsid w:val="00060B8E"/>
    <w:rsid w:val="00060E8C"/>
    <w:rsid w:val="0006113D"/>
    <w:rsid w:val="000614CA"/>
    <w:rsid w:val="0006157D"/>
    <w:rsid w:val="00061ED2"/>
    <w:rsid w:val="0006224B"/>
    <w:rsid w:val="000623A2"/>
    <w:rsid w:val="00062413"/>
    <w:rsid w:val="00062B50"/>
    <w:rsid w:val="0006349F"/>
    <w:rsid w:val="000635CC"/>
    <w:rsid w:val="00063EE3"/>
    <w:rsid w:val="00064164"/>
    <w:rsid w:val="000643D6"/>
    <w:rsid w:val="000652B9"/>
    <w:rsid w:val="00066248"/>
    <w:rsid w:val="00067068"/>
    <w:rsid w:val="0006748F"/>
    <w:rsid w:val="00067A37"/>
    <w:rsid w:val="00070398"/>
    <w:rsid w:val="00070497"/>
    <w:rsid w:val="00070B6C"/>
    <w:rsid w:val="00070BB0"/>
    <w:rsid w:val="0007137B"/>
    <w:rsid w:val="000715C4"/>
    <w:rsid w:val="000718E2"/>
    <w:rsid w:val="00072088"/>
    <w:rsid w:val="000720C7"/>
    <w:rsid w:val="00072204"/>
    <w:rsid w:val="000726AC"/>
    <w:rsid w:val="00072987"/>
    <w:rsid w:val="00072A1A"/>
    <w:rsid w:val="00073036"/>
    <w:rsid w:val="0007358D"/>
    <w:rsid w:val="000736F0"/>
    <w:rsid w:val="00073AEC"/>
    <w:rsid w:val="00073BEC"/>
    <w:rsid w:val="00073D7B"/>
    <w:rsid w:val="00073E3D"/>
    <w:rsid w:val="00074561"/>
    <w:rsid w:val="00074C66"/>
    <w:rsid w:val="00074CC0"/>
    <w:rsid w:val="00075161"/>
    <w:rsid w:val="0007525F"/>
    <w:rsid w:val="00075807"/>
    <w:rsid w:val="000758B2"/>
    <w:rsid w:val="00076020"/>
    <w:rsid w:val="0007617F"/>
    <w:rsid w:val="00076183"/>
    <w:rsid w:val="00076F60"/>
    <w:rsid w:val="000774E7"/>
    <w:rsid w:val="0007760A"/>
    <w:rsid w:val="000779A8"/>
    <w:rsid w:val="00077B9D"/>
    <w:rsid w:val="00077BFB"/>
    <w:rsid w:val="00077E19"/>
    <w:rsid w:val="000800F2"/>
    <w:rsid w:val="00080BDE"/>
    <w:rsid w:val="00080E13"/>
    <w:rsid w:val="00081360"/>
    <w:rsid w:val="00081366"/>
    <w:rsid w:val="00081AB3"/>
    <w:rsid w:val="00081CC3"/>
    <w:rsid w:val="00081CF9"/>
    <w:rsid w:val="00081D7D"/>
    <w:rsid w:val="00082010"/>
    <w:rsid w:val="00082256"/>
    <w:rsid w:val="000822EC"/>
    <w:rsid w:val="00082458"/>
    <w:rsid w:val="0008258E"/>
    <w:rsid w:val="00082A4A"/>
    <w:rsid w:val="000833AF"/>
    <w:rsid w:val="000834F5"/>
    <w:rsid w:val="0008360E"/>
    <w:rsid w:val="000836AA"/>
    <w:rsid w:val="00083786"/>
    <w:rsid w:val="00084108"/>
    <w:rsid w:val="000856BC"/>
    <w:rsid w:val="00085994"/>
    <w:rsid w:val="00085B14"/>
    <w:rsid w:val="00085C05"/>
    <w:rsid w:val="0008607A"/>
    <w:rsid w:val="00086305"/>
    <w:rsid w:val="000873AB"/>
    <w:rsid w:val="00087783"/>
    <w:rsid w:val="000901FE"/>
    <w:rsid w:val="00090F5F"/>
    <w:rsid w:val="00091B02"/>
    <w:rsid w:val="00091E26"/>
    <w:rsid w:val="000921C1"/>
    <w:rsid w:val="000926B3"/>
    <w:rsid w:val="00092FC5"/>
    <w:rsid w:val="00093B34"/>
    <w:rsid w:val="00093CE9"/>
    <w:rsid w:val="000949A2"/>
    <w:rsid w:val="00094BC4"/>
    <w:rsid w:val="00094D85"/>
    <w:rsid w:val="00095B6E"/>
    <w:rsid w:val="00095FBD"/>
    <w:rsid w:val="00096200"/>
    <w:rsid w:val="0009641E"/>
    <w:rsid w:val="00096565"/>
    <w:rsid w:val="00096E75"/>
    <w:rsid w:val="00097100"/>
    <w:rsid w:val="0009773F"/>
    <w:rsid w:val="00097816"/>
    <w:rsid w:val="0009791C"/>
    <w:rsid w:val="00097D17"/>
    <w:rsid w:val="00097F52"/>
    <w:rsid w:val="000A0517"/>
    <w:rsid w:val="000A05F2"/>
    <w:rsid w:val="000A069E"/>
    <w:rsid w:val="000A0B93"/>
    <w:rsid w:val="000A0CF1"/>
    <w:rsid w:val="000A0FC0"/>
    <w:rsid w:val="000A11F2"/>
    <w:rsid w:val="000A1477"/>
    <w:rsid w:val="000A191D"/>
    <w:rsid w:val="000A1AC1"/>
    <w:rsid w:val="000A1ADD"/>
    <w:rsid w:val="000A1DDF"/>
    <w:rsid w:val="000A1F7B"/>
    <w:rsid w:val="000A227F"/>
    <w:rsid w:val="000A233E"/>
    <w:rsid w:val="000A23B9"/>
    <w:rsid w:val="000A2739"/>
    <w:rsid w:val="000A2A12"/>
    <w:rsid w:val="000A325B"/>
    <w:rsid w:val="000A3DA8"/>
    <w:rsid w:val="000A40A2"/>
    <w:rsid w:val="000A42F1"/>
    <w:rsid w:val="000A44A5"/>
    <w:rsid w:val="000A47D4"/>
    <w:rsid w:val="000A4FF0"/>
    <w:rsid w:val="000A5202"/>
    <w:rsid w:val="000A64D9"/>
    <w:rsid w:val="000A6522"/>
    <w:rsid w:val="000A6D48"/>
    <w:rsid w:val="000A7203"/>
    <w:rsid w:val="000A7529"/>
    <w:rsid w:val="000A769E"/>
    <w:rsid w:val="000A7C49"/>
    <w:rsid w:val="000B04CD"/>
    <w:rsid w:val="000B06C0"/>
    <w:rsid w:val="000B099F"/>
    <w:rsid w:val="000B0DFF"/>
    <w:rsid w:val="000B1135"/>
    <w:rsid w:val="000B1739"/>
    <w:rsid w:val="000B1962"/>
    <w:rsid w:val="000B1AD2"/>
    <w:rsid w:val="000B1C94"/>
    <w:rsid w:val="000B2116"/>
    <w:rsid w:val="000B2697"/>
    <w:rsid w:val="000B2F1C"/>
    <w:rsid w:val="000B3501"/>
    <w:rsid w:val="000B49A8"/>
    <w:rsid w:val="000B4A66"/>
    <w:rsid w:val="000B4C14"/>
    <w:rsid w:val="000B573B"/>
    <w:rsid w:val="000B5743"/>
    <w:rsid w:val="000B5757"/>
    <w:rsid w:val="000B5BFA"/>
    <w:rsid w:val="000B613F"/>
    <w:rsid w:val="000B61B9"/>
    <w:rsid w:val="000B6601"/>
    <w:rsid w:val="000B7138"/>
    <w:rsid w:val="000B7264"/>
    <w:rsid w:val="000B7DCE"/>
    <w:rsid w:val="000C023A"/>
    <w:rsid w:val="000C0AC9"/>
    <w:rsid w:val="000C0F42"/>
    <w:rsid w:val="000C136E"/>
    <w:rsid w:val="000C170C"/>
    <w:rsid w:val="000C1C96"/>
    <w:rsid w:val="000C2070"/>
    <w:rsid w:val="000C259E"/>
    <w:rsid w:val="000C292D"/>
    <w:rsid w:val="000C30E0"/>
    <w:rsid w:val="000C3365"/>
    <w:rsid w:val="000C37B9"/>
    <w:rsid w:val="000C3EEC"/>
    <w:rsid w:val="000C3F14"/>
    <w:rsid w:val="000C4E52"/>
    <w:rsid w:val="000C5090"/>
    <w:rsid w:val="000C5301"/>
    <w:rsid w:val="000C5769"/>
    <w:rsid w:val="000C59C0"/>
    <w:rsid w:val="000C5F63"/>
    <w:rsid w:val="000C661D"/>
    <w:rsid w:val="000C6777"/>
    <w:rsid w:val="000C691D"/>
    <w:rsid w:val="000C6FFF"/>
    <w:rsid w:val="000C7033"/>
    <w:rsid w:val="000C79A9"/>
    <w:rsid w:val="000C7BE1"/>
    <w:rsid w:val="000D0482"/>
    <w:rsid w:val="000D04F2"/>
    <w:rsid w:val="000D0C1D"/>
    <w:rsid w:val="000D0C8B"/>
    <w:rsid w:val="000D0D61"/>
    <w:rsid w:val="000D1753"/>
    <w:rsid w:val="000D1ACB"/>
    <w:rsid w:val="000D25A2"/>
    <w:rsid w:val="000D2628"/>
    <w:rsid w:val="000D283C"/>
    <w:rsid w:val="000D304F"/>
    <w:rsid w:val="000D3A7E"/>
    <w:rsid w:val="000D3F61"/>
    <w:rsid w:val="000D56FF"/>
    <w:rsid w:val="000D5FDB"/>
    <w:rsid w:val="000D644E"/>
    <w:rsid w:val="000D66F4"/>
    <w:rsid w:val="000D6797"/>
    <w:rsid w:val="000D69C1"/>
    <w:rsid w:val="000D6D13"/>
    <w:rsid w:val="000D6DB1"/>
    <w:rsid w:val="000D6F2D"/>
    <w:rsid w:val="000D7001"/>
    <w:rsid w:val="000D70C2"/>
    <w:rsid w:val="000D755C"/>
    <w:rsid w:val="000E03AC"/>
    <w:rsid w:val="000E04CD"/>
    <w:rsid w:val="000E0FC4"/>
    <w:rsid w:val="000E10A2"/>
    <w:rsid w:val="000E1789"/>
    <w:rsid w:val="000E1A6A"/>
    <w:rsid w:val="000E1B14"/>
    <w:rsid w:val="000E1F53"/>
    <w:rsid w:val="000E2299"/>
    <w:rsid w:val="000E2586"/>
    <w:rsid w:val="000E2613"/>
    <w:rsid w:val="000E2847"/>
    <w:rsid w:val="000E2DC5"/>
    <w:rsid w:val="000E2F99"/>
    <w:rsid w:val="000E38E3"/>
    <w:rsid w:val="000E3C3F"/>
    <w:rsid w:val="000E4116"/>
    <w:rsid w:val="000E4129"/>
    <w:rsid w:val="000E4323"/>
    <w:rsid w:val="000E4D10"/>
    <w:rsid w:val="000E4F1B"/>
    <w:rsid w:val="000E54F8"/>
    <w:rsid w:val="000E5C06"/>
    <w:rsid w:val="000E63A8"/>
    <w:rsid w:val="000E646A"/>
    <w:rsid w:val="000E6893"/>
    <w:rsid w:val="000E68DE"/>
    <w:rsid w:val="000E692B"/>
    <w:rsid w:val="000E6C13"/>
    <w:rsid w:val="000E6EC0"/>
    <w:rsid w:val="000E7559"/>
    <w:rsid w:val="000E7700"/>
    <w:rsid w:val="000F0019"/>
    <w:rsid w:val="000F02CE"/>
    <w:rsid w:val="000F0308"/>
    <w:rsid w:val="000F088D"/>
    <w:rsid w:val="000F0D15"/>
    <w:rsid w:val="000F0E34"/>
    <w:rsid w:val="000F1163"/>
    <w:rsid w:val="000F1410"/>
    <w:rsid w:val="000F152A"/>
    <w:rsid w:val="000F1575"/>
    <w:rsid w:val="000F15B9"/>
    <w:rsid w:val="000F174B"/>
    <w:rsid w:val="000F1B98"/>
    <w:rsid w:val="000F1C6E"/>
    <w:rsid w:val="000F2092"/>
    <w:rsid w:val="000F253F"/>
    <w:rsid w:val="000F32E1"/>
    <w:rsid w:val="000F3426"/>
    <w:rsid w:val="000F35EF"/>
    <w:rsid w:val="000F4142"/>
    <w:rsid w:val="000F4220"/>
    <w:rsid w:val="000F4473"/>
    <w:rsid w:val="000F45A2"/>
    <w:rsid w:val="000F4CDF"/>
    <w:rsid w:val="000F4DA4"/>
    <w:rsid w:val="000F5BD8"/>
    <w:rsid w:val="000F61EB"/>
    <w:rsid w:val="000F624B"/>
    <w:rsid w:val="000F667B"/>
    <w:rsid w:val="000F6DEC"/>
    <w:rsid w:val="000F6FDC"/>
    <w:rsid w:val="000F72EC"/>
    <w:rsid w:val="000F760E"/>
    <w:rsid w:val="00100081"/>
    <w:rsid w:val="001006E3"/>
    <w:rsid w:val="00100C46"/>
    <w:rsid w:val="00100E32"/>
    <w:rsid w:val="00101021"/>
    <w:rsid w:val="00101181"/>
    <w:rsid w:val="0010124D"/>
    <w:rsid w:val="00101591"/>
    <w:rsid w:val="00101936"/>
    <w:rsid w:val="0010195F"/>
    <w:rsid w:val="00101F34"/>
    <w:rsid w:val="001023F2"/>
    <w:rsid w:val="00102F17"/>
    <w:rsid w:val="00103501"/>
    <w:rsid w:val="001036D9"/>
    <w:rsid w:val="0010376E"/>
    <w:rsid w:val="001038D5"/>
    <w:rsid w:val="00103CDD"/>
    <w:rsid w:val="00103FBC"/>
    <w:rsid w:val="001047C7"/>
    <w:rsid w:val="001048E9"/>
    <w:rsid w:val="00104B2A"/>
    <w:rsid w:val="00105467"/>
    <w:rsid w:val="00105F55"/>
    <w:rsid w:val="001060B6"/>
    <w:rsid w:val="0010618C"/>
    <w:rsid w:val="0010629C"/>
    <w:rsid w:val="00106640"/>
    <w:rsid w:val="0010686F"/>
    <w:rsid w:val="00106E0A"/>
    <w:rsid w:val="00107D2B"/>
    <w:rsid w:val="00107EFF"/>
    <w:rsid w:val="00110BF6"/>
    <w:rsid w:val="00110D60"/>
    <w:rsid w:val="00110DF9"/>
    <w:rsid w:val="00110E1A"/>
    <w:rsid w:val="0011169B"/>
    <w:rsid w:val="00111908"/>
    <w:rsid w:val="00111DBC"/>
    <w:rsid w:val="00111F85"/>
    <w:rsid w:val="0011298F"/>
    <w:rsid w:val="00112C4B"/>
    <w:rsid w:val="00113366"/>
    <w:rsid w:val="001134B3"/>
    <w:rsid w:val="0011382D"/>
    <w:rsid w:val="00113FC8"/>
    <w:rsid w:val="001145DD"/>
    <w:rsid w:val="00114686"/>
    <w:rsid w:val="001146E5"/>
    <w:rsid w:val="00115354"/>
    <w:rsid w:val="0011536C"/>
    <w:rsid w:val="0011543D"/>
    <w:rsid w:val="00115FF4"/>
    <w:rsid w:val="00116426"/>
    <w:rsid w:val="0011647D"/>
    <w:rsid w:val="001165A3"/>
    <w:rsid w:val="001165BE"/>
    <w:rsid w:val="0011678C"/>
    <w:rsid w:val="00116C4D"/>
    <w:rsid w:val="00116E55"/>
    <w:rsid w:val="0011728C"/>
    <w:rsid w:val="00117532"/>
    <w:rsid w:val="0011753D"/>
    <w:rsid w:val="00117791"/>
    <w:rsid w:val="00117BA1"/>
    <w:rsid w:val="001203F3"/>
    <w:rsid w:val="00120741"/>
    <w:rsid w:val="001208CA"/>
    <w:rsid w:val="00120A91"/>
    <w:rsid w:val="001213B3"/>
    <w:rsid w:val="001214CB"/>
    <w:rsid w:val="00121717"/>
    <w:rsid w:val="0012226A"/>
    <w:rsid w:val="001223A1"/>
    <w:rsid w:val="001224C8"/>
    <w:rsid w:val="001225AD"/>
    <w:rsid w:val="001225DF"/>
    <w:rsid w:val="00122A2B"/>
    <w:rsid w:val="00122A99"/>
    <w:rsid w:val="0012307D"/>
    <w:rsid w:val="001233CF"/>
    <w:rsid w:val="00123F9C"/>
    <w:rsid w:val="0012468C"/>
    <w:rsid w:val="00124B76"/>
    <w:rsid w:val="00124F49"/>
    <w:rsid w:val="00124F7B"/>
    <w:rsid w:val="00125017"/>
    <w:rsid w:val="00125789"/>
    <w:rsid w:val="00125A99"/>
    <w:rsid w:val="00126296"/>
    <w:rsid w:val="00126561"/>
    <w:rsid w:val="001265D5"/>
    <w:rsid w:val="001278DF"/>
    <w:rsid w:val="00127BDA"/>
    <w:rsid w:val="00127CC0"/>
    <w:rsid w:val="00127F39"/>
    <w:rsid w:val="001300C6"/>
    <w:rsid w:val="00130380"/>
    <w:rsid w:val="001309E9"/>
    <w:rsid w:val="00130BBE"/>
    <w:rsid w:val="001317C7"/>
    <w:rsid w:val="00131C6C"/>
    <w:rsid w:val="00131F8C"/>
    <w:rsid w:val="00132178"/>
    <w:rsid w:val="001322D6"/>
    <w:rsid w:val="00132448"/>
    <w:rsid w:val="00132607"/>
    <w:rsid w:val="00132753"/>
    <w:rsid w:val="00132A5F"/>
    <w:rsid w:val="00132EB6"/>
    <w:rsid w:val="00133097"/>
    <w:rsid w:val="0013388C"/>
    <w:rsid w:val="001339D8"/>
    <w:rsid w:val="00133A27"/>
    <w:rsid w:val="0013450C"/>
    <w:rsid w:val="00134D10"/>
    <w:rsid w:val="00135056"/>
    <w:rsid w:val="001351AF"/>
    <w:rsid w:val="00135405"/>
    <w:rsid w:val="0013561C"/>
    <w:rsid w:val="00135D6E"/>
    <w:rsid w:val="00135F68"/>
    <w:rsid w:val="00136806"/>
    <w:rsid w:val="00137203"/>
    <w:rsid w:val="00137843"/>
    <w:rsid w:val="00140394"/>
    <w:rsid w:val="001405DB"/>
    <w:rsid w:val="00140F4C"/>
    <w:rsid w:val="001414B5"/>
    <w:rsid w:val="001418AF"/>
    <w:rsid w:val="00141A9B"/>
    <w:rsid w:val="00141DEA"/>
    <w:rsid w:val="00141E08"/>
    <w:rsid w:val="001424E4"/>
    <w:rsid w:val="00142D88"/>
    <w:rsid w:val="0014355A"/>
    <w:rsid w:val="00143892"/>
    <w:rsid w:val="001438D1"/>
    <w:rsid w:val="00143A51"/>
    <w:rsid w:val="00143FE2"/>
    <w:rsid w:val="001440CD"/>
    <w:rsid w:val="001444B9"/>
    <w:rsid w:val="001445EC"/>
    <w:rsid w:val="001449BE"/>
    <w:rsid w:val="00144B45"/>
    <w:rsid w:val="00144EA5"/>
    <w:rsid w:val="00145463"/>
    <w:rsid w:val="00145A5A"/>
    <w:rsid w:val="001464D9"/>
    <w:rsid w:val="00146586"/>
    <w:rsid w:val="0014681E"/>
    <w:rsid w:val="00146A37"/>
    <w:rsid w:val="00147048"/>
    <w:rsid w:val="001478DD"/>
    <w:rsid w:val="001478EE"/>
    <w:rsid w:val="00147A56"/>
    <w:rsid w:val="00147C46"/>
    <w:rsid w:val="00150312"/>
    <w:rsid w:val="0015062E"/>
    <w:rsid w:val="00150728"/>
    <w:rsid w:val="00150881"/>
    <w:rsid w:val="0015093B"/>
    <w:rsid w:val="00151672"/>
    <w:rsid w:val="00151D7E"/>
    <w:rsid w:val="001527C1"/>
    <w:rsid w:val="00152CC1"/>
    <w:rsid w:val="00153298"/>
    <w:rsid w:val="00153608"/>
    <w:rsid w:val="0015361D"/>
    <w:rsid w:val="00153B4A"/>
    <w:rsid w:val="00153C88"/>
    <w:rsid w:val="001540B4"/>
    <w:rsid w:val="001543F4"/>
    <w:rsid w:val="001544E0"/>
    <w:rsid w:val="0015485F"/>
    <w:rsid w:val="00154A70"/>
    <w:rsid w:val="00154C10"/>
    <w:rsid w:val="00155261"/>
    <w:rsid w:val="00155616"/>
    <w:rsid w:val="00155863"/>
    <w:rsid w:val="00155966"/>
    <w:rsid w:val="00155A12"/>
    <w:rsid w:val="00155B05"/>
    <w:rsid w:val="00155E0A"/>
    <w:rsid w:val="0015611C"/>
    <w:rsid w:val="00156136"/>
    <w:rsid w:val="001561D9"/>
    <w:rsid w:val="001567AE"/>
    <w:rsid w:val="0015694C"/>
    <w:rsid w:val="00157CC9"/>
    <w:rsid w:val="00157F52"/>
    <w:rsid w:val="00157FE2"/>
    <w:rsid w:val="0016000C"/>
    <w:rsid w:val="001601AD"/>
    <w:rsid w:val="0016065C"/>
    <w:rsid w:val="00160930"/>
    <w:rsid w:val="00160FE0"/>
    <w:rsid w:val="001610B6"/>
    <w:rsid w:val="001614D6"/>
    <w:rsid w:val="001617BA"/>
    <w:rsid w:val="001618C4"/>
    <w:rsid w:val="00162079"/>
    <w:rsid w:val="001624B5"/>
    <w:rsid w:val="001625F1"/>
    <w:rsid w:val="00162AF1"/>
    <w:rsid w:val="00163323"/>
    <w:rsid w:val="00163376"/>
    <w:rsid w:val="0016358D"/>
    <w:rsid w:val="0016400E"/>
    <w:rsid w:val="001644BF"/>
    <w:rsid w:val="00164E06"/>
    <w:rsid w:val="00164F8D"/>
    <w:rsid w:val="001654C6"/>
    <w:rsid w:val="00165BC6"/>
    <w:rsid w:val="00165F34"/>
    <w:rsid w:val="001660B5"/>
    <w:rsid w:val="0016713B"/>
    <w:rsid w:val="001671E6"/>
    <w:rsid w:val="00167738"/>
    <w:rsid w:val="0016792A"/>
    <w:rsid w:val="00167C7D"/>
    <w:rsid w:val="00170391"/>
    <w:rsid w:val="0017047B"/>
    <w:rsid w:val="001704D2"/>
    <w:rsid w:val="0017070A"/>
    <w:rsid w:val="00170FE2"/>
    <w:rsid w:val="00171E67"/>
    <w:rsid w:val="00171F0A"/>
    <w:rsid w:val="00172728"/>
    <w:rsid w:val="001727A5"/>
    <w:rsid w:val="00172879"/>
    <w:rsid w:val="00172F21"/>
    <w:rsid w:val="001733B1"/>
    <w:rsid w:val="001739E7"/>
    <w:rsid w:val="00173E82"/>
    <w:rsid w:val="00173F2C"/>
    <w:rsid w:val="00173F6D"/>
    <w:rsid w:val="00174320"/>
    <w:rsid w:val="00174407"/>
    <w:rsid w:val="001745E1"/>
    <w:rsid w:val="001746CF"/>
    <w:rsid w:val="001748F4"/>
    <w:rsid w:val="00174CC3"/>
    <w:rsid w:val="0017585A"/>
    <w:rsid w:val="00175EC7"/>
    <w:rsid w:val="00175F18"/>
    <w:rsid w:val="00175FF9"/>
    <w:rsid w:val="0017610B"/>
    <w:rsid w:val="001761DB"/>
    <w:rsid w:val="001763D3"/>
    <w:rsid w:val="001763E0"/>
    <w:rsid w:val="001766E0"/>
    <w:rsid w:val="00176B4F"/>
    <w:rsid w:val="00177444"/>
    <w:rsid w:val="00177651"/>
    <w:rsid w:val="001778B6"/>
    <w:rsid w:val="00177987"/>
    <w:rsid w:val="00177B86"/>
    <w:rsid w:val="00177C19"/>
    <w:rsid w:val="00180434"/>
    <w:rsid w:val="001812C3"/>
    <w:rsid w:val="00181D3C"/>
    <w:rsid w:val="001825D3"/>
    <w:rsid w:val="00182C29"/>
    <w:rsid w:val="00182CE9"/>
    <w:rsid w:val="00183804"/>
    <w:rsid w:val="00183899"/>
    <w:rsid w:val="00183D8B"/>
    <w:rsid w:val="00183EF6"/>
    <w:rsid w:val="001842A5"/>
    <w:rsid w:val="001847DF"/>
    <w:rsid w:val="00184C55"/>
    <w:rsid w:val="00184FBE"/>
    <w:rsid w:val="00185059"/>
    <w:rsid w:val="001851DB"/>
    <w:rsid w:val="001853D1"/>
    <w:rsid w:val="001855F4"/>
    <w:rsid w:val="00185660"/>
    <w:rsid w:val="001856D2"/>
    <w:rsid w:val="00185B3C"/>
    <w:rsid w:val="00185B4F"/>
    <w:rsid w:val="00186692"/>
    <w:rsid w:val="001867A4"/>
    <w:rsid w:val="00186865"/>
    <w:rsid w:val="0018700D"/>
    <w:rsid w:val="00187199"/>
    <w:rsid w:val="001876C1"/>
    <w:rsid w:val="00187D21"/>
    <w:rsid w:val="001900BA"/>
    <w:rsid w:val="00190182"/>
    <w:rsid w:val="00190468"/>
    <w:rsid w:val="00190924"/>
    <w:rsid w:val="001909B4"/>
    <w:rsid w:val="00190E8A"/>
    <w:rsid w:val="00191C72"/>
    <w:rsid w:val="001922F4"/>
    <w:rsid w:val="001928C2"/>
    <w:rsid w:val="00193691"/>
    <w:rsid w:val="001939F3"/>
    <w:rsid w:val="00194157"/>
    <w:rsid w:val="00194376"/>
    <w:rsid w:val="0019450F"/>
    <w:rsid w:val="00194726"/>
    <w:rsid w:val="0019612D"/>
    <w:rsid w:val="001967A4"/>
    <w:rsid w:val="00196CB3"/>
    <w:rsid w:val="00197094"/>
    <w:rsid w:val="001970D1"/>
    <w:rsid w:val="00197737"/>
    <w:rsid w:val="00197927"/>
    <w:rsid w:val="00197B49"/>
    <w:rsid w:val="001A0274"/>
    <w:rsid w:val="001A09C4"/>
    <w:rsid w:val="001A0AE9"/>
    <w:rsid w:val="001A0EFE"/>
    <w:rsid w:val="001A15A2"/>
    <w:rsid w:val="001A1609"/>
    <w:rsid w:val="001A1969"/>
    <w:rsid w:val="001A198B"/>
    <w:rsid w:val="001A279B"/>
    <w:rsid w:val="001A2C12"/>
    <w:rsid w:val="001A32A9"/>
    <w:rsid w:val="001A3C63"/>
    <w:rsid w:val="001A3EE9"/>
    <w:rsid w:val="001A4187"/>
    <w:rsid w:val="001A4277"/>
    <w:rsid w:val="001A59EA"/>
    <w:rsid w:val="001A5C89"/>
    <w:rsid w:val="001A65DA"/>
    <w:rsid w:val="001A6BD0"/>
    <w:rsid w:val="001A6F8F"/>
    <w:rsid w:val="001A704C"/>
    <w:rsid w:val="001A74E5"/>
    <w:rsid w:val="001A7762"/>
    <w:rsid w:val="001B0056"/>
    <w:rsid w:val="001B02D0"/>
    <w:rsid w:val="001B0716"/>
    <w:rsid w:val="001B158B"/>
    <w:rsid w:val="001B22EC"/>
    <w:rsid w:val="001B23D2"/>
    <w:rsid w:val="001B24FD"/>
    <w:rsid w:val="001B2522"/>
    <w:rsid w:val="001B26F6"/>
    <w:rsid w:val="001B2E2F"/>
    <w:rsid w:val="001B30CB"/>
    <w:rsid w:val="001B32FC"/>
    <w:rsid w:val="001B359C"/>
    <w:rsid w:val="001B384E"/>
    <w:rsid w:val="001B3BE3"/>
    <w:rsid w:val="001B43D8"/>
    <w:rsid w:val="001B483E"/>
    <w:rsid w:val="001B4AA0"/>
    <w:rsid w:val="001B53D4"/>
    <w:rsid w:val="001B58AE"/>
    <w:rsid w:val="001B5A57"/>
    <w:rsid w:val="001B5D71"/>
    <w:rsid w:val="001B5E7C"/>
    <w:rsid w:val="001B5FEE"/>
    <w:rsid w:val="001B6145"/>
    <w:rsid w:val="001B6505"/>
    <w:rsid w:val="001B6AEE"/>
    <w:rsid w:val="001B6B32"/>
    <w:rsid w:val="001B7D8E"/>
    <w:rsid w:val="001C0225"/>
    <w:rsid w:val="001C0545"/>
    <w:rsid w:val="001C06D4"/>
    <w:rsid w:val="001C079A"/>
    <w:rsid w:val="001C0EE3"/>
    <w:rsid w:val="001C15B6"/>
    <w:rsid w:val="001C17C8"/>
    <w:rsid w:val="001C1D62"/>
    <w:rsid w:val="001C211D"/>
    <w:rsid w:val="001C245A"/>
    <w:rsid w:val="001C3245"/>
    <w:rsid w:val="001C346D"/>
    <w:rsid w:val="001C3DAB"/>
    <w:rsid w:val="001C460E"/>
    <w:rsid w:val="001C4D33"/>
    <w:rsid w:val="001C51C2"/>
    <w:rsid w:val="001C51DC"/>
    <w:rsid w:val="001C5461"/>
    <w:rsid w:val="001C567D"/>
    <w:rsid w:val="001C5E71"/>
    <w:rsid w:val="001C6A62"/>
    <w:rsid w:val="001C70F9"/>
    <w:rsid w:val="001C715E"/>
    <w:rsid w:val="001C721E"/>
    <w:rsid w:val="001C7460"/>
    <w:rsid w:val="001C7494"/>
    <w:rsid w:val="001C74D5"/>
    <w:rsid w:val="001C755A"/>
    <w:rsid w:val="001C75CE"/>
    <w:rsid w:val="001C780E"/>
    <w:rsid w:val="001C7D7F"/>
    <w:rsid w:val="001D028C"/>
    <w:rsid w:val="001D0402"/>
    <w:rsid w:val="001D0A75"/>
    <w:rsid w:val="001D1503"/>
    <w:rsid w:val="001D1BC7"/>
    <w:rsid w:val="001D2D00"/>
    <w:rsid w:val="001D30DE"/>
    <w:rsid w:val="001D34BC"/>
    <w:rsid w:val="001D3C52"/>
    <w:rsid w:val="001D43AC"/>
    <w:rsid w:val="001D46DD"/>
    <w:rsid w:val="001D4DAB"/>
    <w:rsid w:val="001D4E77"/>
    <w:rsid w:val="001D55D1"/>
    <w:rsid w:val="001D574A"/>
    <w:rsid w:val="001D57AC"/>
    <w:rsid w:val="001D5980"/>
    <w:rsid w:val="001D5BFF"/>
    <w:rsid w:val="001D5C99"/>
    <w:rsid w:val="001D5E51"/>
    <w:rsid w:val="001D65AB"/>
    <w:rsid w:val="001D73D3"/>
    <w:rsid w:val="001D755A"/>
    <w:rsid w:val="001D761E"/>
    <w:rsid w:val="001D765A"/>
    <w:rsid w:val="001E12D7"/>
    <w:rsid w:val="001E1602"/>
    <w:rsid w:val="001E1C22"/>
    <w:rsid w:val="001E2682"/>
    <w:rsid w:val="001E26A0"/>
    <w:rsid w:val="001E291D"/>
    <w:rsid w:val="001E29AC"/>
    <w:rsid w:val="001E2AD0"/>
    <w:rsid w:val="001E2C69"/>
    <w:rsid w:val="001E4282"/>
    <w:rsid w:val="001E4DE4"/>
    <w:rsid w:val="001E500D"/>
    <w:rsid w:val="001E52EA"/>
    <w:rsid w:val="001E53AB"/>
    <w:rsid w:val="001E5ADF"/>
    <w:rsid w:val="001E5C4C"/>
    <w:rsid w:val="001E5C62"/>
    <w:rsid w:val="001E5CE7"/>
    <w:rsid w:val="001E619E"/>
    <w:rsid w:val="001E6340"/>
    <w:rsid w:val="001E6559"/>
    <w:rsid w:val="001E66D3"/>
    <w:rsid w:val="001E68AB"/>
    <w:rsid w:val="001E68D7"/>
    <w:rsid w:val="001E73D1"/>
    <w:rsid w:val="001E744C"/>
    <w:rsid w:val="001E77E5"/>
    <w:rsid w:val="001F0B46"/>
    <w:rsid w:val="001F0E9F"/>
    <w:rsid w:val="001F1003"/>
    <w:rsid w:val="001F11FD"/>
    <w:rsid w:val="001F15EC"/>
    <w:rsid w:val="001F2009"/>
    <w:rsid w:val="001F2220"/>
    <w:rsid w:val="001F26DD"/>
    <w:rsid w:val="001F2A59"/>
    <w:rsid w:val="001F2DDA"/>
    <w:rsid w:val="001F34FB"/>
    <w:rsid w:val="001F371F"/>
    <w:rsid w:val="001F41AB"/>
    <w:rsid w:val="001F4483"/>
    <w:rsid w:val="001F5275"/>
    <w:rsid w:val="001F57D2"/>
    <w:rsid w:val="001F583B"/>
    <w:rsid w:val="001F5E1D"/>
    <w:rsid w:val="001F6273"/>
    <w:rsid w:val="001F677F"/>
    <w:rsid w:val="001F6882"/>
    <w:rsid w:val="001F6F8D"/>
    <w:rsid w:val="001F72F7"/>
    <w:rsid w:val="001F7581"/>
    <w:rsid w:val="001F797A"/>
    <w:rsid w:val="001F7B21"/>
    <w:rsid w:val="001F7D5C"/>
    <w:rsid w:val="002002A0"/>
    <w:rsid w:val="002002A1"/>
    <w:rsid w:val="00200DB8"/>
    <w:rsid w:val="00201042"/>
    <w:rsid w:val="002019F3"/>
    <w:rsid w:val="00201E5E"/>
    <w:rsid w:val="00202319"/>
    <w:rsid w:val="002023B6"/>
    <w:rsid w:val="002027A4"/>
    <w:rsid w:val="00202B85"/>
    <w:rsid w:val="0020435C"/>
    <w:rsid w:val="0020464A"/>
    <w:rsid w:val="0020471B"/>
    <w:rsid w:val="00205011"/>
    <w:rsid w:val="002050EB"/>
    <w:rsid w:val="002051FC"/>
    <w:rsid w:val="00205244"/>
    <w:rsid w:val="00205767"/>
    <w:rsid w:val="002057E0"/>
    <w:rsid w:val="00205851"/>
    <w:rsid w:val="00205BD7"/>
    <w:rsid w:val="00205CD4"/>
    <w:rsid w:val="002061B9"/>
    <w:rsid w:val="002064A7"/>
    <w:rsid w:val="002066CA"/>
    <w:rsid w:val="0020693B"/>
    <w:rsid w:val="00206E52"/>
    <w:rsid w:val="00206EB9"/>
    <w:rsid w:val="00207112"/>
    <w:rsid w:val="00207419"/>
    <w:rsid w:val="00207A23"/>
    <w:rsid w:val="00207B8D"/>
    <w:rsid w:val="00210D4E"/>
    <w:rsid w:val="00211174"/>
    <w:rsid w:val="002114F1"/>
    <w:rsid w:val="00211A0A"/>
    <w:rsid w:val="00211EEB"/>
    <w:rsid w:val="00212803"/>
    <w:rsid w:val="0021338D"/>
    <w:rsid w:val="00213598"/>
    <w:rsid w:val="00213940"/>
    <w:rsid w:val="00213A08"/>
    <w:rsid w:val="00214081"/>
    <w:rsid w:val="00214400"/>
    <w:rsid w:val="00214927"/>
    <w:rsid w:val="00214DC9"/>
    <w:rsid w:val="002154D4"/>
    <w:rsid w:val="002157F3"/>
    <w:rsid w:val="002168B7"/>
    <w:rsid w:val="002173D1"/>
    <w:rsid w:val="00217A31"/>
    <w:rsid w:val="00220CE1"/>
    <w:rsid w:val="00220D64"/>
    <w:rsid w:val="00220D98"/>
    <w:rsid w:val="00221CEC"/>
    <w:rsid w:val="00221E40"/>
    <w:rsid w:val="00221FB4"/>
    <w:rsid w:val="002229D3"/>
    <w:rsid w:val="002237ED"/>
    <w:rsid w:val="00223DD4"/>
    <w:rsid w:val="00224089"/>
    <w:rsid w:val="00224CCE"/>
    <w:rsid w:val="00224EF2"/>
    <w:rsid w:val="00224F0E"/>
    <w:rsid w:val="00224FB7"/>
    <w:rsid w:val="002256C9"/>
    <w:rsid w:val="0022577D"/>
    <w:rsid w:val="00225DC1"/>
    <w:rsid w:val="0022601E"/>
    <w:rsid w:val="002263BC"/>
    <w:rsid w:val="002265E8"/>
    <w:rsid w:val="00226B31"/>
    <w:rsid w:val="002275D9"/>
    <w:rsid w:val="00227785"/>
    <w:rsid w:val="00227D3B"/>
    <w:rsid w:val="00227F4F"/>
    <w:rsid w:val="002301A8"/>
    <w:rsid w:val="00230609"/>
    <w:rsid w:val="00230D2A"/>
    <w:rsid w:val="00230D5B"/>
    <w:rsid w:val="00230D94"/>
    <w:rsid w:val="002310B6"/>
    <w:rsid w:val="0023147E"/>
    <w:rsid w:val="002316B3"/>
    <w:rsid w:val="00231E5C"/>
    <w:rsid w:val="00232664"/>
    <w:rsid w:val="002332BB"/>
    <w:rsid w:val="00233411"/>
    <w:rsid w:val="002341D7"/>
    <w:rsid w:val="00234466"/>
    <w:rsid w:val="00234903"/>
    <w:rsid w:val="00234A28"/>
    <w:rsid w:val="00234C32"/>
    <w:rsid w:val="002352F4"/>
    <w:rsid w:val="00235459"/>
    <w:rsid w:val="00235DF1"/>
    <w:rsid w:val="0023634A"/>
    <w:rsid w:val="002374D0"/>
    <w:rsid w:val="00237A3D"/>
    <w:rsid w:val="00237EA8"/>
    <w:rsid w:val="002401D3"/>
    <w:rsid w:val="002401EB"/>
    <w:rsid w:val="00240552"/>
    <w:rsid w:val="00240679"/>
    <w:rsid w:val="002411F1"/>
    <w:rsid w:val="002412A5"/>
    <w:rsid w:val="002412D1"/>
    <w:rsid w:val="0024166D"/>
    <w:rsid w:val="00242536"/>
    <w:rsid w:val="00242B16"/>
    <w:rsid w:val="00242BE6"/>
    <w:rsid w:val="00243001"/>
    <w:rsid w:val="00243BEC"/>
    <w:rsid w:val="00243C77"/>
    <w:rsid w:val="00243D27"/>
    <w:rsid w:val="00243F0B"/>
    <w:rsid w:val="00244526"/>
    <w:rsid w:val="0024479F"/>
    <w:rsid w:val="0024480C"/>
    <w:rsid w:val="00244BA6"/>
    <w:rsid w:val="0024575F"/>
    <w:rsid w:val="00245E5D"/>
    <w:rsid w:val="0024601F"/>
    <w:rsid w:val="002460FD"/>
    <w:rsid w:val="0024645F"/>
    <w:rsid w:val="002468EA"/>
    <w:rsid w:val="002471F1"/>
    <w:rsid w:val="00247837"/>
    <w:rsid w:val="002503B2"/>
    <w:rsid w:val="002503F6"/>
    <w:rsid w:val="002510E6"/>
    <w:rsid w:val="00251467"/>
    <w:rsid w:val="00251730"/>
    <w:rsid w:val="002519E9"/>
    <w:rsid w:val="00251B83"/>
    <w:rsid w:val="00251E17"/>
    <w:rsid w:val="00252082"/>
    <w:rsid w:val="0025224B"/>
    <w:rsid w:val="00252393"/>
    <w:rsid w:val="00252682"/>
    <w:rsid w:val="00252FF9"/>
    <w:rsid w:val="002535B5"/>
    <w:rsid w:val="002536CF"/>
    <w:rsid w:val="002539AE"/>
    <w:rsid w:val="00253A21"/>
    <w:rsid w:val="00253E11"/>
    <w:rsid w:val="00253FCB"/>
    <w:rsid w:val="00254016"/>
    <w:rsid w:val="00254100"/>
    <w:rsid w:val="00254438"/>
    <w:rsid w:val="0025458A"/>
    <w:rsid w:val="00254E84"/>
    <w:rsid w:val="002551AD"/>
    <w:rsid w:val="00255B90"/>
    <w:rsid w:val="00255BB5"/>
    <w:rsid w:val="00256DC7"/>
    <w:rsid w:val="00257141"/>
    <w:rsid w:val="002574BB"/>
    <w:rsid w:val="00260DDC"/>
    <w:rsid w:val="00261107"/>
    <w:rsid w:val="00261705"/>
    <w:rsid w:val="00261BD9"/>
    <w:rsid w:val="002622DC"/>
    <w:rsid w:val="002627CE"/>
    <w:rsid w:val="00262A5A"/>
    <w:rsid w:val="00262C88"/>
    <w:rsid w:val="00262E3A"/>
    <w:rsid w:val="002631D9"/>
    <w:rsid w:val="002638F4"/>
    <w:rsid w:val="002641D5"/>
    <w:rsid w:val="002642A4"/>
    <w:rsid w:val="00264652"/>
    <w:rsid w:val="0026471E"/>
    <w:rsid w:val="0026495F"/>
    <w:rsid w:val="0026498E"/>
    <w:rsid w:val="00264A6B"/>
    <w:rsid w:val="00264B39"/>
    <w:rsid w:val="002652E7"/>
    <w:rsid w:val="002653B6"/>
    <w:rsid w:val="0026561F"/>
    <w:rsid w:val="00265F9C"/>
    <w:rsid w:val="0026652A"/>
    <w:rsid w:val="00266879"/>
    <w:rsid w:val="00266A55"/>
    <w:rsid w:val="00266FFB"/>
    <w:rsid w:val="0026730F"/>
    <w:rsid w:val="00267829"/>
    <w:rsid w:val="00267BD6"/>
    <w:rsid w:val="00267DE1"/>
    <w:rsid w:val="00270097"/>
    <w:rsid w:val="00270171"/>
    <w:rsid w:val="002703F8"/>
    <w:rsid w:val="00270590"/>
    <w:rsid w:val="002706C9"/>
    <w:rsid w:val="00270E4C"/>
    <w:rsid w:val="002712C9"/>
    <w:rsid w:val="002715C5"/>
    <w:rsid w:val="00271AE3"/>
    <w:rsid w:val="002723EA"/>
    <w:rsid w:val="00272489"/>
    <w:rsid w:val="0027267B"/>
    <w:rsid w:val="002726EF"/>
    <w:rsid w:val="00272EB5"/>
    <w:rsid w:val="0027326F"/>
    <w:rsid w:val="002735C1"/>
    <w:rsid w:val="0027492A"/>
    <w:rsid w:val="00275558"/>
    <w:rsid w:val="00275A28"/>
    <w:rsid w:val="002772D6"/>
    <w:rsid w:val="00277507"/>
    <w:rsid w:val="00277842"/>
    <w:rsid w:val="0028058A"/>
    <w:rsid w:val="002805B3"/>
    <w:rsid w:val="00280723"/>
    <w:rsid w:val="00280788"/>
    <w:rsid w:val="00280F57"/>
    <w:rsid w:val="00281395"/>
    <w:rsid w:val="00281ABA"/>
    <w:rsid w:val="00281C13"/>
    <w:rsid w:val="00281FB5"/>
    <w:rsid w:val="00282068"/>
    <w:rsid w:val="00282F57"/>
    <w:rsid w:val="002842E9"/>
    <w:rsid w:val="00284415"/>
    <w:rsid w:val="00284578"/>
    <w:rsid w:val="00284845"/>
    <w:rsid w:val="00284880"/>
    <w:rsid w:val="00285850"/>
    <w:rsid w:val="00285E03"/>
    <w:rsid w:val="00285EC1"/>
    <w:rsid w:val="00285FFE"/>
    <w:rsid w:val="00286406"/>
    <w:rsid w:val="002864A6"/>
    <w:rsid w:val="002865E8"/>
    <w:rsid w:val="00286BFC"/>
    <w:rsid w:val="00286CFE"/>
    <w:rsid w:val="00287388"/>
    <w:rsid w:val="00287C72"/>
    <w:rsid w:val="00287CFE"/>
    <w:rsid w:val="00287E34"/>
    <w:rsid w:val="00290324"/>
    <w:rsid w:val="002907B2"/>
    <w:rsid w:val="0029121C"/>
    <w:rsid w:val="002912B2"/>
    <w:rsid w:val="0029154E"/>
    <w:rsid w:val="00291958"/>
    <w:rsid w:val="00291B01"/>
    <w:rsid w:val="002920BA"/>
    <w:rsid w:val="002920D0"/>
    <w:rsid w:val="00292457"/>
    <w:rsid w:val="0029251E"/>
    <w:rsid w:val="00292633"/>
    <w:rsid w:val="002929ED"/>
    <w:rsid w:val="00292A4A"/>
    <w:rsid w:val="00292CF5"/>
    <w:rsid w:val="002934D1"/>
    <w:rsid w:val="002937D4"/>
    <w:rsid w:val="00293E31"/>
    <w:rsid w:val="00293EE0"/>
    <w:rsid w:val="00294FDE"/>
    <w:rsid w:val="00295534"/>
    <w:rsid w:val="00295760"/>
    <w:rsid w:val="00295C27"/>
    <w:rsid w:val="0029650B"/>
    <w:rsid w:val="00297383"/>
    <w:rsid w:val="00297545"/>
    <w:rsid w:val="00297EAB"/>
    <w:rsid w:val="002A0411"/>
    <w:rsid w:val="002A06BB"/>
    <w:rsid w:val="002A07A1"/>
    <w:rsid w:val="002A19F4"/>
    <w:rsid w:val="002A1A5E"/>
    <w:rsid w:val="002A21B2"/>
    <w:rsid w:val="002A237B"/>
    <w:rsid w:val="002A331A"/>
    <w:rsid w:val="002A3635"/>
    <w:rsid w:val="002A3DDA"/>
    <w:rsid w:val="002A403C"/>
    <w:rsid w:val="002A422E"/>
    <w:rsid w:val="002A4576"/>
    <w:rsid w:val="002A465D"/>
    <w:rsid w:val="002A4667"/>
    <w:rsid w:val="002A4714"/>
    <w:rsid w:val="002A4B0B"/>
    <w:rsid w:val="002A4CB3"/>
    <w:rsid w:val="002A5595"/>
    <w:rsid w:val="002A56E1"/>
    <w:rsid w:val="002A5733"/>
    <w:rsid w:val="002A5A79"/>
    <w:rsid w:val="002A5AD4"/>
    <w:rsid w:val="002A6790"/>
    <w:rsid w:val="002A6B46"/>
    <w:rsid w:val="002A6B86"/>
    <w:rsid w:val="002A7394"/>
    <w:rsid w:val="002B0373"/>
    <w:rsid w:val="002B0845"/>
    <w:rsid w:val="002B0D05"/>
    <w:rsid w:val="002B0EA1"/>
    <w:rsid w:val="002B1285"/>
    <w:rsid w:val="002B1A05"/>
    <w:rsid w:val="002B2CDD"/>
    <w:rsid w:val="002B3333"/>
    <w:rsid w:val="002B33A1"/>
    <w:rsid w:val="002B3D28"/>
    <w:rsid w:val="002B4038"/>
    <w:rsid w:val="002B4435"/>
    <w:rsid w:val="002B44C6"/>
    <w:rsid w:val="002B468E"/>
    <w:rsid w:val="002B4B3E"/>
    <w:rsid w:val="002B4E3F"/>
    <w:rsid w:val="002B50EB"/>
    <w:rsid w:val="002B54C8"/>
    <w:rsid w:val="002B5995"/>
    <w:rsid w:val="002B5B80"/>
    <w:rsid w:val="002B5E10"/>
    <w:rsid w:val="002B62CF"/>
    <w:rsid w:val="002B63B2"/>
    <w:rsid w:val="002B69BA"/>
    <w:rsid w:val="002B6A08"/>
    <w:rsid w:val="002B6CEB"/>
    <w:rsid w:val="002B70A4"/>
    <w:rsid w:val="002B7862"/>
    <w:rsid w:val="002B7A33"/>
    <w:rsid w:val="002C0408"/>
    <w:rsid w:val="002C09DB"/>
    <w:rsid w:val="002C0DE3"/>
    <w:rsid w:val="002C0E5D"/>
    <w:rsid w:val="002C0F54"/>
    <w:rsid w:val="002C162D"/>
    <w:rsid w:val="002C1A35"/>
    <w:rsid w:val="002C1BCD"/>
    <w:rsid w:val="002C2063"/>
    <w:rsid w:val="002C2126"/>
    <w:rsid w:val="002C2330"/>
    <w:rsid w:val="002C2480"/>
    <w:rsid w:val="002C2626"/>
    <w:rsid w:val="002C2894"/>
    <w:rsid w:val="002C2ED6"/>
    <w:rsid w:val="002C2EF2"/>
    <w:rsid w:val="002C31D2"/>
    <w:rsid w:val="002C34A0"/>
    <w:rsid w:val="002C3D29"/>
    <w:rsid w:val="002C4050"/>
    <w:rsid w:val="002C4554"/>
    <w:rsid w:val="002C4C2A"/>
    <w:rsid w:val="002C5846"/>
    <w:rsid w:val="002C5B23"/>
    <w:rsid w:val="002C6A84"/>
    <w:rsid w:val="002C7869"/>
    <w:rsid w:val="002C7896"/>
    <w:rsid w:val="002C7934"/>
    <w:rsid w:val="002C79E3"/>
    <w:rsid w:val="002C7C77"/>
    <w:rsid w:val="002C7D17"/>
    <w:rsid w:val="002D01B9"/>
    <w:rsid w:val="002D0AEF"/>
    <w:rsid w:val="002D0E8C"/>
    <w:rsid w:val="002D100F"/>
    <w:rsid w:val="002D11E4"/>
    <w:rsid w:val="002D1220"/>
    <w:rsid w:val="002D1438"/>
    <w:rsid w:val="002D172E"/>
    <w:rsid w:val="002D1AA5"/>
    <w:rsid w:val="002D20A4"/>
    <w:rsid w:val="002D2548"/>
    <w:rsid w:val="002D297D"/>
    <w:rsid w:val="002D2AA7"/>
    <w:rsid w:val="002D2B2C"/>
    <w:rsid w:val="002D300B"/>
    <w:rsid w:val="002D392A"/>
    <w:rsid w:val="002D3AD5"/>
    <w:rsid w:val="002D45BA"/>
    <w:rsid w:val="002D4E07"/>
    <w:rsid w:val="002D51B3"/>
    <w:rsid w:val="002D5699"/>
    <w:rsid w:val="002D5893"/>
    <w:rsid w:val="002D6245"/>
    <w:rsid w:val="002D64AE"/>
    <w:rsid w:val="002D68EE"/>
    <w:rsid w:val="002D6934"/>
    <w:rsid w:val="002D696A"/>
    <w:rsid w:val="002D6981"/>
    <w:rsid w:val="002D6CD4"/>
    <w:rsid w:val="002D74E7"/>
    <w:rsid w:val="002D7E98"/>
    <w:rsid w:val="002E05BF"/>
    <w:rsid w:val="002E068D"/>
    <w:rsid w:val="002E07FF"/>
    <w:rsid w:val="002E0B3A"/>
    <w:rsid w:val="002E0DFF"/>
    <w:rsid w:val="002E1B65"/>
    <w:rsid w:val="002E21FD"/>
    <w:rsid w:val="002E2448"/>
    <w:rsid w:val="002E2783"/>
    <w:rsid w:val="002E2845"/>
    <w:rsid w:val="002E3590"/>
    <w:rsid w:val="002E38F2"/>
    <w:rsid w:val="002E39BC"/>
    <w:rsid w:val="002E4065"/>
    <w:rsid w:val="002E4231"/>
    <w:rsid w:val="002E48CD"/>
    <w:rsid w:val="002E4FB7"/>
    <w:rsid w:val="002E5A1D"/>
    <w:rsid w:val="002E5AB4"/>
    <w:rsid w:val="002E661F"/>
    <w:rsid w:val="002E66C8"/>
    <w:rsid w:val="002E67EE"/>
    <w:rsid w:val="002E6E17"/>
    <w:rsid w:val="002E6E72"/>
    <w:rsid w:val="002E7709"/>
    <w:rsid w:val="002E7D5A"/>
    <w:rsid w:val="002E7D86"/>
    <w:rsid w:val="002F01BB"/>
    <w:rsid w:val="002F044E"/>
    <w:rsid w:val="002F049D"/>
    <w:rsid w:val="002F0559"/>
    <w:rsid w:val="002F07F9"/>
    <w:rsid w:val="002F1C4A"/>
    <w:rsid w:val="002F2BC6"/>
    <w:rsid w:val="002F2D61"/>
    <w:rsid w:val="002F2DC5"/>
    <w:rsid w:val="002F2F22"/>
    <w:rsid w:val="002F301C"/>
    <w:rsid w:val="002F3292"/>
    <w:rsid w:val="002F32D1"/>
    <w:rsid w:val="002F35A2"/>
    <w:rsid w:val="002F37B4"/>
    <w:rsid w:val="002F3D52"/>
    <w:rsid w:val="002F3D8F"/>
    <w:rsid w:val="002F43A1"/>
    <w:rsid w:val="002F44B2"/>
    <w:rsid w:val="002F450B"/>
    <w:rsid w:val="002F468D"/>
    <w:rsid w:val="002F4C8D"/>
    <w:rsid w:val="002F4E65"/>
    <w:rsid w:val="002F4FDB"/>
    <w:rsid w:val="002F533B"/>
    <w:rsid w:val="002F5406"/>
    <w:rsid w:val="002F59F0"/>
    <w:rsid w:val="002F63B3"/>
    <w:rsid w:val="002F668D"/>
    <w:rsid w:val="002F6860"/>
    <w:rsid w:val="002F6DAF"/>
    <w:rsid w:val="002F6DC8"/>
    <w:rsid w:val="002F6EA9"/>
    <w:rsid w:val="002F7376"/>
    <w:rsid w:val="003007E0"/>
    <w:rsid w:val="00300A2D"/>
    <w:rsid w:val="003012C4"/>
    <w:rsid w:val="003016B7"/>
    <w:rsid w:val="00301D2F"/>
    <w:rsid w:val="003022DD"/>
    <w:rsid w:val="003033B4"/>
    <w:rsid w:val="00303C55"/>
    <w:rsid w:val="00303F0A"/>
    <w:rsid w:val="0030431F"/>
    <w:rsid w:val="00304F2A"/>
    <w:rsid w:val="0030545C"/>
    <w:rsid w:val="00305D0A"/>
    <w:rsid w:val="00305D69"/>
    <w:rsid w:val="00306152"/>
    <w:rsid w:val="00306341"/>
    <w:rsid w:val="0030641E"/>
    <w:rsid w:val="003073C6"/>
    <w:rsid w:val="0030748B"/>
    <w:rsid w:val="003074C4"/>
    <w:rsid w:val="00310184"/>
    <w:rsid w:val="003103C9"/>
    <w:rsid w:val="00310840"/>
    <w:rsid w:val="003110FC"/>
    <w:rsid w:val="003111E4"/>
    <w:rsid w:val="003112C3"/>
    <w:rsid w:val="00311347"/>
    <w:rsid w:val="00311595"/>
    <w:rsid w:val="00311B26"/>
    <w:rsid w:val="00311ED2"/>
    <w:rsid w:val="003124BB"/>
    <w:rsid w:val="003124D4"/>
    <w:rsid w:val="00312EBF"/>
    <w:rsid w:val="003136A1"/>
    <w:rsid w:val="0031395C"/>
    <w:rsid w:val="003139C4"/>
    <w:rsid w:val="00313BC0"/>
    <w:rsid w:val="00313E64"/>
    <w:rsid w:val="00313EB6"/>
    <w:rsid w:val="00313F4D"/>
    <w:rsid w:val="00314D9F"/>
    <w:rsid w:val="00314E0D"/>
    <w:rsid w:val="00314F58"/>
    <w:rsid w:val="00315800"/>
    <w:rsid w:val="00315A0C"/>
    <w:rsid w:val="00315E0B"/>
    <w:rsid w:val="00316A12"/>
    <w:rsid w:val="00316A28"/>
    <w:rsid w:val="00316B4E"/>
    <w:rsid w:val="00316DEF"/>
    <w:rsid w:val="00316EC6"/>
    <w:rsid w:val="00316F52"/>
    <w:rsid w:val="0031721E"/>
    <w:rsid w:val="0031735E"/>
    <w:rsid w:val="00317972"/>
    <w:rsid w:val="00317E76"/>
    <w:rsid w:val="003202DE"/>
    <w:rsid w:val="003202FF"/>
    <w:rsid w:val="00320886"/>
    <w:rsid w:val="00320BB6"/>
    <w:rsid w:val="00321ED5"/>
    <w:rsid w:val="003221AA"/>
    <w:rsid w:val="00322951"/>
    <w:rsid w:val="003229D3"/>
    <w:rsid w:val="00322A41"/>
    <w:rsid w:val="00322AEC"/>
    <w:rsid w:val="003233B1"/>
    <w:rsid w:val="00323B77"/>
    <w:rsid w:val="003241AD"/>
    <w:rsid w:val="003241C6"/>
    <w:rsid w:val="00324320"/>
    <w:rsid w:val="00324714"/>
    <w:rsid w:val="0032559B"/>
    <w:rsid w:val="00325AAC"/>
    <w:rsid w:val="00326307"/>
    <w:rsid w:val="00326340"/>
    <w:rsid w:val="00326608"/>
    <w:rsid w:val="00326849"/>
    <w:rsid w:val="00326E50"/>
    <w:rsid w:val="00327191"/>
    <w:rsid w:val="003273BE"/>
    <w:rsid w:val="0032781E"/>
    <w:rsid w:val="00327B6C"/>
    <w:rsid w:val="00330001"/>
    <w:rsid w:val="00330074"/>
    <w:rsid w:val="00330865"/>
    <w:rsid w:val="00330E71"/>
    <w:rsid w:val="00330FE8"/>
    <w:rsid w:val="00331345"/>
    <w:rsid w:val="00331926"/>
    <w:rsid w:val="00331977"/>
    <w:rsid w:val="00331E3D"/>
    <w:rsid w:val="003321AF"/>
    <w:rsid w:val="00332BEA"/>
    <w:rsid w:val="00332ED9"/>
    <w:rsid w:val="003331D1"/>
    <w:rsid w:val="00333998"/>
    <w:rsid w:val="00333B7F"/>
    <w:rsid w:val="00333C19"/>
    <w:rsid w:val="00333CDC"/>
    <w:rsid w:val="00333E36"/>
    <w:rsid w:val="003346C6"/>
    <w:rsid w:val="00334B36"/>
    <w:rsid w:val="00335420"/>
    <w:rsid w:val="00335B2E"/>
    <w:rsid w:val="00335C39"/>
    <w:rsid w:val="00335F66"/>
    <w:rsid w:val="0033662C"/>
    <w:rsid w:val="003367AB"/>
    <w:rsid w:val="00336EFC"/>
    <w:rsid w:val="00336FBE"/>
    <w:rsid w:val="003374B4"/>
    <w:rsid w:val="0033770E"/>
    <w:rsid w:val="00337842"/>
    <w:rsid w:val="00337B19"/>
    <w:rsid w:val="00337B36"/>
    <w:rsid w:val="00337BFA"/>
    <w:rsid w:val="00337D12"/>
    <w:rsid w:val="00337FE6"/>
    <w:rsid w:val="003400B5"/>
    <w:rsid w:val="003400E8"/>
    <w:rsid w:val="00340160"/>
    <w:rsid w:val="00341345"/>
    <w:rsid w:val="00341899"/>
    <w:rsid w:val="00341DC3"/>
    <w:rsid w:val="00342261"/>
    <w:rsid w:val="00342325"/>
    <w:rsid w:val="00342EA6"/>
    <w:rsid w:val="00342F2A"/>
    <w:rsid w:val="003437DE"/>
    <w:rsid w:val="003438DC"/>
    <w:rsid w:val="0034393C"/>
    <w:rsid w:val="00343ADF"/>
    <w:rsid w:val="00344161"/>
    <w:rsid w:val="00344B34"/>
    <w:rsid w:val="00344F35"/>
    <w:rsid w:val="00345126"/>
    <w:rsid w:val="00345480"/>
    <w:rsid w:val="0034661B"/>
    <w:rsid w:val="003468EA"/>
    <w:rsid w:val="003469E6"/>
    <w:rsid w:val="00346A43"/>
    <w:rsid w:val="00346BE4"/>
    <w:rsid w:val="00346D0B"/>
    <w:rsid w:val="00346F83"/>
    <w:rsid w:val="003471A6"/>
    <w:rsid w:val="003475DB"/>
    <w:rsid w:val="003476B5"/>
    <w:rsid w:val="0035007E"/>
    <w:rsid w:val="003501C4"/>
    <w:rsid w:val="003503E1"/>
    <w:rsid w:val="00350628"/>
    <w:rsid w:val="003508A7"/>
    <w:rsid w:val="003515B4"/>
    <w:rsid w:val="00351614"/>
    <w:rsid w:val="00351A70"/>
    <w:rsid w:val="00352E51"/>
    <w:rsid w:val="00352F82"/>
    <w:rsid w:val="00353383"/>
    <w:rsid w:val="00353650"/>
    <w:rsid w:val="00353AD2"/>
    <w:rsid w:val="00354DDC"/>
    <w:rsid w:val="00354F5E"/>
    <w:rsid w:val="00355A4D"/>
    <w:rsid w:val="00355B83"/>
    <w:rsid w:val="00355F4D"/>
    <w:rsid w:val="00356361"/>
    <w:rsid w:val="003563EF"/>
    <w:rsid w:val="00356403"/>
    <w:rsid w:val="003568F8"/>
    <w:rsid w:val="00356E5C"/>
    <w:rsid w:val="00356FB9"/>
    <w:rsid w:val="00357249"/>
    <w:rsid w:val="0035732F"/>
    <w:rsid w:val="00357B65"/>
    <w:rsid w:val="003601A7"/>
    <w:rsid w:val="003603BB"/>
    <w:rsid w:val="00360920"/>
    <w:rsid w:val="003610CE"/>
    <w:rsid w:val="00361672"/>
    <w:rsid w:val="0036168C"/>
    <w:rsid w:val="00361C5D"/>
    <w:rsid w:val="00361F72"/>
    <w:rsid w:val="00362092"/>
    <w:rsid w:val="003620A3"/>
    <w:rsid w:val="00362297"/>
    <w:rsid w:val="00362779"/>
    <w:rsid w:val="00362DAE"/>
    <w:rsid w:val="00362F46"/>
    <w:rsid w:val="0036363E"/>
    <w:rsid w:val="00364223"/>
    <w:rsid w:val="00364A58"/>
    <w:rsid w:val="00364BA4"/>
    <w:rsid w:val="00364F4B"/>
    <w:rsid w:val="00365C18"/>
    <w:rsid w:val="003661C9"/>
    <w:rsid w:val="0036655A"/>
    <w:rsid w:val="00366680"/>
    <w:rsid w:val="00366C7A"/>
    <w:rsid w:val="00367C77"/>
    <w:rsid w:val="0037034B"/>
    <w:rsid w:val="00370FFF"/>
    <w:rsid w:val="0037101A"/>
    <w:rsid w:val="00371174"/>
    <w:rsid w:val="00371EF9"/>
    <w:rsid w:val="003725D6"/>
    <w:rsid w:val="003725DF"/>
    <w:rsid w:val="003726FD"/>
    <w:rsid w:val="003728A4"/>
    <w:rsid w:val="00372A3A"/>
    <w:rsid w:val="00372BD5"/>
    <w:rsid w:val="003734B8"/>
    <w:rsid w:val="00375048"/>
    <w:rsid w:val="00375620"/>
    <w:rsid w:val="00375D6C"/>
    <w:rsid w:val="00375F2A"/>
    <w:rsid w:val="003765E6"/>
    <w:rsid w:val="00376AB4"/>
    <w:rsid w:val="00377106"/>
    <w:rsid w:val="00377D71"/>
    <w:rsid w:val="003802BF"/>
    <w:rsid w:val="0038045B"/>
    <w:rsid w:val="003808AE"/>
    <w:rsid w:val="00380AF9"/>
    <w:rsid w:val="003810A5"/>
    <w:rsid w:val="003814C6"/>
    <w:rsid w:val="00381CE3"/>
    <w:rsid w:val="00382062"/>
    <w:rsid w:val="0038216D"/>
    <w:rsid w:val="003829F4"/>
    <w:rsid w:val="00383048"/>
    <w:rsid w:val="0038335E"/>
    <w:rsid w:val="00383D36"/>
    <w:rsid w:val="00383DD9"/>
    <w:rsid w:val="00383EF3"/>
    <w:rsid w:val="00383F76"/>
    <w:rsid w:val="003844FF"/>
    <w:rsid w:val="0038469B"/>
    <w:rsid w:val="00385118"/>
    <w:rsid w:val="00385BF1"/>
    <w:rsid w:val="00385F42"/>
    <w:rsid w:val="003862B0"/>
    <w:rsid w:val="00386442"/>
    <w:rsid w:val="00386484"/>
    <w:rsid w:val="00386661"/>
    <w:rsid w:val="003868DC"/>
    <w:rsid w:val="003869B1"/>
    <w:rsid w:val="003870C7"/>
    <w:rsid w:val="00387221"/>
    <w:rsid w:val="0038759B"/>
    <w:rsid w:val="00387A10"/>
    <w:rsid w:val="0039055C"/>
    <w:rsid w:val="00390969"/>
    <w:rsid w:val="00390CD4"/>
    <w:rsid w:val="00391465"/>
    <w:rsid w:val="0039174E"/>
    <w:rsid w:val="003919AD"/>
    <w:rsid w:val="003919BB"/>
    <w:rsid w:val="003923CE"/>
    <w:rsid w:val="0039254B"/>
    <w:rsid w:val="00392D8C"/>
    <w:rsid w:val="00393176"/>
    <w:rsid w:val="003933D2"/>
    <w:rsid w:val="0039374B"/>
    <w:rsid w:val="00393A27"/>
    <w:rsid w:val="00393C7F"/>
    <w:rsid w:val="003943B5"/>
    <w:rsid w:val="00394513"/>
    <w:rsid w:val="00394672"/>
    <w:rsid w:val="003951D4"/>
    <w:rsid w:val="003952C4"/>
    <w:rsid w:val="003953A6"/>
    <w:rsid w:val="00395562"/>
    <w:rsid w:val="00395C0D"/>
    <w:rsid w:val="00395C7D"/>
    <w:rsid w:val="00395E91"/>
    <w:rsid w:val="00395F01"/>
    <w:rsid w:val="00396266"/>
    <w:rsid w:val="00396610"/>
    <w:rsid w:val="0039663B"/>
    <w:rsid w:val="0039663F"/>
    <w:rsid w:val="003968C7"/>
    <w:rsid w:val="00396ABA"/>
    <w:rsid w:val="00396B22"/>
    <w:rsid w:val="00397168"/>
    <w:rsid w:val="003975F7"/>
    <w:rsid w:val="003977D0"/>
    <w:rsid w:val="00397880"/>
    <w:rsid w:val="00397B57"/>
    <w:rsid w:val="003A01CB"/>
    <w:rsid w:val="003A01DA"/>
    <w:rsid w:val="003A02EA"/>
    <w:rsid w:val="003A17DA"/>
    <w:rsid w:val="003A2815"/>
    <w:rsid w:val="003A2D30"/>
    <w:rsid w:val="003A33D3"/>
    <w:rsid w:val="003A35E7"/>
    <w:rsid w:val="003A3825"/>
    <w:rsid w:val="003A3F3D"/>
    <w:rsid w:val="003A3F46"/>
    <w:rsid w:val="003A43A3"/>
    <w:rsid w:val="003A44A0"/>
    <w:rsid w:val="003A4C0B"/>
    <w:rsid w:val="003A584A"/>
    <w:rsid w:val="003A590B"/>
    <w:rsid w:val="003A5C26"/>
    <w:rsid w:val="003A5FB3"/>
    <w:rsid w:val="003A621C"/>
    <w:rsid w:val="003A6F98"/>
    <w:rsid w:val="003A73E0"/>
    <w:rsid w:val="003A784F"/>
    <w:rsid w:val="003A7B7B"/>
    <w:rsid w:val="003A7C4A"/>
    <w:rsid w:val="003A7DDF"/>
    <w:rsid w:val="003B01AD"/>
    <w:rsid w:val="003B05D0"/>
    <w:rsid w:val="003B0697"/>
    <w:rsid w:val="003B06B0"/>
    <w:rsid w:val="003B0B7D"/>
    <w:rsid w:val="003B118C"/>
    <w:rsid w:val="003B128D"/>
    <w:rsid w:val="003B170F"/>
    <w:rsid w:val="003B1836"/>
    <w:rsid w:val="003B19D1"/>
    <w:rsid w:val="003B1F6D"/>
    <w:rsid w:val="003B2449"/>
    <w:rsid w:val="003B24A3"/>
    <w:rsid w:val="003B25F0"/>
    <w:rsid w:val="003B2A27"/>
    <w:rsid w:val="003B2F14"/>
    <w:rsid w:val="003B2F7A"/>
    <w:rsid w:val="003B2FF4"/>
    <w:rsid w:val="003B336E"/>
    <w:rsid w:val="003B3D83"/>
    <w:rsid w:val="003B4669"/>
    <w:rsid w:val="003B46AC"/>
    <w:rsid w:val="003B4E99"/>
    <w:rsid w:val="003B51A0"/>
    <w:rsid w:val="003B5959"/>
    <w:rsid w:val="003B5F14"/>
    <w:rsid w:val="003B6215"/>
    <w:rsid w:val="003B6306"/>
    <w:rsid w:val="003B66E5"/>
    <w:rsid w:val="003B6704"/>
    <w:rsid w:val="003B67D2"/>
    <w:rsid w:val="003B6D8F"/>
    <w:rsid w:val="003B746F"/>
    <w:rsid w:val="003B768E"/>
    <w:rsid w:val="003B7690"/>
    <w:rsid w:val="003B7C8F"/>
    <w:rsid w:val="003B7F56"/>
    <w:rsid w:val="003C022C"/>
    <w:rsid w:val="003C08DD"/>
    <w:rsid w:val="003C0B04"/>
    <w:rsid w:val="003C0D6D"/>
    <w:rsid w:val="003C107A"/>
    <w:rsid w:val="003C180E"/>
    <w:rsid w:val="003C1D99"/>
    <w:rsid w:val="003C1FF5"/>
    <w:rsid w:val="003C2785"/>
    <w:rsid w:val="003C2917"/>
    <w:rsid w:val="003C2A0D"/>
    <w:rsid w:val="003C2A61"/>
    <w:rsid w:val="003C3072"/>
    <w:rsid w:val="003C3258"/>
    <w:rsid w:val="003C33C9"/>
    <w:rsid w:val="003C348A"/>
    <w:rsid w:val="003C3490"/>
    <w:rsid w:val="003C3577"/>
    <w:rsid w:val="003C38CA"/>
    <w:rsid w:val="003C3BA5"/>
    <w:rsid w:val="003C3FFF"/>
    <w:rsid w:val="003C43AB"/>
    <w:rsid w:val="003C4BF2"/>
    <w:rsid w:val="003C4CBF"/>
    <w:rsid w:val="003C525F"/>
    <w:rsid w:val="003C582D"/>
    <w:rsid w:val="003C5DEE"/>
    <w:rsid w:val="003C6116"/>
    <w:rsid w:val="003C652D"/>
    <w:rsid w:val="003C705D"/>
    <w:rsid w:val="003C729A"/>
    <w:rsid w:val="003C745A"/>
    <w:rsid w:val="003C753B"/>
    <w:rsid w:val="003C773C"/>
    <w:rsid w:val="003C796F"/>
    <w:rsid w:val="003C7A44"/>
    <w:rsid w:val="003C7B62"/>
    <w:rsid w:val="003D019F"/>
    <w:rsid w:val="003D04C2"/>
    <w:rsid w:val="003D06DB"/>
    <w:rsid w:val="003D0792"/>
    <w:rsid w:val="003D164E"/>
    <w:rsid w:val="003D170C"/>
    <w:rsid w:val="003D21D4"/>
    <w:rsid w:val="003D2A59"/>
    <w:rsid w:val="003D3102"/>
    <w:rsid w:val="003D3BE7"/>
    <w:rsid w:val="003D3C46"/>
    <w:rsid w:val="003D3CA7"/>
    <w:rsid w:val="003D3FC3"/>
    <w:rsid w:val="003D4015"/>
    <w:rsid w:val="003D4568"/>
    <w:rsid w:val="003D45F9"/>
    <w:rsid w:val="003D4743"/>
    <w:rsid w:val="003D483D"/>
    <w:rsid w:val="003D4ADD"/>
    <w:rsid w:val="003D4E58"/>
    <w:rsid w:val="003D4ECE"/>
    <w:rsid w:val="003D4F65"/>
    <w:rsid w:val="003D4FDA"/>
    <w:rsid w:val="003D519C"/>
    <w:rsid w:val="003D555F"/>
    <w:rsid w:val="003D55DF"/>
    <w:rsid w:val="003D57C8"/>
    <w:rsid w:val="003D58BB"/>
    <w:rsid w:val="003D59B9"/>
    <w:rsid w:val="003D5CFA"/>
    <w:rsid w:val="003D5D45"/>
    <w:rsid w:val="003D5D94"/>
    <w:rsid w:val="003D61FA"/>
    <w:rsid w:val="003D674C"/>
    <w:rsid w:val="003D694F"/>
    <w:rsid w:val="003D6CB1"/>
    <w:rsid w:val="003E013D"/>
    <w:rsid w:val="003E0358"/>
    <w:rsid w:val="003E08FC"/>
    <w:rsid w:val="003E1019"/>
    <w:rsid w:val="003E128B"/>
    <w:rsid w:val="003E12D6"/>
    <w:rsid w:val="003E1465"/>
    <w:rsid w:val="003E177E"/>
    <w:rsid w:val="003E17F8"/>
    <w:rsid w:val="003E19B3"/>
    <w:rsid w:val="003E1DFC"/>
    <w:rsid w:val="003E1FDF"/>
    <w:rsid w:val="003E2454"/>
    <w:rsid w:val="003E2D5A"/>
    <w:rsid w:val="003E2F47"/>
    <w:rsid w:val="003E314D"/>
    <w:rsid w:val="003E37FB"/>
    <w:rsid w:val="003E42FA"/>
    <w:rsid w:val="003E4681"/>
    <w:rsid w:val="003E4E8A"/>
    <w:rsid w:val="003E5028"/>
    <w:rsid w:val="003E57AC"/>
    <w:rsid w:val="003E6087"/>
    <w:rsid w:val="003E676E"/>
    <w:rsid w:val="003E688F"/>
    <w:rsid w:val="003E6F27"/>
    <w:rsid w:val="003E714E"/>
    <w:rsid w:val="003E76A7"/>
    <w:rsid w:val="003F0468"/>
    <w:rsid w:val="003F098E"/>
    <w:rsid w:val="003F09D1"/>
    <w:rsid w:val="003F1339"/>
    <w:rsid w:val="003F17BD"/>
    <w:rsid w:val="003F19C8"/>
    <w:rsid w:val="003F2166"/>
    <w:rsid w:val="003F25F5"/>
    <w:rsid w:val="003F30EA"/>
    <w:rsid w:val="003F3234"/>
    <w:rsid w:val="003F3343"/>
    <w:rsid w:val="003F4308"/>
    <w:rsid w:val="003F4528"/>
    <w:rsid w:val="003F4E5D"/>
    <w:rsid w:val="003F5111"/>
    <w:rsid w:val="003F549A"/>
    <w:rsid w:val="003F5945"/>
    <w:rsid w:val="003F5ABD"/>
    <w:rsid w:val="003F5C38"/>
    <w:rsid w:val="003F5D97"/>
    <w:rsid w:val="003F5E93"/>
    <w:rsid w:val="003F5F18"/>
    <w:rsid w:val="003F5FDC"/>
    <w:rsid w:val="003F67CA"/>
    <w:rsid w:val="003F6AC1"/>
    <w:rsid w:val="003F79B4"/>
    <w:rsid w:val="003F7B6C"/>
    <w:rsid w:val="003F7CBC"/>
    <w:rsid w:val="003F7F53"/>
    <w:rsid w:val="004000EF"/>
    <w:rsid w:val="00400400"/>
    <w:rsid w:val="004006EA"/>
    <w:rsid w:val="00400876"/>
    <w:rsid w:val="00400B5B"/>
    <w:rsid w:val="00401464"/>
    <w:rsid w:val="0040169E"/>
    <w:rsid w:val="00402F16"/>
    <w:rsid w:val="00402F6C"/>
    <w:rsid w:val="0040312C"/>
    <w:rsid w:val="00403287"/>
    <w:rsid w:val="004051FA"/>
    <w:rsid w:val="004053E3"/>
    <w:rsid w:val="004053EB"/>
    <w:rsid w:val="00405643"/>
    <w:rsid w:val="004058AA"/>
    <w:rsid w:val="004059DC"/>
    <w:rsid w:val="00406054"/>
    <w:rsid w:val="0040645C"/>
    <w:rsid w:val="00406600"/>
    <w:rsid w:val="0040692F"/>
    <w:rsid w:val="00406BBD"/>
    <w:rsid w:val="00407957"/>
    <w:rsid w:val="00410321"/>
    <w:rsid w:val="004103D6"/>
    <w:rsid w:val="004106FF"/>
    <w:rsid w:val="0041083F"/>
    <w:rsid w:val="00411589"/>
    <w:rsid w:val="004115CD"/>
    <w:rsid w:val="0041165C"/>
    <w:rsid w:val="00411C63"/>
    <w:rsid w:val="00411C97"/>
    <w:rsid w:val="00411D03"/>
    <w:rsid w:val="00412680"/>
    <w:rsid w:val="004129DC"/>
    <w:rsid w:val="00412D06"/>
    <w:rsid w:val="004133A7"/>
    <w:rsid w:val="0041428B"/>
    <w:rsid w:val="00414C1F"/>
    <w:rsid w:val="00414F71"/>
    <w:rsid w:val="0041503E"/>
    <w:rsid w:val="004151C2"/>
    <w:rsid w:val="004152D7"/>
    <w:rsid w:val="004155E9"/>
    <w:rsid w:val="00415E69"/>
    <w:rsid w:val="004163B9"/>
    <w:rsid w:val="00416B2A"/>
    <w:rsid w:val="00416E11"/>
    <w:rsid w:val="00416E80"/>
    <w:rsid w:val="00416FA8"/>
    <w:rsid w:val="00417355"/>
    <w:rsid w:val="0041757A"/>
    <w:rsid w:val="00417B9A"/>
    <w:rsid w:val="004202FB"/>
    <w:rsid w:val="004207CF"/>
    <w:rsid w:val="00420B79"/>
    <w:rsid w:val="00420BAE"/>
    <w:rsid w:val="00420BCE"/>
    <w:rsid w:val="00421078"/>
    <w:rsid w:val="00421177"/>
    <w:rsid w:val="00421221"/>
    <w:rsid w:val="0042127E"/>
    <w:rsid w:val="00421A59"/>
    <w:rsid w:val="00421C05"/>
    <w:rsid w:val="00421CDB"/>
    <w:rsid w:val="00421E1E"/>
    <w:rsid w:val="00422325"/>
    <w:rsid w:val="004223A1"/>
    <w:rsid w:val="00422587"/>
    <w:rsid w:val="00422754"/>
    <w:rsid w:val="00422B8A"/>
    <w:rsid w:val="00422EFF"/>
    <w:rsid w:val="00422F36"/>
    <w:rsid w:val="004247B4"/>
    <w:rsid w:val="004248EF"/>
    <w:rsid w:val="00424955"/>
    <w:rsid w:val="00424C8E"/>
    <w:rsid w:val="00424EEE"/>
    <w:rsid w:val="00425009"/>
    <w:rsid w:val="004257E4"/>
    <w:rsid w:val="0042638C"/>
    <w:rsid w:val="00426814"/>
    <w:rsid w:val="00426B58"/>
    <w:rsid w:val="00426D43"/>
    <w:rsid w:val="00426F2F"/>
    <w:rsid w:val="00427A4F"/>
    <w:rsid w:val="00427C57"/>
    <w:rsid w:val="00430C89"/>
    <w:rsid w:val="00430C92"/>
    <w:rsid w:val="00430F7C"/>
    <w:rsid w:val="00431752"/>
    <w:rsid w:val="00431824"/>
    <w:rsid w:val="00432B98"/>
    <w:rsid w:val="00432E1A"/>
    <w:rsid w:val="00432F98"/>
    <w:rsid w:val="00433499"/>
    <w:rsid w:val="004338DD"/>
    <w:rsid w:val="00433AC0"/>
    <w:rsid w:val="004349B1"/>
    <w:rsid w:val="00435213"/>
    <w:rsid w:val="004352EF"/>
    <w:rsid w:val="0043542A"/>
    <w:rsid w:val="004355B1"/>
    <w:rsid w:val="00435A0E"/>
    <w:rsid w:val="00436402"/>
    <w:rsid w:val="0043677F"/>
    <w:rsid w:val="00436B3B"/>
    <w:rsid w:val="00436D1C"/>
    <w:rsid w:val="004371EF"/>
    <w:rsid w:val="0043723E"/>
    <w:rsid w:val="00437C62"/>
    <w:rsid w:val="004407C8"/>
    <w:rsid w:val="0044096E"/>
    <w:rsid w:val="00440AEF"/>
    <w:rsid w:val="00440E81"/>
    <w:rsid w:val="00441367"/>
    <w:rsid w:val="0044164A"/>
    <w:rsid w:val="0044176B"/>
    <w:rsid w:val="0044195D"/>
    <w:rsid w:val="004419F1"/>
    <w:rsid w:val="00441DC2"/>
    <w:rsid w:val="00441FF6"/>
    <w:rsid w:val="0044201A"/>
    <w:rsid w:val="00442158"/>
    <w:rsid w:val="0044215F"/>
    <w:rsid w:val="004423C0"/>
    <w:rsid w:val="00442444"/>
    <w:rsid w:val="00442A9D"/>
    <w:rsid w:val="00442FAF"/>
    <w:rsid w:val="004432F1"/>
    <w:rsid w:val="0044360C"/>
    <w:rsid w:val="00443911"/>
    <w:rsid w:val="00443A8D"/>
    <w:rsid w:val="00443AA2"/>
    <w:rsid w:val="00443C21"/>
    <w:rsid w:val="00443C93"/>
    <w:rsid w:val="004443A6"/>
    <w:rsid w:val="00445156"/>
    <w:rsid w:val="0044530A"/>
    <w:rsid w:val="00445335"/>
    <w:rsid w:val="00445346"/>
    <w:rsid w:val="00445C7A"/>
    <w:rsid w:val="004461E5"/>
    <w:rsid w:val="004468AE"/>
    <w:rsid w:val="00446B8F"/>
    <w:rsid w:val="00446CBA"/>
    <w:rsid w:val="00446EA7"/>
    <w:rsid w:val="00446EF8"/>
    <w:rsid w:val="00447323"/>
    <w:rsid w:val="0044739E"/>
    <w:rsid w:val="00447499"/>
    <w:rsid w:val="00450460"/>
    <w:rsid w:val="00450583"/>
    <w:rsid w:val="00450806"/>
    <w:rsid w:val="00450F0D"/>
    <w:rsid w:val="00450F95"/>
    <w:rsid w:val="00451073"/>
    <w:rsid w:val="00451133"/>
    <w:rsid w:val="004518B7"/>
    <w:rsid w:val="00451EC7"/>
    <w:rsid w:val="00452A01"/>
    <w:rsid w:val="00452A4A"/>
    <w:rsid w:val="00452F7D"/>
    <w:rsid w:val="0045363A"/>
    <w:rsid w:val="004538FE"/>
    <w:rsid w:val="004539AD"/>
    <w:rsid w:val="00453DE6"/>
    <w:rsid w:val="00453E3A"/>
    <w:rsid w:val="004541AE"/>
    <w:rsid w:val="0045480E"/>
    <w:rsid w:val="004548A7"/>
    <w:rsid w:val="004548E8"/>
    <w:rsid w:val="00454EA4"/>
    <w:rsid w:val="0045511E"/>
    <w:rsid w:val="004554D6"/>
    <w:rsid w:val="004555C9"/>
    <w:rsid w:val="0045592F"/>
    <w:rsid w:val="00455AF5"/>
    <w:rsid w:val="00455BCE"/>
    <w:rsid w:val="00455E76"/>
    <w:rsid w:val="00455F53"/>
    <w:rsid w:val="00455FF5"/>
    <w:rsid w:val="00456E75"/>
    <w:rsid w:val="00457067"/>
    <w:rsid w:val="00457408"/>
    <w:rsid w:val="00457BE8"/>
    <w:rsid w:val="00457FF4"/>
    <w:rsid w:val="00460293"/>
    <w:rsid w:val="00460437"/>
    <w:rsid w:val="004604DB"/>
    <w:rsid w:val="004606BB"/>
    <w:rsid w:val="00460786"/>
    <w:rsid w:val="004609D6"/>
    <w:rsid w:val="00460AA7"/>
    <w:rsid w:val="00461A60"/>
    <w:rsid w:val="00461C4C"/>
    <w:rsid w:val="00461FE1"/>
    <w:rsid w:val="00462D66"/>
    <w:rsid w:val="00462E13"/>
    <w:rsid w:val="00463111"/>
    <w:rsid w:val="00463401"/>
    <w:rsid w:val="00463417"/>
    <w:rsid w:val="0046472D"/>
    <w:rsid w:val="00464784"/>
    <w:rsid w:val="00464B79"/>
    <w:rsid w:val="00464B8A"/>
    <w:rsid w:val="00464F2A"/>
    <w:rsid w:val="00465254"/>
    <w:rsid w:val="0046555C"/>
    <w:rsid w:val="00465F1E"/>
    <w:rsid w:val="00466A86"/>
    <w:rsid w:val="00466FD9"/>
    <w:rsid w:val="0046756F"/>
    <w:rsid w:val="0046776B"/>
    <w:rsid w:val="00467C99"/>
    <w:rsid w:val="00467D39"/>
    <w:rsid w:val="0047026B"/>
    <w:rsid w:val="0047070D"/>
    <w:rsid w:val="004708F2"/>
    <w:rsid w:val="0047099B"/>
    <w:rsid w:val="00470BB1"/>
    <w:rsid w:val="00470C94"/>
    <w:rsid w:val="00472403"/>
    <w:rsid w:val="00472726"/>
    <w:rsid w:val="00472B0A"/>
    <w:rsid w:val="00472C24"/>
    <w:rsid w:val="00472F6B"/>
    <w:rsid w:val="00472FE1"/>
    <w:rsid w:val="00473125"/>
    <w:rsid w:val="004731A2"/>
    <w:rsid w:val="00473239"/>
    <w:rsid w:val="0047367A"/>
    <w:rsid w:val="00473A07"/>
    <w:rsid w:val="00473D2E"/>
    <w:rsid w:val="00473F35"/>
    <w:rsid w:val="00473FD2"/>
    <w:rsid w:val="0047425F"/>
    <w:rsid w:val="00474CA8"/>
    <w:rsid w:val="00474D59"/>
    <w:rsid w:val="00474E4E"/>
    <w:rsid w:val="00474E5A"/>
    <w:rsid w:val="0047523E"/>
    <w:rsid w:val="0047554C"/>
    <w:rsid w:val="00475588"/>
    <w:rsid w:val="00475C34"/>
    <w:rsid w:val="004762FE"/>
    <w:rsid w:val="0047684F"/>
    <w:rsid w:val="00476B5D"/>
    <w:rsid w:val="004772EF"/>
    <w:rsid w:val="00477561"/>
    <w:rsid w:val="00477CC6"/>
    <w:rsid w:val="00477FA0"/>
    <w:rsid w:val="0048049E"/>
    <w:rsid w:val="004804B2"/>
    <w:rsid w:val="00480F51"/>
    <w:rsid w:val="004811A3"/>
    <w:rsid w:val="00481B8E"/>
    <w:rsid w:val="004820E0"/>
    <w:rsid w:val="00482839"/>
    <w:rsid w:val="004836A3"/>
    <w:rsid w:val="00483C4A"/>
    <w:rsid w:val="00483C4E"/>
    <w:rsid w:val="00483D85"/>
    <w:rsid w:val="00483FF6"/>
    <w:rsid w:val="00484C02"/>
    <w:rsid w:val="00484EC8"/>
    <w:rsid w:val="0048587E"/>
    <w:rsid w:val="00485B43"/>
    <w:rsid w:val="00486172"/>
    <w:rsid w:val="00486372"/>
    <w:rsid w:val="00486722"/>
    <w:rsid w:val="00486A7C"/>
    <w:rsid w:val="00486AB2"/>
    <w:rsid w:val="00487190"/>
    <w:rsid w:val="004878F8"/>
    <w:rsid w:val="00487940"/>
    <w:rsid w:val="00487989"/>
    <w:rsid w:val="0049159C"/>
    <w:rsid w:val="004920C9"/>
    <w:rsid w:val="004925E9"/>
    <w:rsid w:val="00492AC7"/>
    <w:rsid w:val="00493CA9"/>
    <w:rsid w:val="0049428B"/>
    <w:rsid w:val="004943CC"/>
    <w:rsid w:val="0049487D"/>
    <w:rsid w:val="00494B4E"/>
    <w:rsid w:val="004951F5"/>
    <w:rsid w:val="004955F4"/>
    <w:rsid w:val="00495692"/>
    <w:rsid w:val="00495875"/>
    <w:rsid w:val="004959BB"/>
    <w:rsid w:val="00495B56"/>
    <w:rsid w:val="004968CF"/>
    <w:rsid w:val="00496C51"/>
    <w:rsid w:val="00497280"/>
    <w:rsid w:val="004A0394"/>
    <w:rsid w:val="004A03C0"/>
    <w:rsid w:val="004A0901"/>
    <w:rsid w:val="004A0B87"/>
    <w:rsid w:val="004A0D37"/>
    <w:rsid w:val="004A123D"/>
    <w:rsid w:val="004A1374"/>
    <w:rsid w:val="004A2221"/>
    <w:rsid w:val="004A24A8"/>
    <w:rsid w:val="004A2586"/>
    <w:rsid w:val="004A2744"/>
    <w:rsid w:val="004A27B2"/>
    <w:rsid w:val="004A2847"/>
    <w:rsid w:val="004A2A59"/>
    <w:rsid w:val="004A346A"/>
    <w:rsid w:val="004A34FC"/>
    <w:rsid w:val="004A3690"/>
    <w:rsid w:val="004A3841"/>
    <w:rsid w:val="004A3A02"/>
    <w:rsid w:val="004A3B57"/>
    <w:rsid w:val="004A3D94"/>
    <w:rsid w:val="004A510C"/>
    <w:rsid w:val="004A5247"/>
    <w:rsid w:val="004A5539"/>
    <w:rsid w:val="004A6FD8"/>
    <w:rsid w:val="004A7583"/>
    <w:rsid w:val="004A7A0E"/>
    <w:rsid w:val="004B0556"/>
    <w:rsid w:val="004B0587"/>
    <w:rsid w:val="004B05D5"/>
    <w:rsid w:val="004B0951"/>
    <w:rsid w:val="004B0C9C"/>
    <w:rsid w:val="004B0FB5"/>
    <w:rsid w:val="004B127A"/>
    <w:rsid w:val="004B158B"/>
    <w:rsid w:val="004B1919"/>
    <w:rsid w:val="004B1B27"/>
    <w:rsid w:val="004B1D06"/>
    <w:rsid w:val="004B1D88"/>
    <w:rsid w:val="004B2001"/>
    <w:rsid w:val="004B2401"/>
    <w:rsid w:val="004B2412"/>
    <w:rsid w:val="004B2BB8"/>
    <w:rsid w:val="004B3941"/>
    <w:rsid w:val="004B3AF8"/>
    <w:rsid w:val="004B3F01"/>
    <w:rsid w:val="004B3F3A"/>
    <w:rsid w:val="004B3F76"/>
    <w:rsid w:val="004B502C"/>
    <w:rsid w:val="004B5059"/>
    <w:rsid w:val="004B52CD"/>
    <w:rsid w:val="004B59AD"/>
    <w:rsid w:val="004B5CAF"/>
    <w:rsid w:val="004B6371"/>
    <w:rsid w:val="004B63EF"/>
    <w:rsid w:val="004B673B"/>
    <w:rsid w:val="004B69A4"/>
    <w:rsid w:val="004B6E01"/>
    <w:rsid w:val="004B6EB4"/>
    <w:rsid w:val="004C066F"/>
    <w:rsid w:val="004C0802"/>
    <w:rsid w:val="004C0EA5"/>
    <w:rsid w:val="004C0FEE"/>
    <w:rsid w:val="004C1026"/>
    <w:rsid w:val="004C1DB7"/>
    <w:rsid w:val="004C1DDA"/>
    <w:rsid w:val="004C3102"/>
    <w:rsid w:val="004C34A6"/>
    <w:rsid w:val="004C370A"/>
    <w:rsid w:val="004C3BC4"/>
    <w:rsid w:val="004C3D1D"/>
    <w:rsid w:val="004C3F38"/>
    <w:rsid w:val="004C456D"/>
    <w:rsid w:val="004C4C57"/>
    <w:rsid w:val="004C51A3"/>
    <w:rsid w:val="004C572B"/>
    <w:rsid w:val="004C57E6"/>
    <w:rsid w:val="004C628A"/>
    <w:rsid w:val="004C6DCA"/>
    <w:rsid w:val="004C7082"/>
    <w:rsid w:val="004C71F1"/>
    <w:rsid w:val="004C786A"/>
    <w:rsid w:val="004C7AE5"/>
    <w:rsid w:val="004C7FF3"/>
    <w:rsid w:val="004D0152"/>
    <w:rsid w:val="004D02AE"/>
    <w:rsid w:val="004D08FB"/>
    <w:rsid w:val="004D10A4"/>
    <w:rsid w:val="004D11E1"/>
    <w:rsid w:val="004D1EFA"/>
    <w:rsid w:val="004D2027"/>
    <w:rsid w:val="004D22E7"/>
    <w:rsid w:val="004D238E"/>
    <w:rsid w:val="004D24E9"/>
    <w:rsid w:val="004D25C8"/>
    <w:rsid w:val="004D2747"/>
    <w:rsid w:val="004D2DFA"/>
    <w:rsid w:val="004D2EF6"/>
    <w:rsid w:val="004D37BF"/>
    <w:rsid w:val="004D3CEC"/>
    <w:rsid w:val="004D3DA3"/>
    <w:rsid w:val="004D3DB4"/>
    <w:rsid w:val="004D3EDA"/>
    <w:rsid w:val="004D4387"/>
    <w:rsid w:val="004D4A56"/>
    <w:rsid w:val="004D4BFA"/>
    <w:rsid w:val="004D5303"/>
    <w:rsid w:val="004D5363"/>
    <w:rsid w:val="004D569B"/>
    <w:rsid w:val="004D5717"/>
    <w:rsid w:val="004D5958"/>
    <w:rsid w:val="004D6025"/>
    <w:rsid w:val="004D604F"/>
    <w:rsid w:val="004D6075"/>
    <w:rsid w:val="004D627D"/>
    <w:rsid w:val="004D6EEA"/>
    <w:rsid w:val="004D6FA6"/>
    <w:rsid w:val="004D7175"/>
    <w:rsid w:val="004D7333"/>
    <w:rsid w:val="004D7389"/>
    <w:rsid w:val="004D740A"/>
    <w:rsid w:val="004D7820"/>
    <w:rsid w:val="004D79D7"/>
    <w:rsid w:val="004D7D25"/>
    <w:rsid w:val="004E0893"/>
    <w:rsid w:val="004E0F9D"/>
    <w:rsid w:val="004E15ED"/>
    <w:rsid w:val="004E1D23"/>
    <w:rsid w:val="004E1F3A"/>
    <w:rsid w:val="004E2588"/>
    <w:rsid w:val="004E2925"/>
    <w:rsid w:val="004E2D6F"/>
    <w:rsid w:val="004E2E9C"/>
    <w:rsid w:val="004E31FA"/>
    <w:rsid w:val="004E3658"/>
    <w:rsid w:val="004E375A"/>
    <w:rsid w:val="004E3AC4"/>
    <w:rsid w:val="004E3BAB"/>
    <w:rsid w:val="004E45EC"/>
    <w:rsid w:val="004E4A32"/>
    <w:rsid w:val="004E4ACB"/>
    <w:rsid w:val="004E4F6E"/>
    <w:rsid w:val="004E57CD"/>
    <w:rsid w:val="004E5DFA"/>
    <w:rsid w:val="004E6611"/>
    <w:rsid w:val="004E7388"/>
    <w:rsid w:val="004E7CAD"/>
    <w:rsid w:val="004E7F0D"/>
    <w:rsid w:val="004E7F74"/>
    <w:rsid w:val="004F04E6"/>
    <w:rsid w:val="004F0DD2"/>
    <w:rsid w:val="004F0EA2"/>
    <w:rsid w:val="004F11DC"/>
    <w:rsid w:val="004F2176"/>
    <w:rsid w:val="004F2543"/>
    <w:rsid w:val="004F283A"/>
    <w:rsid w:val="004F2EAA"/>
    <w:rsid w:val="004F3086"/>
    <w:rsid w:val="004F363A"/>
    <w:rsid w:val="004F4238"/>
    <w:rsid w:val="004F47D5"/>
    <w:rsid w:val="004F4A2C"/>
    <w:rsid w:val="004F52EC"/>
    <w:rsid w:val="004F5B13"/>
    <w:rsid w:val="004F5CFF"/>
    <w:rsid w:val="004F5DFD"/>
    <w:rsid w:val="004F6860"/>
    <w:rsid w:val="004F6A83"/>
    <w:rsid w:val="004F6B15"/>
    <w:rsid w:val="004F6CC3"/>
    <w:rsid w:val="004F71A1"/>
    <w:rsid w:val="004F767A"/>
    <w:rsid w:val="004F768C"/>
    <w:rsid w:val="004F76B5"/>
    <w:rsid w:val="004F78C9"/>
    <w:rsid w:val="004F7BC1"/>
    <w:rsid w:val="004F7C71"/>
    <w:rsid w:val="00500F8E"/>
    <w:rsid w:val="005010B0"/>
    <w:rsid w:val="005012C0"/>
    <w:rsid w:val="005017A9"/>
    <w:rsid w:val="00501A9F"/>
    <w:rsid w:val="00501AE1"/>
    <w:rsid w:val="00501ED5"/>
    <w:rsid w:val="00501F1E"/>
    <w:rsid w:val="005025E1"/>
    <w:rsid w:val="00502F25"/>
    <w:rsid w:val="005032D0"/>
    <w:rsid w:val="005032F9"/>
    <w:rsid w:val="005035E0"/>
    <w:rsid w:val="0050379C"/>
    <w:rsid w:val="00503832"/>
    <w:rsid w:val="00503B61"/>
    <w:rsid w:val="00504322"/>
    <w:rsid w:val="00504830"/>
    <w:rsid w:val="0050516D"/>
    <w:rsid w:val="0050572F"/>
    <w:rsid w:val="00505BAE"/>
    <w:rsid w:val="00506176"/>
    <w:rsid w:val="0050692C"/>
    <w:rsid w:val="00506C63"/>
    <w:rsid w:val="00506D0C"/>
    <w:rsid w:val="0050706C"/>
    <w:rsid w:val="0050713E"/>
    <w:rsid w:val="005071C0"/>
    <w:rsid w:val="005071EB"/>
    <w:rsid w:val="005075D1"/>
    <w:rsid w:val="00507D42"/>
    <w:rsid w:val="00507D7B"/>
    <w:rsid w:val="00510984"/>
    <w:rsid w:val="00510F75"/>
    <w:rsid w:val="00511157"/>
    <w:rsid w:val="00511187"/>
    <w:rsid w:val="00511D67"/>
    <w:rsid w:val="005124C9"/>
    <w:rsid w:val="005126E4"/>
    <w:rsid w:val="00512750"/>
    <w:rsid w:val="00513929"/>
    <w:rsid w:val="00513D83"/>
    <w:rsid w:val="005144D0"/>
    <w:rsid w:val="00514542"/>
    <w:rsid w:val="00514A97"/>
    <w:rsid w:val="00514E04"/>
    <w:rsid w:val="00514F47"/>
    <w:rsid w:val="00515152"/>
    <w:rsid w:val="00515207"/>
    <w:rsid w:val="005153A9"/>
    <w:rsid w:val="00515A66"/>
    <w:rsid w:val="00515F43"/>
    <w:rsid w:val="00516048"/>
    <w:rsid w:val="005161C7"/>
    <w:rsid w:val="00516223"/>
    <w:rsid w:val="00516C57"/>
    <w:rsid w:val="00516C5E"/>
    <w:rsid w:val="00516C80"/>
    <w:rsid w:val="0051701F"/>
    <w:rsid w:val="0051721D"/>
    <w:rsid w:val="00517D3E"/>
    <w:rsid w:val="00517ED2"/>
    <w:rsid w:val="005200C4"/>
    <w:rsid w:val="00520C6B"/>
    <w:rsid w:val="00521473"/>
    <w:rsid w:val="00521510"/>
    <w:rsid w:val="00521C96"/>
    <w:rsid w:val="00521ECE"/>
    <w:rsid w:val="005223D0"/>
    <w:rsid w:val="00522970"/>
    <w:rsid w:val="00522B76"/>
    <w:rsid w:val="00522DA3"/>
    <w:rsid w:val="00523C9C"/>
    <w:rsid w:val="00523FA8"/>
    <w:rsid w:val="00523FAB"/>
    <w:rsid w:val="005243A1"/>
    <w:rsid w:val="005247B5"/>
    <w:rsid w:val="005248BE"/>
    <w:rsid w:val="005249A1"/>
    <w:rsid w:val="00524F43"/>
    <w:rsid w:val="0052540E"/>
    <w:rsid w:val="005256C2"/>
    <w:rsid w:val="00525C88"/>
    <w:rsid w:val="0052613B"/>
    <w:rsid w:val="005262A3"/>
    <w:rsid w:val="00526585"/>
    <w:rsid w:val="0052686E"/>
    <w:rsid w:val="00526AA3"/>
    <w:rsid w:val="00526E2A"/>
    <w:rsid w:val="0052702A"/>
    <w:rsid w:val="0052713D"/>
    <w:rsid w:val="0052721C"/>
    <w:rsid w:val="0052796B"/>
    <w:rsid w:val="005279D3"/>
    <w:rsid w:val="00527A74"/>
    <w:rsid w:val="00527BB6"/>
    <w:rsid w:val="00527CBA"/>
    <w:rsid w:val="00527E5D"/>
    <w:rsid w:val="00530177"/>
    <w:rsid w:val="00530276"/>
    <w:rsid w:val="00530574"/>
    <w:rsid w:val="0053097A"/>
    <w:rsid w:val="00530E93"/>
    <w:rsid w:val="00531903"/>
    <w:rsid w:val="0053197F"/>
    <w:rsid w:val="00531C78"/>
    <w:rsid w:val="00532575"/>
    <w:rsid w:val="00532779"/>
    <w:rsid w:val="0053309C"/>
    <w:rsid w:val="0053315A"/>
    <w:rsid w:val="005332FA"/>
    <w:rsid w:val="00533562"/>
    <w:rsid w:val="005335AE"/>
    <w:rsid w:val="005336E8"/>
    <w:rsid w:val="00533731"/>
    <w:rsid w:val="00534505"/>
    <w:rsid w:val="00534D1E"/>
    <w:rsid w:val="005351F5"/>
    <w:rsid w:val="0053521A"/>
    <w:rsid w:val="00535E1D"/>
    <w:rsid w:val="00536476"/>
    <w:rsid w:val="00536A20"/>
    <w:rsid w:val="005374A9"/>
    <w:rsid w:val="00540312"/>
    <w:rsid w:val="00540352"/>
    <w:rsid w:val="00540557"/>
    <w:rsid w:val="005410A1"/>
    <w:rsid w:val="005410D0"/>
    <w:rsid w:val="005415EA"/>
    <w:rsid w:val="005419AC"/>
    <w:rsid w:val="00542BFA"/>
    <w:rsid w:val="00543344"/>
    <w:rsid w:val="00544884"/>
    <w:rsid w:val="0054490E"/>
    <w:rsid w:val="005455DC"/>
    <w:rsid w:val="005456A6"/>
    <w:rsid w:val="005457FB"/>
    <w:rsid w:val="00545BDE"/>
    <w:rsid w:val="00545FE1"/>
    <w:rsid w:val="00546075"/>
    <w:rsid w:val="005460EA"/>
    <w:rsid w:val="0054647C"/>
    <w:rsid w:val="0054666F"/>
    <w:rsid w:val="005467D8"/>
    <w:rsid w:val="005468BB"/>
    <w:rsid w:val="0054717D"/>
    <w:rsid w:val="005471AB"/>
    <w:rsid w:val="005474E3"/>
    <w:rsid w:val="0054750A"/>
    <w:rsid w:val="005504F3"/>
    <w:rsid w:val="00550A2B"/>
    <w:rsid w:val="00550C7B"/>
    <w:rsid w:val="0055101C"/>
    <w:rsid w:val="0055174E"/>
    <w:rsid w:val="00551833"/>
    <w:rsid w:val="00551969"/>
    <w:rsid w:val="00552E4F"/>
    <w:rsid w:val="005530F2"/>
    <w:rsid w:val="00554405"/>
    <w:rsid w:val="00554DF3"/>
    <w:rsid w:val="00555023"/>
    <w:rsid w:val="00555F95"/>
    <w:rsid w:val="005565AC"/>
    <w:rsid w:val="00556667"/>
    <w:rsid w:val="00556992"/>
    <w:rsid w:val="00556D63"/>
    <w:rsid w:val="00557634"/>
    <w:rsid w:val="00560685"/>
    <w:rsid w:val="0056076A"/>
    <w:rsid w:val="0056076F"/>
    <w:rsid w:val="00560A73"/>
    <w:rsid w:val="00560DF6"/>
    <w:rsid w:val="005614C9"/>
    <w:rsid w:val="00561525"/>
    <w:rsid w:val="0056152A"/>
    <w:rsid w:val="0056153A"/>
    <w:rsid w:val="00561ED0"/>
    <w:rsid w:val="00561FCB"/>
    <w:rsid w:val="00562945"/>
    <w:rsid w:val="00562F6D"/>
    <w:rsid w:val="00563B9C"/>
    <w:rsid w:val="00563BFA"/>
    <w:rsid w:val="00564084"/>
    <w:rsid w:val="005642AE"/>
    <w:rsid w:val="00565121"/>
    <w:rsid w:val="005653EE"/>
    <w:rsid w:val="00565702"/>
    <w:rsid w:val="005662C9"/>
    <w:rsid w:val="0056638C"/>
    <w:rsid w:val="00566650"/>
    <w:rsid w:val="00566A8C"/>
    <w:rsid w:val="00566A90"/>
    <w:rsid w:val="0056753A"/>
    <w:rsid w:val="005678D0"/>
    <w:rsid w:val="00567B6D"/>
    <w:rsid w:val="00567BE7"/>
    <w:rsid w:val="00567C64"/>
    <w:rsid w:val="00567C68"/>
    <w:rsid w:val="005704C6"/>
    <w:rsid w:val="00570A50"/>
    <w:rsid w:val="0057108A"/>
    <w:rsid w:val="00571338"/>
    <w:rsid w:val="0057155A"/>
    <w:rsid w:val="00571F4F"/>
    <w:rsid w:val="0057294F"/>
    <w:rsid w:val="005729B4"/>
    <w:rsid w:val="00572DD4"/>
    <w:rsid w:val="00572E28"/>
    <w:rsid w:val="00573C9B"/>
    <w:rsid w:val="0057470E"/>
    <w:rsid w:val="00574AA0"/>
    <w:rsid w:val="00574B4A"/>
    <w:rsid w:val="005750A1"/>
    <w:rsid w:val="0057561E"/>
    <w:rsid w:val="00575991"/>
    <w:rsid w:val="00575C77"/>
    <w:rsid w:val="00575E80"/>
    <w:rsid w:val="0057606D"/>
    <w:rsid w:val="00576BB8"/>
    <w:rsid w:val="00576FD4"/>
    <w:rsid w:val="0057708B"/>
    <w:rsid w:val="005772CC"/>
    <w:rsid w:val="00577353"/>
    <w:rsid w:val="00577838"/>
    <w:rsid w:val="00577BA4"/>
    <w:rsid w:val="00577CA3"/>
    <w:rsid w:val="00580042"/>
    <w:rsid w:val="00581491"/>
    <w:rsid w:val="00581856"/>
    <w:rsid w:val="00581A1F"/>
    <w:rsid w:val="00581B1F"/>
    <w:rsid w:val="00582121"/>
    <w:rsid w:val="005825A5"/>
    <w:rsid w:val="00582A54"/>
    <w:rsid w:val="00582A93"/>
    <w:rsid w:val="0058340E"/>
    <w:rsid w:val="005838A2"/>
    <w:rsid w:val="00583B17"/>
    <w:rsid w:val="00583BCE"/>
    <w:rsid w:val="00583D47"/>
    <w:rsid w:val="0058460A"/>
    <w:rsid w:val="0058495A"/>
    <w:rsid w:val="0058515E"/>
    <w:rsid w:val="00585298"/>
    <w:rsid w:val="0058544F"/>
    <w:rsid w:val="00586610"/>
    <w:rsid w:val="005866EE"/>
    <w:rsid w:val="00586A93"/>
    <w:rsid w:val="00586AC1"/>
    <w:rsid w:val="00587644"/>
    <w:rsid w:val="00587CE5"/>
    <w:rsid w:val="00587E27"/>
    <w:rsid w:val="00587FF9"/>
    <w:rsid w:val="00590340"/>
    <w:rsid w:val="00590D5F"/>
    <w:rsid w:val="0059139F"/>
    <w:rsid w:val="0059166F"/>
    <w:rsid w:val="00591715"/>
    <w:rsid w:val="0059198D"/>
    <w:rsid w:val="005919D5"/>
    <w:rsid w:val="00591AC4"/>
    <w:rsid w:val="00592689"/>
    <w:rsid w:val="005926E1"/>
    <w:rsid w:val="00592907"/>
    <w:rsid w:val="0059291D"/>
    <w:rsid w:val="00592DAF"/>
    <w:rsid w:val="00592DB5"/>
    <w:rsid w:val="0059386D"/>
    <w:rsid w:val="00593F8B"/>
    <w:rsid w:val="00594061"/>
    <w:rsid w:val="005946C9"/>
    <w:rsid w:val="00594A56"/>
    <w:rsid w:val="00594E6A"/>
    <w:rsid w:val="00595319"/>
    <w:rsid w:val="0059543A"/>
    <w:rsid w:val="0059574B"/>
    <w:rsid w:val="00595A2E"/>
    <w:rsid w:val="00595B58"/>
    <w:rsid w:val="00595CE2"/>
    <w:rsid w:val="00596616"/>
    <w:rsid w:val="005969B9"/>
    <w:rsid w:val="00596A97"/>
    <w:rsid w:val="00596D7E"/>
    <w:rsid w:val="00597D88"/>
    <w:rsid w:val="005A039C"/>
    <w:rsid w:val="005A0A85"/>
    <w:rsid w:val="005A108E"/>
    <w:rsid w:val="005A13E9"/>
    <w:rsid w:val="005A158F"/>
    <w:rsid w:val="005A1B24"/>
    <w:rsid w:val="005A1FF7"/>
    <w:rsid w:val="005A2444"/>
    <w:rsid w:val="005A2A31"/>
    <w:rsid w:val="005A2B9C"/>
    <w:rsid w:val="005A302F"/>
    <w:rsid w:val="005A342A"/>
    <w:rsid w:val="005A3600"/>
    <w:rsid w:val="005A3769"/>
    <w:rsid w:val="005A3F40"/>
    <w:rsid w:val="005A3FA2"/>
    <w:rsid w:val="005A4095"/>
    <w:rsid w:val="005A4431"/>
    <w:rsid w:val="005A445C"/>
    <w:rsid w:val="005A44F6"/>
    <w:rsid w:val="005A4EDB"/>
    <w:rsid w:val="005A5071"/>
    <w:rsid w:val="005A5639"/>
    <w:rsid w:val="005A5D20"/>
    <w:rsid w:val="005A64B6"/>
    <w:rsid w:val="005A65CE"/>
    <w:rsid w:val="005A6987"/>
    <w:rsid w:val="005A6A49"/>
    <w:rsid w:val="005A763F"/>
    <w:rsid w:val="005A787D"/>
    <w:rsid w:val="005A7FD4"/>
    <w:rsid w:val="005B085C"/>
    <w:rsid w:val="005B0B66"/>
    <w:rsid w:val="005B1DE6"/>
    <w:rsid w:val="005B2985"/>
    <w:rsid w:val="005B2C67"/>
    <w:rsid w:val="005B2CBD"/>
    <w:rsid w:val="005B30D0"/>
    <w:rsid w:val="005B3766"/>
    <w:rsid w:val="005B37EE"/>
    <w:rsid w:val="005B381C"/>
    <w:rsid w:val="005B398D"/>
    <w:rsid w:val="005B4169"/>
    <w:rsid w:val="005B5A6C"/>
    <w:rsid w:val="005B5D4C"/>
    <w:rsid w:val="005B6142"/>
    <w:rsid w:val="005B642B"/>
    <w:rsid w:val="005B6633"/>
    <w:rsid w:val="005B6670"/>
    <w:rsid w:val="005B68EA"/>
    <w:rsid w:val="005B6C5F"/>
    <w:rsid w:val="005B6FE2"/>
    <w:rsid w:val="005B7909"/>
    <w:rsid w:val="005B79AD"/>
    <w:rsid w:val="005B7A2C"/>
    <w:rsid w:val="005B7B19"/>
    <w:rsid w:val="005C06E3"/>
    <w:rsid w:val="005C0D17"/>
    <w:rsid w:val="005C1E7A"/>
    <w:rsid w:val="005C214A"/>
    <w:rsid w:val="005C22CB"/>
    <w:rsid w:val="005C250E"/>
    <w:rsid w:val="005C2ABA"/>
    <w:rsid w:val="005C2F09"/>
    <w:rsid w:val="005C38A3"/>
    <w:rsid w:val="005C411A"/>
    <w:rsid w:val="005C53B6"/>
    <w:rsid w:val="005C5551"/>
    <w:rsid w:val="005C5BA8"/>
    <w:rsid w:val="005C603B"/>
    <w:rsid w:val="005C60CA"/>
    <w:rsid w:val="005C621E"/>
    <w:rsid w:val="005C661B"/>
    <w:rsid w:val="005C66A5"/>
    <w:rsid w:val="005C68AA"/>
    <w:rsid w:val="005C6A62"/>
    <w:rsid w:val="005C703F"/>
    <w:rsid w:val="005C744A"/>
    <w:rsid w:val="005C7EA3"/>
    <w:rsid w:val="005D000C"/>
    <w:rsid w:val="005D0A76"/>
    <w:rsid w:val="005D0ECD"/>
    <w:rsid w:val="005D1921"/>
    <w:rsid w:val="005D196D"/>
    <w:rsid w:val="005D19D4"/>
    <w:rsid w:val="005D19E1"/>
    <w:rsid w:val="005D1C44"/>
    <w:rsid w:val="005D1F18"/>
    <w:rsid w:val="005D22D8"/>
    <w:rsid w:val="005D2515"/>
    <w:rsid w:val="005D27D2"/>
    <w:rsid w:val="005D28C2"/>
    <w:rsid w:val="005D347D"/>
    <w:rsid w:val="005D353C"/>
    <w:rsid w:val="005D371A"/>
    <w:rsid w:val="005D39A4"/>
    <w:rsid w:val="005D44DE"/>
    <w:rsid w:val="005D4885"/>
    <w:rsid w:val="005D4AC4"/>
    <w:rsid w:val="005D4B30"/>
    <w:rsid w:val="005D4BB6"/>
    <w:rsid w:val="005D4CB0"/>
    <w:rsid w:val="005D4FFD"/>
    <w:rsid w:val="005D50C6"/>
    <w:rsid w:val="005D54FA"/>
    <w:rsid w:val="005D55D1"/>
    <w:rsid w:val="005D5947"/>
    <w:rsid w:val="005D5E89"/>
    <w:rsid w:val="005D5EB6"/>
    <w:rsid w:val="005D6FFE"/>
    <w:rsid w:val="005D7A89"/>
    <w:rsid w:val="005E01C6"/>
    <w:rsid w:val="005E0239"/>
    <w:rsid w:val="005E0B75"/>
    <w:rsid w:val="005E0D6F"/>
    <w:rsid w:val="005E0E26"/>
    <w:rsid w:val="005E101D"/>
    <w:rsid w:val="005E110A"/>
    <w:rsid w:val="005E1552"/>
    <w:rsid w:val="005E1597"/>
    <w:rsid w:val="005E1686"/>
    <w:rsid w:val="005E18A5"/>
    <w:rsid w:val="005E1979"/>
    <w:rsid w:val="005E1BC2"/>
    <w:rsid w:val="005E1DCB"/>
    <w:rsid w:val="005E1E33"/>
    <w:rsid w:val="005E2102"/>
    <w:rsid w:val="005E2114"/>
    <w:rsid w:val="005E2C28"/>
    <w:rsid w:val="005E2DBF"/>
    <w:rsid w:val="005E30E4"/>
    <w:rsid w:val="005E313A"/>
    <w:rsid w:val="005E3996"/>
    <w:rsid w:val="005E3B88"/>
    <w:rsid w:val="005E3E6D"/>
    <w:rsid w:val="005E470C"/>
    <w:rsid w:val="005E4BE8"/>
    <w:rsid w:val="005E5276"/>
    <w:rsid w:val="005E52A3"/>
    <w:rsid w:val="005E52E2"/>
    <w:rsid w:val="005E5C17"/>
    <w:rsid w:val="005E5DA8"/>
    <w:rsid w:val="005E60F5"/>
    <w:rsid w:val="005E61F8"/>
    <w:rsid w:val="005E6205"/>
    <w:rsid w:val="005E625B"/>
    <w:rsid w:val="005E66FF"/>
    <w:rsid w:val="005E6F21"/>
    <w:rsid w:val="005E71E8"/>
    <w:rsid w:val="005E73CB"/>
    <w:rsid w:val="005E7788"/>
    <w:rsid w:val="005E7CF3"/>
    <w:rsid w:val="005F037C"/>
    <w:rsid w:val="005F043A"/>
    <w:rsid w:val="005F0954"/>
    <w:rsid w:val="005F0D65"/>
    <w:rsid w:val="005F1360"/>
    <w:rsid w:val="005F15F9"/>
    <w:rsid w:val="005F2104"/>
    <w:rsid w:val="005F2531"/>
    <w:rsid w:val="005F38E2"/>
    <w:rsid w:val="005F38F7"/>
    <w:rsid w:val="005F3B7C"/>
    <w:rsid w:val="005F3C76"/>
    <w:rsid w:val="005F3E40"/>
    <w:rsid w:val="005F4105"/>
    <w:rsid w:val="005F451B"/>
    <w:rsid w:val="005F4D27"/>
    <w:rsid w:val="005F4F80"/>
    <w:rsid w:val="005F4F95"/>
    <w:rsid w:val="005F52FC"/>
    <w:rsid w:val="005F54B6"/>
    <w:rsid w:val="005F55A1"/>
    <w:rsid w:val="005F57ED"/>
    <w:rsid w:val="005F5EE7"/>
    <w:rsid w:val="005F61F9"/>
    <w:rsid w:val="005F68C6"/>
    <w:rsid w:val="005F6F63"/>
    <w:rsid w:val="005F733C"/>
    <w:rsid w:val="005F74ED"/>
    <w:rsid w:val="005F7A5A"/>
    <w:rsid w:val="006005B4"/>
    <w:rsid w:val="00600DE6"/>
    <w:rsid w:val="00601024"/>
    <w:rsid w:val="006012D6"/>
    <w:rsid w:val="006015A5"/>
    <w:rsid w:val="0060187B"/>
    <w:rsid w:val="00601C3F"/>
    <w:rsid w:val="00601EC6"/>
    <w:rsid w:val="006021F6"/>
    <w:rsid w:val="00602438"/>
    <w:rsid w:val="0060246D"/>
    <w:rsid w:val="00602538"/>
    <w:rsid w:val="00602704"/>
    <w:rsid w:val="00602C80"/>
    <w:rsid w:val="00603686"/>
    <w:rsid w:val="006038FD"/>
    <w:rsid w:val="00603993"/>
    <w:rsid w:val="00603D2D"/>
    <w:rsid w:val="00603DAF"/>
    <w:rsid w:val="00603E28"/>
    <w:rsid w:val="00603EA5"/>
    <w:rsid w:val="00604720"/>
    <w:rsid w:val="00604976"/>
    <w:rsid w:val="006049E3"/>
    <w:rsid w:val="00604AF1"/>
    <w:rsid w:val="00604C7A"/>
    <w:rsid w:val="00604D85"/>
    <w:rsid w:val="00605BB0"/>
    <w:rsid w:val="00606745"/>
    <w:rsid w:val="00606BAB"/>
    <w:rsid w:val="00606F11"/>
    <w:rsid w:val="00607170"/>
    <w:rsid w:val="00607220"/>
    <w:rsid w:val="006073B1"/>
    <w:rsid w:val="00607A11"/>
    <w:rsid w:val="00607AA3"/>
    <w:rsid w:val="00607DF8"/>
    <w:rsid w:val="00610A6C"/>
    <w:rsid w:val="00610B3D"/>
    <w:rsid w:val="00611548"/>
    <w:rsid w:val="00611C8C"/>
    <w:rsid w:val="00611DDF"/>
    <w:rsid w:val="00612772"/>
    <w:rsid w:val="006128DA"/>
    <w:rsid w:val="006134F1"/>
    <w:rsid w:val="00613517"/>
    <w:rsid w:val="00613518"/>
    <w:rsid w:val="00613527"/>
    <w:rsid w:val="006138BB"/>
    <w:rsid w:val="00613E92"/>
    <w:rsid w:val="00613F24"/>
    <w:rsid w:val="00614856"/>
    <w:rsid w:val="00616188"/>
    <w:rsid w:val="006161B3"/>
    <w:rsid w:val="00616A12"/>
    <w:rsid w:val="00616C69"/>
    <w:rsid w:val="00616F7C"/>
    <w:rsid w:val="00616FBB"/>
    <w:rsid w:val="006172F6"/>
    <w:rsid w:val="00617353"/>
    <w:rsid w:val="00617775"/>
    <w:rsid w:val="0062004F"/>
    <w:rsid w:val="006206B3"/>
    <w:rsid w:val="00620949"/>
    <w:rsid w:val="00620D91"/>
    <w:rsid w:val="00620E9A"/>
    <w:rsid w:val="00621303"/>
    <w:rsid w:val="0062160E"/>
    <w:rsid w:val="00621BD8"/>
    <w:rsid w:val="006220A2"/>
    <w:rsid w:val="00622257"/>
    <w:rsid w:val="0062241C"/>
    <w:rsid w:val="00622A3F"/>
    <w:rsid w:val="00622D6B"/>
    <w:rsid w:val="00622E2B"/>
    <w:rsid w:val="00622F54"/>
    <w:rsid w:val="006230AA"/>
    <w:rsid w:val="00623459"/>
    <w:rsid w:val="006234F0"/>
    <w:rsid w:val="006236E6"/>
    <w:rsid w:val="00623F95"/>
    <w:rsid w:val="006243EA"/>
    <w:rsid w:val="00624803"/>
    <w:rsid w:val="00624AD4"/>
    <w:rsid w:val="006250CF"/>
    <w:rsid w:val="0062558B"/>
    <w:rsid w:val="00625E49"/>
    <w:rsid w:val="00626561"/>
    <w:rsid w:val="00626D7B"/>
    <w:rsid w:val="00626E65"/>
    <w:rsid w:val="00626F6C"/>
    <w:rsid w:val="006271E2"/>
    <w:rsid w:val="006274E3"/>
    <w:rsid w:val="00627D27"/>
    <w:rsid w:val="00627D5C"/>
    <w:rsid w:val="006300CC"/>
    <w:rsid w:val="0063020A"/>
    <w:rsid w:val="0063088E"/>
    <w:rsid w:val="006309FB"/>
    <w:rsid w:val="00630CC8"/>
    <w:rsid w:val="00630D36"/>
    <w:rsid w:val="00630DAF"/>
    <w:rsid w:val="00630E80"/>
    <w:rsid w:val="0063152C"/>
    <w:rsid w:val="006322D4"/>
    <w:rsid w:val="006326CD"/>
    <w:rsid w:val="00633915"/>
    <w:rsid w:val="00633A27"/>
    <w:rsid w:val="00633CA5"/>
    <w:rsid w:val="006342E6"/>
    <w:rsid w:val="006347A5"/>
    <w:rsid w:val="00634B9B"/>
    <w:rsid w:val="00634E0B"/>
    <w:rsid w:val="00634EBF"/>
    <w:rsid w:val="00634FD0"/>
    <w:rsid w:val="00635CBE"/>
    <w:rsid w:val="00635E19"/>
    <w:rsid w:val="006361E2"/>
    <w:rsid w:val="0063668F"/>
    <w:rsid w:val="00636CDA"/>
    <w:rsid w:val="00636EC4"/>
    <w:rsid w:val="006376D5"/>
    <w:rsid w:val="00637739"/>
    <w:rsid w:val="00637CA2"/>
    <w:rsid w:val="00637E35"/>
    <w:rsid w:val="00637F85"/>
    <w:rsid w:val="00640112"/>
    <w:rsid w:val="00640621"/>
    <w:rsid w:val="006410F5"/>
    <w:rsid w:val="006412BD"/>
    <w:rsid w:val="006414C0"/>
    <w:rsid w:val="006417A6"/>
    <w:rsid w:val="00641AA2"/>
    <w:rsid w:val="00641EDC"/>
    <w:rsid w:val="0064249C"/>
    <w:rsid w:val="00642564"/>
    <w:rsid w:val="0064263E"/>
    <w:rsid w:val="00642804"/>
    <w:rsid w:val="00642C88"/>
    <w:rsid w:val="00642E4A"/>
    <w:rsid w:val="00642FFC"/>
    <w:rsid w:val="006434FD"/>
    <w:rsid w:val="006436E0"/>
    <w:rsid w:val="00643BF8"/>
    <w:rsid w:val="00643C61"/>
    <w:rsid w:val="0064427F"/>
    <w:rsid w:val="00644413"/>
    <w:rsid w:val="006445A3"/>
    <w:rsid w:val="0064470A"/>
    <w:rsid w:val="0064479B"/>
    <w:rsid w:val="0064479E"/>
    <w:rsid w:val="00644BDF"/>
    <w:rsid w:val="00644F81"/>
    <w:rsid w:val="00644FB5"/>
    <w:rsid w:val="00644FC0"/>
    <w:rsid w:val="00645601"/>
    <w:rsid w:val="006457A4"/>
    <w:rsid w:val="00645B8C"/>
    <w:rsid w:val="00646491"/>
    <w:rsid w:val="0064714D"/>
    <w:rsid w:val="0064735F"/>
    <w:rsid w:val="006474FD"/>
    <w:rsid w:val="00647538"/>
    <w:rsid w:val="00647EB9"/>
    <w:rsid w:val="00647F62"/>
    <w:rsid w:val="0065024C"/>
    <w:rsid w:val="006502C7"/>
    <w:rsid w:val="006508D1"/>
    <w:rsid w:val="00650939"/>
    <w:rsid w:val="00650B64"/>
    <w:rsid w:val="00650F4E"/>
    <w:rsid w:val="006511C0"/>
    <w:rsid w:val="00651903"/>
    <w:rsid w:val="00651DBD"/>
    <w:rsid w:val="006522EC"/>
    <w:rsid w:val="0065236C"/>
    <w:rsid w:val="00652C0C"/>
    <w:rsid w:val="00652E26"/>
    <w:rsid w:val="00653525"/>
    <w:rsid w:val="00653FA4"/>
    <w:rsid w:val="0065403D"/>
    <w:rsid w:val="00654498"/>
    <w:rsid w:val="00654EEF"/>
    <w:rsid w:val="0065506C"/>
    <w:rsid w:val="006557A4"/>
    <w:rsid w:val="00655826"/>
    <w:rsid w:val="006559B8"/>
    <w:rsid w:val="006559CA"/>
    <w:rsid w:val="006559D5"/>
    <w:rsid w:val="0065612F"/>
    <w:rsid w:val="00656450"/>
    <w:rsid w:val="0065669A"/>
    <w:rsid w:val="006566EB"/>
    <w:rsid w:val="006566ED"/>
    <w:rsid w:val="00656AC5"/>
    <w:rsid w:val="00656E66"/>
    <w:rsid w:val="0065762E"/>
    <w:rsid w:val="00657941"/>
    <w:rsid w:val="00657F14"/>
    <w:rsid w:val="0066067F"/>
    <w:rsid w:val="00660C41"/>
    <w:rsid w:val="00661470"/>
    <w:rsid w:val="00661481"/>
    <w:rsid w:val="00661E79"/>
    <w:rsid w:val="006627E2"/>
    <w:rsid w:val="00663102"/>
    <w:rsid w:val="00663781"/>
    <w:rsid w:val="00663CB5"/>
    <w:rsid w:val="00663E7C"/>
    <w:rsid w:val="00663F6C"/>
    <w:rsid w:val="0066446E"/>
    <w:rsid w:val="00664DA0"/>
    <w:rsid w:val="00664EBE"/>
    <w:rsid w:val="00665182"/>
    <w:rsid w:val="006652E8"/>
    <w:rsid w:val="0066567C"/>
    <w:rsid w:val="006659DB"/>
    <w:rsid w:val="00665B3F"/>
    <w:rsid w:val="00665F69"/>
    <w:rsid w:val="0066617B"/>
    <w:rsid w:val="006664EC"/>
    <w:rsid w:val="0066699B"/>
    <w:rsid w:val="00666BC6"/>
    <w:rsid w:val="006671E9"/>
    <w:rsid w:val="006679CF"/>
    <w:rsid w:val="00667BA7"/>
    <w:rsid w:val="0067017B"/>
    <w:rsid w:val="00670378"/>
    <w:rsid w:val="006704BD"/>
    <w:rsid w:val="00670656"/>
    <w:rsid w:val="00670837"/>
    <w:rsid w:val="00670AA2"/>
    <w:rsid w:val="00671092"/>
    <w:rsid w:val="006718E8"/>
    <w:rsid w:val="006718F5"/>
    <w:rsid w:val="00671B50"/>
    <w:rsid w:val="00671EF8"/>
    <w:rsid w:val="0067294D"/>
    <w:rsid w:val="00672959"/>
    <w:rsid w:val="00672978"/>
    <w:rsid w:val="00673507"/>
    <w:rsid w:val="00673681"/>
    <w:rsid w:val="00673810"/>
    <w:rsid w:val="00673CCE"/>
    <w:rsid w:val="0067470B"/>
    <w:rsid w:val="00674A16"/>
    <w:rsid w:val="00674E4D"/>
    <w:rsid w:val="0067538D"/>
    <w:rsid w:val="006758DA"/>
    <w:rsid w:val="00675A74"/>
    <w:rsid w:val="00675B1F"/>
    <w:rsid w:val="006761CD"/>
    <w:rsid w:val="006762C2"/>
    <w:rsid w:val="0067650A"/>
    <w:rsid w:val="006766F2"/>
    <w:rsid w:val="006767B1"/>
    <w:rsid w:val="00676C48"/>
    <w:rsid w:val="00676E1C"/>
    <w:rsid w:val="0067712B"/>
    <w:rsid w:val="0067722C"/>
    <w:rsid w:val="006772CF"/>
    <w:rsid w:val="0067762C"/>
    <w:rsid w:val="006777DB"/>
    <w:rsid w:val="0067780F"/>
    <w:rsid w:val="00677932"/>
    <w:rsid w:val="00677D0B"/>
    <w:rsid w:val="00677E7C"/>
    <w:rsid w:val="00680119"/>
    <w:rsid w:val="006803C3"/>
    <w:rsid w:val="006804CE"/>
    <w:rsid w:val="00680D14"/>
    <w:rsid w:val="00680E19"/>
    <w:rsid w:val="006811B5"/>
    <w:rsid w:val="00681853"/>
    <w:rsid w:val="00681EF0"/>
    <w:rsid w:val="00682373"/>
    <w:rsid w:val="0068274C"/>
    <w:rsid w:val="0068284F"/>
    <w:rsid w:val="00682B5F"/>
    <w:rsid w:val="0068370C"/>
    <w:rsid w:val="00683835"/>
    <w:rsid w:val="0068407B"/>
    <w:rsid w:val="006840E0"/>
    <w:rsid w:val="006840F0"/>
    <w:rsid w:val="00684114"/>
    <w:rsid w:val="0068427B"/>
    <w:rsid w:val="0068436C"/>
    <w:rsid w:val="0068466A"/>
    <w:rsid w:val="00684717"/>
    <w:rsid w:val="006860C0"/>
    <w:rsid w:val="00686438"/>
    <w:rsid w:val="00686C30"/>
    <w:rsid w:val="00686FB7"/>
    <w:rsid w:val="0068762B"/>
    <w:rsid w:val="00687E84"/>
    <w:rsid w:val="006900FB"/>
    <w:rsid w:val="00690654"/>
    <w:rsid w:val="006908E4"/>
    <w:rsid w:val="00690F41"/>
    <w:rsid w:val="00691530"/>
    <w:rsid w:val="0069179A"/>
    <w:rsid w:val="0069195D"/>
    <w:rsid w:val="00691963"/>
    <w:rsid w:val="0069217B"/>
    <w:rsid w:val="006923BD"/>
    <w:rsid w:val="006927E6"/>
    <w:rsid w:val="006928BB"/>
    <w:rsid w:val="006929C1"/>
    <w:rsid w:val="006933C4"/>
    <w:rsid w:val="006935DE"/>
    <w:rsid w:val="00693830"/>
    <w:rsid w:val="006940CE"/>
    <w:rsid w:val="006943A5"/>
    <w:rsid w:val="00694BB5"/>
    <w:rsid w:val="006950B2"/>
    <w:rsid w:val="00695261"/>
    <w:rsid w:val="0069582E"/>
    <w:rsid w:val="00695D40"/>
    <w:rsid w:val="0069633F"/>
    <w:rsid w:val="006972BB"/>
    <w:rsid w:val="006974FA"/>
    <w:rsid w:val="00697B6F"/>
    <w:rsid w:val="00697EE3"/>
    <w:rsid w:val="006A0C76"/>
    <w:rsid w:val="006A0FC0"/>
    <w:rsid w:val="006A1668"/>
    <w:rsid w:val="006A1870"/>
    <w:rsid w:val="006A1AD5"/>
    <w:rsid w:val="006A1B06"/>
    <w:rsid w:val="006A1B7D"/>
    <w:rsid w:val="006A1C0C"/>
    <w:rsid w:val="006A1FDA"/>
    <w:rsid w:val="006A202B"/>
    <w:rsid w:val="006A2309"/>
    <w:rsid w:val="006A2691"/>
    <w:rsid w:val="006A2C15"/>
    <w:rsid w:val="006A370D"/>
    <w:rsid w:val="006A3834"/>
    <w:rsid w:val="006A3AF3"/>
    <w:rsid w:val="006A4515"/>
    <w:rsid w:val="006A4D1B"/>
    <w:rsid w:val="006A5031"/>
    <w:rsid w:val="006A5650"/>
    <w:rsid w:val="006A56F2"/>
    <w:rsid w:val="006A5771"/>
    <w:rsid w:val="006A5D9C"/>
    <w:rsid w:val="006A6218"/>
    <w:rsid w:val="006A6532"/>
    <w:rsid w:val="006A6AA4"/>
    <w:rsid w:val="006A6B3C"/>
    <w:rsid w:val="006A73B0"/>
    <w:rsid w:val="006A7461"/>
    <w:rsid w:val="006A7568"/>
    <w:rsid w:val="006B03E0"/>
    <w:rsid w:val="006B04C8"/>
    <w:rsid w:val="006B0B91"/>
    <w:rsid w:val="006B0C27"/>
    <w:rsid w:val="006B10FC"/>
    <w:rsid w:val="006B1653"/>
    <w:rsid w:val="006B369F"/>
    <w:rsid w:val="006B3925"/>
    <w:rsid w:val="006B3C1F"/>
    <w:rsid w:val="006B3C9B"/>
    <w:rsid w:val="006B3FD5"/>
    <w:rsid w:val="006B416D"/>
    <w:rsid w:val="006B451E"/>
    <w:rsid w:val="006B4863"/>
    <w:rsid w:val="006B4A6C"/>
    <w:rsid w:val="006B4C0A"/>
    <w:rsid w:val="006B4C29"/>
    <w:rsid w:val="006B4CB2"/>
    <w:rsid w:val="006B596D"/>
    <w:rsid w:val="006B5B4D"/>
    <w:rsid w:val="006B68ED"/>
    <w:rsid w:val="006B6A40"/>
    <w:rsid w:val="006B70E7"/>
    <w:rsid w:val="006B7E3A"/>
    <w:rsid w:val="006B7E9C"/>
    <w:rsid w:val="006C0523"/>
    <w:rsid w:val="006C0B10"/>
    <w:rsid w:val="006C0D70"/>
    <w:rsid w:val="006C11C3"/>
    <w:rsid w:val="006C159D"/>
    <w:rsid w:val="006C161B"/>
    <w:rsid w:val="006C17F0"/>
    <w:rsid w:val="006C1AA5"/>
    <w:rsid w:val="006C1CCB"/>
    <w:rsid w:val="006C1F2C"/>
    <w:rsid w:val="006C2236"/>
    <w:rsid w:val="006C263B"/>
    <w:rsid w:val="006C2BAC"/>
    <w:rsid w:val="006C39F1"/>
    <w:rsid w:val="006C44E8"/>
    <w:rsid w:val="006C45FA"/>
    <w:rsid w:val="006C5349"/>
    <w:rsid w:val="006C5972"/>
    <w:rsid w:val="006C59F5"/>
    <w:rsid w:val="006C6281"/>
    <w:rsid w:val="006C62A4"/>
    <w:rsid w:val="006C62BA"/>
    <w:rsid w:val="006C6726"/>
    <w:rsid w:val="006C6A95"/>
    <w:rsid w:val="006C6C99"/>
    <w:rsid w:val="006C7634"/>
    <w:rsid w:val="006C7816"/>
    <w:rsid w:val="006C7AA4"/>
    <w:rsid w:val="006C7FA3"/>
    <w:rsid w:val="006D0795"/>
    <w:rsid w:val="006D0902"/>
    <w:rsid w:val="006D0E28"/>
    <w:rsid w:val="006D110A"/>
    <w:rsid w:val="006D135F"/>
    <w:rsid w:val="006D146D"/>
    <w:rsid w:val="006D1D26"/>
    <w:rsid w:val="006D25A1"/>
    <w:rsid w:val="006D2668"/>
    <w:rsid w:val="006D2A22"/>
    <w:rsid w:val="006D2ABC"/>
    <w:rsid w:val="006D2EE9"/>
    <w:rsid w:val="006D3E99"/>
    <w:rsid w:val="006D3EB8"/>
    <w:rsid w:val="006D4468"/>
    <w:rsid w:val="006D4A15"/>
    <w:rsid w:val="006D4EF6"/>
    <w:rsid w:val="006D5217"/>
    <w:rsid w:val="006D570F"/>
    <w:rsid w:val="006D5729"/>
    <w:rsid w:val="006D591E"/>
    <w:rsid w:val="006D5C6C"/>
    <w:rsid w:val="006D639B"/>
    <w:rsid w:val="006D64A5"/>
    <w:rsid w:val="006D6557"/>
    <w:rsid w:val="006D694D"/>
    <w:rsid w:val="006D6B46"/>
    <w:rsid w:val="006D6C76"/>
    <w:rsid w:val="006D6FF2"/>
    <w:rsid w:val="006D6FFA"/>
    <w:rsid w:val="006D730B"/>
    <w:rsid w:val="006D7BC5"/>
    <w:rsid w:val="006E0487"/>
    <w:rsid w:val="006E0812"/>
    <w:rsid w:val="006E0892"/>
    <w:rsid w:val="006E0B34"/>
    <w:rsid w:val="006E0BB4"/>
    <w:rsid w:val="006E23AF"/>
    <w:rsid w:val="006E296E"/>
    <w:rsid w:val="006E2B2C"/>
    <w:rsid w:val="006E31BE"/>
    <w:rsid w:val="006E338F"/>
    <w:rsid w:val="006E3400"/>
    <w:rsid w:val="006E350F"/>
    <w:rsid w:val="006E37A9"/>
    <w:rsid w:val="006E3A15"/>
    <w:rsid w:val="006E3B98"/>
    <w:rsid w:val="006E3C8E"/>
    <w:rsid w:val="006E3DD8"/>
    <w:rsid w:val="006E3E73"/>
    <w:rsid w:val="006E3F3F"/>
    <w:rsid w:val="006E404B"/>
    <w:rsid w:val="006E4406"/>
    <w:rsid w:val="006E50F9"/>
    <w:rsid w:val="006E587D"/>
    <w:rsid w:val="006E6502"/>
    <w:rsid w:val="006E6554"/>
    <w:rsid w:val="006E6653"/>
    <w:rsid w:val="006E6915"/>
    <w:rsid w:val="006E6A0C"/>
    <w:rsid w:val="006E6CCF"/>
    <w:rsid w:val="006E6DC2"/>
    <w:rsid w:val="006E6E4C"/>
    <w:rsid w:val="006E6F2D"/>
    <w:rsid w:val="006E7A4F"/>
    <w:rsid w:val="006E7E2A"/>
    <w:rsid w:val="006F0008"/>
    <w:rsid w:val="006F0170"/>
    <w:rsid w:val="006F05DA"/>
    <w:rsid w:val="006F07A2"/>
    <w:rsid w:val="006F1B63"/>
    <w:rsid w:val="006F218F"/>
    <w:rsid w:val="006F2566"/>
    <w:rsid w:val="006F2B93"/>
    <w:rsid w:val="006F2D46"/>
    <w:rsid w:val="006F2F7D"/>
    <w:rsid w:val="006F3677"/>
    <w:rsid w:val="006F402F"/>
    <w:rsid w:val="006F45C0"/>
    <w:rsid w:val="006F46EB"/>
    <w:rsid w:val="006F4B7F"/>
    <w:rsid w:val="006F4D3C"/>
    <w:rsid w:val="006F601E"/>
    <w:rsid w:val="006F6B76"/>
    <w:rsid w:val="006F6F33"/>
    <w:rsid w:val="006F709E"/>
    <w:rsid w:val="006F727C"/>
    <w:rsid w:val="006F758A"/>
    <w:rsid w:val="007000CB"/>
    <w:rsid w:val="00700595"/>
    <w:rsid w:val="00700733"/>
    <w:rsid w:val="00700811"/>
    <w:rsid w:val="00700B94"/>
    <w:rsid w:val="00700F40"/>
    <w:rsid w:val="0070164B"/>
    <w:rsid w:val="00701A93"/>
    <w:rsid w:val="00701D1B"/>
    <w:rsid w:val="00701E89"/>
    <w:rsid w:val="0070201A"/>
    <w:rsid w:val="00702078"/>
    <w:rsid w:val="007021F2"/>
    <w:rsid w:val="00702293"/>
    <w:rsid w:val="007025DF"/>
    <w:rsid w:val="00702601"/>
    <w:rsid w:val="007030A9"/>
    <w:rsid w:val="00703B31"/>
    <w:rsid w:val="00704298"/>
    <w:rsid w:val="00704899"/>
    <w:rsid w:val="00704A1D"/>
    <w:rsid w:val="00704DFC"/>
    <w:rsid w:val="007054C7"/>
    <w:rsid w:val="00705663"/>
    <w:rsid w:val="007056B4"/>
    <w:rsid w:val="00705992"/>
    <w:rsid w:val="00705BA6"/>
    <w:rsid w:val="00705D62"/>
    <w:rsid w:val="00705E9D"/>
    <w:rsid w:val="00705F81"/>
    <w:rsid w:val="0070650E"/>
    <w:rsid w:val="00706CE3"/>
    <w:rsid w:val="00706D05"/>
    <w:rsid w:val="00706E8A"/>
    <w:rsid w:val="00706F5C"/>
    <w:rsid w:val="00707186"/>
    <w:rsid w:val="0070729D"/>
    <w:rsid w:val="007073C7"/>
    <w:rsid w:val="0070786C"/>
    <w:rsid w:val="00707A37"/>
    <w:rsid w:val="00710282"/>
    <w:rsid w:val="00710701"/>
    <w:rsid w:val="00710C34"/>
    <w:rsid w:val="00710D28"/>
    <w:rsid w:val="00711039"/>
    <w:rsid w:val="0071144E"/>
    <w:rsid w:val="0071153C"/>
    <w:rsid w:val="007115FA"/>
    <w:rsid w:val="007121F9"/>
    <w:rsid w:val="0071225D"/>
    <w:rsid w:val="007124C5"/>
    <w:rsid w:val="0071251B"/>
    <w:rsid w:val="00712612"/>
    <w:rsid w:val="0071279C"/>
    <w:rsid w:val="007130BC"/>
    <w:rsid w:val="00713267"/>
    <w:rsid w:val="00713305"/>
    <w:rsid w:val="0071336D"/>
    <w:rsid w:val="0071340C"/>
    <w:rsid w:val="007148E2"/>
    <w:rsid w:val="007154EA"/>
    <w:rsid w:val="00715730"/>
    <w:rsid w:val="007157B7"/>
    <w:rsid w:val="00715F7E"/>
    <w:rsid w:val="0071610A"/>
    <w:rsid w:val="007162A5"/>
    <w:rsid w:val="007165A0"/>
    <w:rsid w:val="00716B8C"/>
    <w:rsid w:val="0071714A"/>
    <w:rsid w:val="00717DE0"/>
    <w:rsid w:val="00720024"/>
    <w:rsid w:val="007204C8"/>
    <w:rsid w:val="00720594"/>
    <w:rsid w:val="007212AC"/>
    <w:rsid w:val="00721316"/>
    <w:rsid w:val="0072145B"/>
    <w:rsid w:val="007216C9"/>
    <w:rsid w:val="00721B7C"/>
    <w:rsid w:val="00721C85"/>
    <w:rsid w:val="00721CB6"/>
    <w:rsid w:val="00722157"/>
    <w:rsid w:val="007227C6"/>
    <w:rsid w:val="007229FD"/>
    <w:rsid w:val="007233BB"/>
    <w:rsid w:val="007237B1"/>
    <w:rsid w:val="00723D1E"/>
    <w:rsid w:val="00723E8F"/>
    <w:rsid w:val="00724B25"/>
    <w:rsid w:val="00725622"/>
    <w:rsid w:val="0072595C"/>
    <w:rsid w:val="00725C55"/>
    <w:rsid w:val="00725CD5"/>
    <w:rsid w:val="007261C9"/>
    <w:rsid w:val="0072628C"/>
    <w:rsid w:val="007262AB"/>
    <w:rsid w:val="007263C7"/>
    <w:rsid w:val="00726687"/>
    <w:rsid w:val="00726B29"/>
    <w:rsid w:val="00726C28"/>
    <w:rsid w:val="00727171"/>
    <w:rsid w:val="0072732C"/>
    <w:rsid w:val="00727899"/>
    <w:rsid w:val="007279A5"/>
    <w:rsid w:val="00727DB9"/>
    <w:rsid w:val="00730783"/>
    <w:rsid w:val="00730A6F"/>
    <w:rsid w:val="00730CE4"/>
    <w:rsid w:val="00730CEA"/>
    <w:rsid w:val="007317A0"/>
    <w:rsid w:val="00731A2A"/>
    <w:rsid w:val="00731BBE"/>
    <w:rsid w:val="00732225"/>
    <w:rsid w:val="007339FB"/>
    <w:rsid w:val="00733AB3"/>
    <w:rsid w:val="00733AEA"/>
    <w:rsid w:val="00733CB5"/>
    <w:rsid w:val="00733E4A"/>
    <w:rsid w:val="007344FB"/>
    <w:rsid w:val="00734613"/>
    <w:rsid w:val="00734ABB"/>
    <w:rsid w:val="00734ADE"/>
    <w:rsid w:val="00735BC7"/>
    <w:rsid w:val="00735DD6"/>
    <w:rsid w:val="00736171"/>
    <w:rsid w:val="0073652F"/>
    <w:rsid w:val="007366DC"/>
    <w:rsid w:val="007368E9"/>
    <w:rsid w:val="00736B92"/>
    <w:rsid w:val="00736B9E"/>
    <w:rsid w:val="00736D49"/>
    <w:rsid w:val="00736E41"/>
    <w:rsid w:val="0073733C"/>
    <w:rsid w:val="00737497"/>
    <w:rsid w:val="00737515"/>
    <w:rsid w:val="00737CE3"/>
    <w:rsid w:val="0074023E"/>
    <w:rsid w:val="0074042E"/>
    <w:rsid w:val="007407DE"/>
    <w:rsid w:val="00740D8A"/>
    <w:rsid w:val="00740F97"/>
    <w:rsid w:val="0074110D"/>
    <w:rsid w:val="007418AC"/>
    <w:rsid w:val="00741942"/>
    <w:rsid w:val="00741AFB"/>
    <w:rsid w:val="00741B21"/>
    <w:rsid w:val="00741C79"/>
    <w:rsid w:val="00741CBD"/>
    <w:rsid w:val="007420C3"/>
    <w:rsid w:val="007421BB"/>
    <w:rsid w:val="0074270C"/>
    <w:rsid w:val="00742E14"/>
    <w:rsid w:val="00743A83"/>
    <w:rsid w:val="00743B33"/>
    <w:rsid w:val="00743B91"/>
    <w:rsid w:val="007447F1"/>
    <w:rsid w:val="007449CC"/>
    <w:rsid w:val="00744E5A"/>
    <w:rsid w:val="007450AB"/>
    <w:rsid w:val="007452F3"/>
    <w:rsid w:val="00745684"/>
    <w:rsid w:val="00745907"/>
    <w:rsid w:val="00746EB2"/>
    <w:rsid w:val="00750E87"/>
    <w:rsid w:val="007514B6"/>
    <w:rsid w:val="007524C3"/>
    <w:rsid w:val="00752827"/>
    <w:rsid w:val="00753F3B"/>
    <w:rsid w:val="007541F0"/>
    <w:rsid w:val="00754680"/>
    <w:rsid w:val="0075486C"/>
    <w:rsid w:val="00754A6E"/>
    <w:rsid w:val="00754CB8"/>
    <w:rsid w:val="00754D80"/>
    <w:rsid w:val="00754F09"/>
    <w:rsid w:val="007554C7"/>
    <w:rsid w:val="007557AE"/>
    <w:rsid w:val="00755E05"/>
    <w:rsid w:val="00755ECF"/>
    <w:rsid w:val="007568EB"/>
    <w:rsid w:val="00757603"/>
    <w:rsid w:val="00757907"/>
    <w:rsid w:val="0076045F"/>
    <w:rsid w:val="00760830"/>
    <w:rsid w:val="00760940"/>
    <w:rsid w:val="00760B7D"/>
    <w:rsid w:val="007611FF"/>
    <w:rsid w:val="0076125D"/>
    <w:rsid w:val="00761494"/>
    <w:rsid w:val="007617D0"/>
    <w:rsid w:val="007618C5"/>
    <w:rsid w:val="00761976"/>
    <w:rsid w:val="00762002"/>
    <w:rsid w:val="00762198"/>
    <w:rsid w:val="007624EA"/>
    <w:rsid w:val="007632AD"/>
    <w:rsid w:val="00763493"/>
    <w:rsid w:val="00763653"/>
    <w:rsid w:val="0076379F"/>
    <w:rsid w:val="007637F8"/>
    <w:rsid w:val="00763813"/>
    <w:rsid w:val="0076457E"/>
    <w:rsid w:val="00764840"/>
    <w:rsid w:val="00764F93"/>
    <w:rsid w:val="0076512E"/>
    <w:rsid w:val="007652CB"/>
    <w:rsid w:val="007658C2"/>
    <w:rsid w:val="00765AF2"/>
    <w:rsid w:val="00766830"/>
    <w:rsid w:val="0076699E"/>
    <w:rsid w:val="00766A77"/>
    <w:rsid w:val="00766ADF"/>
    <w:rsid w:val="00767020"/>
    <w:rsid w:val="007675E2"/>
    <w:rsid w:val="00767623"/>
    <w:rsid w:val="007676D4"/>
    <w:rsid w:val="00767A38"/>
    <w:rsid w:val="0077045E"/>
    <w:rsid w:val="00770F77"/>
    <w:rsid w:val="00771389"/>
    <w:rsid w:val="00771737"/>
    <w:rsid w:val="007717C3"/>
    <w:rsid w:val="00771B12"/>
    <w:rsid w:val="00772640"/>
    <w:rsid w:val="00772846"/>
    <w:rsid w:val="00772972"/>
    <w:rsid w:val="00772A22"/>
    <w:rsid w:val="00772C18"/>
    <w:rsid w:val="00772FB2"/>
    <w:rsid w:val="00773BB3"/>
    <w:rsid w:val="00773FBB"/>
    <w:rsid w:val="007740C5"/>
    <w:rsid w:val="007747A0"/>
    <w:rsid w:val="00774857"/>
    <w:rsid w:val="00774970"/>
    <w:rsid w:val="00774E35"/>
    <w:rsid w:val="00775739"/>
    <w:rsid w:val="007759E6"/>
    <w:rsid w:val="00775B7A"/>
    <w:rsid w:val="00775CC7"/>
    <w:rsid w:val="0077617F"/>
    <w:rsid w:val="00776734"/>
    <w:rsid w:val="00776739"/>
    <w:rsid w:val="00777FB9"/>
    <w:rsid w:val="00780392"/>
    <w:rsid w:val="0078070B"/>
    <w:rsid w:val="00780DFF"/>
    <w:rsid w:val="00780F1D"/>
    <w:rsid w:val="007816DA"/>
    <w:rsid w:val="00781AA7"/>
    <w:rsid w:val="00781C5D"/>
    <w:rsid w:val="00781C70"/>
    <w:rsid w:val="00782093"/>
    <w:rsid w:val="00782A5F"/>
    <w:rsid w:val="00782B96"/>
    <w:rsid w:val="00783185"/>
    <w:rsid w:val="00783393"/>
    <w:rsid w:val="0078381A"/>
    <w:rsid w:val="00783D5B"/>
    <w:rsid w:val="00783FA2"/>
    <w:rsid w:val="00784183"/>
    <w:rsid w:val="007844AE"/>
    <w:rsid w:val="007849EA"/>
    <w:rsid w:val="00784A3D"/>
    <w:rsid w:val="00784C80"/>
    <w:rsid w:val="007854EE"/>
    <w:rsid w:val="007862D0"/>
    <w:rsid w:val="0078639C"/>
    <w:rsid w:val="0078643B"/>
    <w:rsid w:val="00786583"/>
    <w:rsid w:val="007869B4"/>
    <w:rsid w:val="00786DE0"/>
    <w:rsid w:val="00786EAA"/>
    <w:rsid w:val="007871B1"/>
    <w:rsid w:val="00787528"/>
    <w:rsid w:val="007876B0"/>
    <w:rsid w:val="00787AA0"/>
    <w:rsid w:val="00787C33"/>
    <w:rsid w:val="0079045E"/>
    <w:rsid w:val="0079080F"/>
    <w:rsid w:val="00791250"/>
    <w:rsid w:val="00791D58"/>
    <w:rsid w:val="007920F2"/>
    <w:rsid w:val="00792962"/>
    <w:rsid w:val="00792E8D"/>
    <w:rsid w:val="007933B1"/>
    <w:rsid w:val="0079358A"/>
    <w:rsid w:val="0079361C"/>
    <w:rsid w:val="00794657"/>
    <w:rsid w:val="00794744"/>
    <w:rsid w:val="007947AB"/>
    <w:rsid w:val="00794A0C"/>
    <w:rsid w:val="0079512E"/>
    <w:rsid w:val="007951E2"/>
    <w:rsid w:val="00795447"/>
    <w:rsid w:val="00795541"/>
    <w:rsid w:val="0079560A"/>
    <w:rsid w:val="00795985"/>
    <w:rsid w:val="0079598C"/>
    <w:rsid w:val="00796107"/>
    <w:rsid w:val="0079730D"/>
    <w:rsid w:val="0079764B"/>
    <w:rsid w:val="007A074E"/>
    <w:rsid w:val="007A0A77"/>
    <w:rsid w:val="007A143C"/>
    <w:rsid w:val="007A1568"/>
    <w:rsid w:val="007A27A3"/>
    <w:rsid w:val="007A280C"/>
    <w:rsid w:val="007A2A86"/>
    <w:rsid w:val="007A2B94"/>
    <w:rsid w:val="007A2DB2"/>
    <w:rsid w:val="007A2E90"/>
    <w:rsid w:val="007A2EC4"/>
    <w:rsid w:val="007A319F"/>
    <w:rsid w:val="007A322F"/>
    <w:rsid w:val="007A3248"/>
    <w:rsid w:val="007A33C2"/>
    <w:rsid w:val="007A340C"/>
    <w:rsid w:val="007A35DE"/>
    <w:rsid w:val="007A372B"/>
    <w:rsid w:val="007A3895"/>
    <w:rsid w:val="007A3D0B"/>
    <w:rsid w:val="007A4480"/>
    <w:rsid w:val="007A466B"/>
    <w:rsid w:val="007A4A4E"/>
    <w:rsid w:val="007A4A96"/>
    <w:rsid w:val="007A53B0"/>
    <w:rsid w:val="007A542D"/>
    <w:rsid w:val="007A5BA1"/>
    <w:rsid w:val="007A5FCE"/>
    <w:rsid w:val="007A6067"/>
    <w:rsid w:val="007A635A"/>
    <w:rsid w:val="007A6433"/>
    <w:rsid w:val="007A6B04"/>
    <w:rsid w:val="007A6E3E"/>
    <w:rsid w:val="007A6E57"/>
    <w:rsid w:val="007A7175"/>
    <w:rsid w:val="007A76C2"/>
    <w:rsid w:val="007A7BE4"/>
    <w:rsid w:val="007B0023"/>
    <w:rsid w:val="007B0129"/>
    <w:rsid w:val="007B01E2"/>
    <w:rsid w:val="007B05DD"/>
    <w:rsid w:val="007B0D73"/>
    <w:rsid w:val="007B0FBF"/>
    <w:rsid w:val="007B13F3"/>
    <w:rsid w:val="007B1642"/>
    <w:rsid w:val="007B2426"/>
    <w:rsid w:val="007B2861"/>
    <w:rsid w:val="007B2D48"/>
    <w:rsid w:val="007B2F7B"/>
    <w:rsid w:val="007B3C43"/>
    <w:rsid w:val="007B431E"/>
    <w:rsid w:val="007B4347"/>
    <w:rsid w:val="007B4B86"/>
    <w:rsid w:val="007B69C4"/>
    <w:rsid w:val="007B6C0B"/>
    <w:rsid w:val="007B71B1"/>
    <w:rsid w:val="007B7B25"/>
    <w:rsid w:val="007B7D2E"/>
    <w:rsid w:val="007C030B"/>
    <w:rsid w:val="007C0A32"/>
    <w:rsid w:val="007C0B0F"/>
    <w:rsid w:val="007C18F5"/>
    <w:rsid w:val="007C1BFB"/>
    <w:rsid w:val="007C2804"/>
    <w:rsid w:val="007C2CBF"/>
    <w:rsid w:val="007C3137"/>
    <w:rsid w:val="007C3350"/>
    <w:rsid w:val="007C368A"/>
    <w:rsid w:val="007C3D49"/>
    <w:rsid w:val="007C3F04"/>
    <w:rsid w:val="007C40BC"/>
    <w:rsid w:val="007C40CB"/>
    <w:rsid w:val="007C43C3"/>
    <w:rsid w:val="007C52E1"/>
    <w:rsid w:val="007C574B"/>
    <w:rsid w:val="007C5B1F"/>
    <w:rsid w:val="007C6177"/>
    <w:rsid w:val="007C64C0"/>
    <w:rsid w:val="007C6A2D"/>
    <w:rsid w:val="007C6A6A"/>
    <w:rsid w:val="007C6C34"/>
    <w:rsid w:val="007C6CDF"/>
    <w:rsid w:val="007C70F9"/>
    <w:rsid w:val="007D0348"/>
    <w:rsid w:val="007D0836"/>
    <w:rsid w:val="007D0C20"/>
    <w:rsid w:val="007D182F"/>
    <w:rsid w:val="007D186A"/>
    <w:rsid w:val="007D18BC"/>
    <w:rsid w:val="007D19E7"/>
    <w:rsid w:val="007D1D1D"/>
    <w:rsid w:val="007D23A9"/>
    <w:rsid w:val="007D247E"/>
    <w:rsid w:val="007D2658"/>
    <w:rsid w:val="007D27B6"/>
    <w:rsid w:val="007D2CF7"/>
    <w:rsid w:val="007D2F16"/>
    <w:rsid w:val="007D2F2B"/>
    <w:rsid w:val="007D305F"/>
    <w:rsid w:val="007D3723"/>
    <w:rsid w:val="007D3841"/>
    <w:rsid w:val="007D3B20"/>
    <w:rsid w:val="007D44E3"/>
    <w:rsid w:val="007D468B"/>
    <w:rsid w:val="007D4817"/>
    <w:rsid w:val="007D485B"/>
    <w:rsid w:val="007D4933"/>
    <w:rsid w:val="007D4BB7"/>
    <w:rsid w:val="007D4C1D"/>
    <w:rsid w:val="007D4E9B"/>
    <w:rsid w:val="007D55EB"/>
    <w:rsid w:val="007D5610"/>
    <w:rsid w:val="007D57F4"/>
    <w:rsid w:val="007D5E3D"/>
    <w:rsid w:val="007D6496"/>
    <w:rsid w:val="007D67A8"/>
    <w:rsid w:val="007D765C"/>
    <w:rsid w:val="007D78D6"/>
    <w:rsid w:val="007D7DA3"/>
    <w:rsid w:val="007E0966"/>
    <w:rsid w:val="007E0C47"/>
    <w:rsid w:val="007E107D"/>
    <w:rsid w:val="007E117B"/>
    <w:rsid w:val="007E16AA"/>
    <w:rsid w:val="007E1C09"/>
    <w:rsid w:val="007E2476"/>
    <w:rsid w:val="007E2570"/>
    <w:rsid w:val="007E2700"/>
    <w:rsid w:val="007E273D"/>
    <w:rsid w:val="007E2D5A"/>
    <w:rsid w:val="007E305C"/>
    <w:rsid w:val="007E3084"/>
    <w:rsid w:val="007E31EC"/>
    <w:rsid w:val="007E35A1"/>
    <w:rsid w:val="007E37E7"/>
    <w:rsid w:val="007E38D4"/>
    <w:rsid w:val="007E3D86"/>
    <w:rsid w:val="007E4162"/>
    <w:rsid w:val="007E43F8"/>
    <w:rsid w:val="007E4409"/>
    <w:rsid w:val="007E48AD"/>
    <w:rsid w:val="007E4A98"/>
    <w:rsid w:val="007E4AE3"/>
    <w:rsid w:val="007E5019"/>
    <w:rsid w:val="007E56F8"/>
    <w:rsid w:val="007E57BF"/>
    <w:rsid w:val="007E5A30"/>
    <w:rsid w:val="007E5D04"/>
    <w:rsid w:val="007E5DF3"/>
    <w:rsid w:val="007E692D"/>
    <w:rsid w:val="007E6BAE"/>
    <w:rsid w:val="007E6C86"/>
    <w:rsid w:val="007E6DB8"/>
    <w:rsid w:val="007E7642"/>
    <w:rsid w:val="007E79EF"/>
    <w:rsid w:val="007E7A7E"/>
    <w:rsid w:val="007F0337"/>
    <w:rsid w:val="007F06CD"/>
    <w:rsid w:val="007F079D"/>
    <w:rsid w:val="007F11DD"/>
    <w:rsid w:val="007F1310"/>
    <w:rsid w:val="007F1D3C"/>
    <w:rsid w:val="007F1DDF"/>
    <w:rsid w:val="007F2065"/>
    <w:rsid w:val="007F2070"/>
    <w:rsid w:val="007F22A2"/>
    <w:rsid w:val="007F23BE"/>
    <w:rsid w:val="007F25D9"/>
    <w:rsid w:val="007F3065"/>
    <w:rsid w:val="007F31E5"/>
    <w:rsid w:val="007F3225"/>
    <w:rsid w:val="007F333E"/>
    <w:rsid w:val="007F3657"/>
    <w:rsid w:val="007F3BA5"/>
    <w:rsid w:val="007F3C86"/>
    <w:rsid w:val="007F4832"/>
    <w:rsid w:val="007F50EC"/>
    <w:rsid w:val="007F5F9D"/>
    <w:rsid w:val="007F613E"/>
    <w:rsid w:val="007F61D4"/>
    <w:rsid w:val="007F627C"/>
    <w:rsid w:val="007F63D7"/>
    <w:rsid w:val="007F650A"/>
    <w:rsid w:val="007F66CB"/>
    <w:rsid w:val="007F7176"/>
    <w:rsid w:val="007F7360"/>
    <w:rsid w:val="007F7590"/>
    <w:rsid w:val="007F7604"/>
    <w:rsid w:val="007F79FE"/>
    <w:rsid w:val="007F7E21"/>
    <w:rsid w:val="007F7FB0"/>
    <w:rsid w:val="00800C90"/>
    <w:rsid w:val="00801878"/>
    <w:rsid w:val="008019C3"/>
    <w:rsid w:val="00801E39"/>
    <w:rsid w:val="0080209D"/>
    <w:rsid w:val="008024DE"/>
    <w:rsid w:val="008027D9"/>
    <w:rsid w:val="0080283E"/>
    <w:rsid w:val="00802F93"/>
    <w:rsid w:val="00803511"/>
    <w:rsid w:val="00803A45"/>
    <w:rsid w:val="00804090"/>
    <w:rsid w:val="00804310"/>
    <w:rsid w:val="0080463B"/>
    <w:rsid w:val="008048D4"/>
    <w:rsid w:val="00804A7B"/>
    <w:rsid w:val="00804C64"/>
    <w:rsid w:val="008054E5"/>
    <w:rsid w:val="008055C6"/>
    <w:rsid w:val="00805FAC"/>
    <w:rsid w:val="008066F5"/>
    <w:rsid w:val="00806715"/>
    <w:rsid w:val="00806ADB"/>
    <w:rsid w:val="00807121"/>
    <w:rsid w:val="00807156"/>
    <w:rsid w:val="008072D1"/>
    <w:rsid w:val="008074ED"/>
    <w:rsid w:val="00807504"/>
    <w:rsid w:val="008102CA"/>
    <w:rsid w:val="008102EB"/>
    <w:rsid w:val="008107DB"/>
    <w:rsid w:val="00810806"/>
    <w:rsid w:val="0081096F"/>
    <w:rsid w:val="008109A2"/>
    <w:rsid w:val="00810B87"/>
    <w:rsid w:val="00810FD3"/>
    <w:rsid w:val="00811481"/>
    <w:rsid w:val="008117F9"/>
    <w:rsid w:val="00811B3E"/>
    <w:rsid w:val="008125C9"/>
    <w:rsid w:val="008125D7"/>
    <w:rsid w:val="008128B2"/>
    <w:rsid w:val="00812D55"/>
    <w:rsid w:val="0081397B"/>
    <w:rsid w:val="008139DA"/>
    <w:rsid w:val="008139FE"/>
    <w:rsid w:val="00814158"/>
    <w:rsid w:val="008146EE"/>
    <w:rsid w:val="008149B4"/>
    <w:rsid w:val="00815D56"/>
    <w:rsid w:val="00815FB3"/>
    <w:rsid w:val="008173DC"/>
    <w:rsid w:val="0081756A"/>
    <w:rsid w:val="00817C24"/>
    <w:rsid w:val="00817FA7"/>
    <w:rsid w:val="00820254"/>
    <w:rsid w:val="00820351"/>
    <w:rsid w:val="00820F04"/>
    <w:rsid w:val="008210CB"/>
    <w:rsid w:val="0082230D"/>
    <w:rsid w:val="00822572"/>
    <w:rsid w:val="00822996"/>
    <w:rsid w:val="00822B70"/>
    <w:rsid w:val="00822D3C"/>
    <w:rsid w:val="00822D69"/>
    <w:rsid w:val="008238E8"/>
    <w:rsid w:val="00823E78"/>
    <w:rsid w:val="00824B00"/>
    <w:rsid w:val="00824BE1"/>
    <w:rsid w:val="00824CF8"/>
    <w:rsid w:val="008254B3"/>
    <w:rsid w:val="00826800"/>
    <w:rsid w:val="008268D2"/>
    <w:rsid w:val="00826B6F"/>
    <w:rsid w:val="00826CD4"/>
    <w:rsid w:val="008274F5"/>
    <w:rsid w:val="00827AEB"/>
    <w:rsid w:val="008301C5"/>
    <w:rsid w:val="0083024C"/>
    <w:rsid w:val="00830384"/>
    <w:rsid w:val="0083069B"/>
    <w:rsid w:val="008308E4"/>
    <w:rsid w:val="00830A9C"/>
    <w:rsid w:val="00830C14"/>
    <w:rsid w:val="00831106"/>
    <w:rsid w:val="00831427"/>
    <w:rsid w:val="008314BA"/>
    <w:rsid w:val="00831DED"/>
    <w:rsid w:val="00831DF1"/>
    <w:rsid w:val="00831E8A"/>
    <w:rsid w:val="00831EC9"/>
    <w:rsid w:val="0083219D"/>
    <w:rsid w:val="008321F7"/>
    <w:rsid w:val="0083271C"/>
    <w:rsid w:val="00832887"/>
    <w:rsid w:val="00832BA4"/>
    <w:rsid w:val="00832DF5"/>
    <w:rsid w:val="008336F7"/>
    <w:rsid w:val="00833D8C"/>
    <w:rsid w:val="00834534"/>
    <w:rsid w:val="008346DD"/>
    <w:rsid w:val="00834BE8"/>
    <w:rsid w:val="00834C12"/>
    <w:rsid w:val="00834CC9"/>
    <w:rsid w:val="00835537"/>
    <w:rsid w:val="0083563B"/>
    <w:rsid w:val="0083593F"/>
    <w:rsid w:val="0083610A"/>
    <w:rsid w:val="00836814"/>
    <w:rsid w:val="00836EB0"/>
    <w:rsid w:val="00837100"/>
    <w:rsid w:val="008378BA"/>
    <w:rsid w:val="008378C6"/>
    <w:rsid w:val="00840289"/>
    <w:rsid w:val="0084040D"/>
    <w:rsid w:val="0084052F"/>
    <w:rsid w:val="008406E1"/>
    <w:rsid w:val="008407DA"/>
    <w:rsid w:val="00840E95"/>
    <w:rsid w:val="00841510"/>
    <w:rsid w:val="00841766"/>
    <w:rsid w:val="00841BC5"/>
    <w:rsid w:val="00841C38"/>
    <w:rsid w:val="00842356"/>
    <w:rsid w:val="008426E9"/>
    <w:rsid w:val="0084298B"/>
    <w:rsid w:val="008430E1"/>
    <w:rsid w:val="00843347"/>
    <w:rsid w:val="00843611"/>
    <w:rsid w:val="00844721"/>
    <w:rsid w:val="008449FE"/>
    <w:rsid w:val="00844A23"/>
    <w:rsid w:val="00844A24"/>
    <w:rsid w:val="00845134"/>
    <w:rsid w:val="008452F3"/>
    <w:rsid w:val="0084541C"/>
    <w:rsid w:val="00845B48"/>
    <w:rsid w:val="008467E4"/>
    <w:rsid w:val="00846970"/>
    <w:rsid w:val="00846B0F"/>
    <w:rsid w:val="00847201"/>
    <w:rsid w:val="008477C3"/>
    <w:rsid w:val="00847969"/>
    <w:rsid w:val="00847977"/>
    <w:rsid w:val="00847980"/>
    <w:rsid w:val="00847B4F"/>
    <w:rsid w:val="0085022F"/>
    <w:rsid w:val="00850266"/>
    <w:rsid w:val="008505BA"/>
    <w:rsid w:val="00850705"/>
    <w:rsid w:val="00850765"/>
    <w:rsid w:val="00850AEC"/>
    <w:rsid w:val="00850E93"/>
    <w:rsid w:val="008511EE"/>
    <w:rsid w:val="00851619"/>
    <w:rsid w:val="00851829"/>
    <w:rsid w:val="00851B65"/>
    <w:rsid w:val="00851E29"/>
    <w:rsid w:val="00851F7D"/>
    <w:rsid w:val="0085212C"/>
    <w:rsid w:val="008526F2"/>
    <w:rsid w:val="00852F0E"/>
    <w:rsid w:val="008530CE"/>
    <w:rsid w:val="008537D0"/>
    <w:rsid w:val="00853886"/>
    <w:rsid w:val="008538FE"/>
    <w:rsid w:val="00854125"/>
    <w:rsid w:val="0085426B"/>
    <w:rsid w:val="0085437B"/>
    <w:rsid w:val="00854A35"/>
    <w:rsid w:val="008551DD"/>
    <w:rsid w:val="0085528A"/>
    <w:rsid w:val="0085576D"/>
    <w:rsid w:val="00855D0D"/>
    <w:rsid w:val="00855E04"/>
    <w:rsid w:val="00855E53"/>
    <w:rsid w:val="00855E8C"/>
    <w:rsid w:val="00856006"/>
    <w:rsid w:val="00856129"/>
    <w:rsid w:val="00856985"/>
    <w:rsid w:val="00856CD6"/>
    <w:rsid w:val="00856FBB"/>
    <w:rsid w:val="008575CF"/>
    <w:rsid w:val="008579F1"/>
    <w:rsid w:val="00857F06"/>
    <w:rsid w:val="00860AB7"/>
    <w:rsid w:val="00860B35"/>
    <w:rsid w:val="00860DBF"/>
    <w:rsid w:val="008619D7"/>
    <w:rsid w:val="00861ADC"/>
    <w:rsid w:val="00861D51"/>
    <w:rsid w:val="00861FC7"/>
    <w:rsid w:val="008620CA"/>
    <w:rsid w:val="008622B2"/>
    <w:rsid w:val="008628AE"/>
    <w:rsid w:val="00863263"/>
    <w:rsid w:val="008639B6"/>
    <w:rsid w:val="00863B92"/>
    <w:rsid w:val="00863D73"/>
    <w:rsid w:val="0086425C"/>
    <w:rsid w:val="008643E8"/>
    <w:rsid w:val="00864FB1"/>
    <w:rsid w:val="00865330"/>
    <w:rsid w:val="008655AE"/>
    <w:rsid w:val="00866837"/>
    <w:rsid w:val="00866965"/>
    <w:rsid w:val="00866ECE"/>
    <w:rsid w:val="0086792E"/>
    <w:rsid w:val="00867A57"/>
    <w:rsid w:val="00867A5B"/>
    <w:rsid w:val="00867F13"/>
    <w:rsid w:val="00867F2D"/>
    <w:rsid w:val="008702D2"/>
    <w:rsid w:val="0087032D"/>
    <w:rsid w:val="00870B0B"/>
    <w:rsid w:val="00870FBF"/>
    <w:rsid w:val="00871513"/>
    <w:rsid w:val="0087177D"/>
    <w:rsid w:val="008717ED"/>
    <w:rsid w:val="00871B34"/>
    <w:rsid w:val="00871B73"/>
    <w:rsid w:val="008728DE"/>
    <w:rsid w:val="00872B28"/>
    <w:rsid w:val="00872F25"/>
    <w:rsid w:val="008734CB"/>
    <w:rsid w:val="00873A45"/>
    <w:rsid w:val="008744D5"/>
    <w:rsid w:val="008748BA"/>
    <w:rsid w:val="008750F2"/>
    <w:rsid w:val="008754EA"/>
    <w:rsid w:val="00875E66"/>
    <w:rsid w:val="0087637E"/>
    <w:rsid w:val="008763A4"/>
    <w:rsid w:val="008763CD"/>
    <w:rsid w:val="00876798"/>
    <w:rsid w:val="00876A7E"/>
    <w:rsid w:val="00876AD4"/>
    <w:rsid w:val="00876C55"/>
    <w:rsid w:val="00876DAA"/>
    <w:rsid w:val="00877A3A"/>
    <w:rsid w:val="00877C81"/>
    <w:rsid w:val="0088028E"/>
    <w:rsid w:val="008802A6"/>
    <w:rsid w:val="0088045A"/>
    <w:rsid w:val="00881155"/>
    <w:rsid w:val="0088131D"/>
    <w:rsid w:val="0088163D"/>
    <w:rsid w:val="00881903"/>
    <w:rsid w:val="00881C3C"/>
    <w:rsid w:val="00882070"/>
    <w:rsid w:val="008821F0"/>
    <w:rsid w:val="008823FB"/>
    <w:rsid w:val="00882542"/>
    <w:rsid w:val="0088301F"/>
    <w:rsid w:val="008849C4"/>
    <w:rsid w:val="00885912"/>
    <w:rsid w:val="00885A43"/>
    <w:rsid w:val="00885F09"/>
    <w:rsid w:val="00885F16"/>
    <w:rsid w:val="00886868"/>
    <w:rsid w:val="00886900"/>
    <w:rsid w:val="00886F35"/>
    <w:rsid w:val="00887041"/>
    <w:rsid w:val="00887046"/>
    <w:rsid w:val="0088733E"/>
    <w:rsid w:val="0088744A"/>
    <w:rsid w:val="0088777A"/>
    <w:rsid w:val="00887E2A"/>
    <w:rsid w:val="008904AA"/>
    <w:rsid w:val="00890CE7"/>
    <w:rsid w:val="00890F07"/>
    <w:rsid w:val="00890FCB"/>
    <w:rsid w:val="008910AA"/>
    <w:rsid w:val="0089178B"/>
    <w:rsid w:val="008917D5"/>
    <w:rsid w:val="0089183C"/>
    <w:rsid w:val="00891972"/>
    <w:rsid w:val="00891AE9"/>
    <w:rsid w:val="00891CAF"/>
    <w:rsid w:val="00891DCD"/>
    <w:rsid w:val="00891F4A"/>
    <w:rsid w:val="008921FA"/>
    <w:rsid w:val="00892742"/>
    <w:rsid w:val="00892818"/>
    <w:rsid w:val="00892E5D"/>
    <w:rsid w:val="00892EF6"/>
    <w:rsid w:val="008940BA"/>
    <w:rsid w:val="008941EA"/>
    <w:rsid w:val="008944FB"/>
    <w:rsid w:val="00894B1D"/>
    <w:rsid w:val="00894F85"/>
    <w:rsid w:val="00894FC2"/>
    <w:rsid w:val="00895528"/>
    <w:rsid w:val="00895905"/>
    <w:rsid w:val="00895A7D"/>
    <w:rsid w:val="00895D51"/>
    <w:rsid w:val="00896343"/>
    <w:rsid w:val="0089643D"/>
    <w:rsid w:val="00896728"/>
    <w:rsid w:val="00896B73"/>
    <w:rsid w:val="00896D0A"/>
    <w:rsid w:val="00896DAB"/>
    <w:rsid w:val="008970C6"/>
    <w:rsid w:val="0089731A"/>
    <w:rsid w:val="00897359"/>
    <w:rsid w:val="008974FB"/>
    <w:rsid w:val="00897AE6"/>
    <w:rsid w:val="00897AE8"/>
    <w:rsid w:val="00897E19"/>
    <w:rsid w:val="008A0D4E"/>
    <w:rsid w:val="008A158C"/>
    <w:rsid w:val="008A1735"/>
    <w:rsid w:val="008A183A"/>
    <w:rsid w:val="008A1A86"/>
    <w:rsid w:val="008A1BB0"/>
    <w:rsid w:val="008A21AF"/>
    <w:rsid w:val="008A2568"/>
    <w:rsid w:val="008A2729"/>
    <w:rsid w:val="008A2A5F"/>
    <w:rsid w:val="008A2B99"/>
    <w:rsid w:val="008A2FB8"/>
    <w:rsid w:val="008A3041"/>
    <w:rsid w:val="008A30F5"/>
    <w:rsid w:val="008A318B"/>
    <w:rsid w:val="008A323B"/>
    <w:rsid w:val="008A371A"/>
    <w:rsid w:val="008A3B67"/>
    <w:rsid w:val="008A3C5C"/>
    <w:rsid w:val="008A432F"/>
    <w:rsid w:val="008A4D33"/>
    <w:rsid w:val="008A55C4"/>
    <w:rsid w:val="008A6034"/>
    <w:rsid w:val="008A6188"/>
    <w:rsid w:val="008A698F"/>
    <w:rsid w:val="008A729B"/>
    <w:rsid w:val="008A7384"/>
    <w:rsid w:val="008B0A55"/>
    <w:rsid w:val="008B0E73"/>
    <w:rsid w:val="008B123B"/>
    <w:rsid w:val="008B135B"/>
    <w:rsid w:val="008B154B"/>
    <w:rsid w:val="008B16AE"/>
    <w:rsid w:val="008B17D4"/>
    <w:rsid w:val="008B185F"/>
    <w:rsid w:val="008B2067"/>
    <w:rsid w:val="008B2197"/>
    <w:rsid w:val="008B274E"/>
    <w:rsid w:val="008B27AD"/>
    <w:rsid w:val="008B2AAC"/>
    <w:rsid w:val="008B2E1D"/>
    <w:rsid w:val="008B3170"/>
    <w:rsid w:val="008B32A0"/>
    <w:rsid w:val="008B346C"/>
    <w:rsid w:val="008B34F1"/>
    <w:rsid w:val="008B3609"/>
    <w:rsid w:val="008B3683"/>
    <w:rsid w:val="008B3C66"/>
    <w:rsid w:val="008B43FA"/>
    <w:rsid w:val="008B4A95"/>
    <w:rsid w:val="008B4B06"/>
    <w:rsid w:val="008B4CC4"/>
    <w:rsid w:val="008B4D2C"/>
    <w:rsid w:val="008B4DCB"/>
    <w:rsid w:val="008B516A"/>
    <w:rsid w:val="008B594A"/>
    <w:rsid w:val="008B59C5"/>
    <w:rsid w:val="008B5AAD"/>
    <w:rsid w:val="008B5D16"/>
    <w:rsid w:val="008B5E5F"/>
    <w:rsid w:val="008B5EE0"/>
    <w:rsid w:val="008B5F42"/>
    <w:rsid w:val="008B63A4"/>
    <w:rsid w:val="008B65AA"/>
    <w:rsid w:val="008B664E"/>
    <w:rsid w:val="008B6A2E"/>
    <w:rsid w:val="008B6AEA"/>
    <w:rsid w:val="008B6B19"/>
    <w:rsid w:val="008B72CB"/>
    <w:rsid w:val="008C009A"/>
    <w:rsid w:val="008C03C4"/>
    <w:rsid w:val="008C03D5"/>
    <w:rsid w:val="008C095F"/>
    <w:rsid w:val="008C1398"/>
    <w:rsid w:val="008C16F9"/>
    <w:rsid w:val="008C22D8"/>
    <w:rsid w:val="008C24EC"/>
    <w:rsid w:val="008C2555"/>
    <w:rsid w:val="008C25F8"/>
    <w:rsid w:val="008C2E36"/>
    <w:rsid w:val="008C3809"/>
    <w:rsid w:val="008C40F5"/>
    <w:rsid w:val="008C4B28"/>
    <w:rsid w:val="008C514A"/>
    <w:rsid w:val="008C5173"/>
    <w:rsid w:val="008C52C4"/>
    <w:rsid w:val="008C5BA7"/>
    <w:rsid w:val="008C5DF0"/>
    <w:rsid w:val="008C5F7C"/>
    <w:rsid w:val="008C6048"/>
    <w:rsid w:val="008C616F"/>
    <w:rsid w:val="008C61FF"/>
    <w:rsid w:val="008C64AF"/>
    <w:rsid w:val="008C654E"/>
    <w:rsid w:val="008C6737"/>
    <w:rsid w:val="008C6CEE"/>
    <w:rsid w:val="008C6E44"/>
    <w:rsid w:val="008C70B8"/>
    <w:rsid w:val="008C7706"/>
    <w:rsid w:val="008C7C17"/>
    <w:rsid w:val="008D0087"/>
    <w:rsid w:val="008D00A8"/>
    <w:rsid w:val="008D0466"/>
    <w:rsid w:val="008D04C6"/>
    <w:rsid w:val="008D04F5"/>
    <w:rsid w:val="008D05AE"/>
    <w:rsid w:val="008D0F1D"/>
    <w:rsid w:val="008D112F"/>
    <w:rsid w:val="008D15D7"/>
    <w:rsid w:val="008D1FD3"/>
    <w:rsid w:val="008D2452"/>
    <w:rsid w:val="008D2505"/>
    <w:rsid w:val="008D29BF"/>
    <w:rsid w:val="008D30F4"/>
    <w:rsid w:val="008D31D6"/>
    <w:rsid w:val="008D3367"/>
    <w:rsid w:val="008D3551"/>
    <w:rsid w:val="008D3856"/>
    <w:rsid w:val="008D41E4"/>
    <w:rsid w:val="008D4C43"/>
    <w:rsid w:val="008D4C97"/>
    <w:rsid w:val="008D55FE"/>
    <w:rsid w:val="008D59CB"/>
    <w:rsid w:val="008D5D33"/>
    <w:rsid w:val="008D5E0F"/>
    <w:rsid w:val="008D62B9"/>
    <w:rsid w:val="008D63CE"/>
    <w:rsid w:val="008D6A51"/>
    <w:rsid w:val="008D6B9F"/>
    <w:rsid w:val="008D6CE3"/>
    <w:rsid w:val="008D6F77"/>
    <w:rsid w:val="008D70EC"/>
    <w:rsid w:val="008D7596"/>
    <w:rsid w:val="008D7626"/>
    <w:rsid w:val="008D7D51"/>
    <w:rsid w:val="008E01FF"/>
    <w:rsid w:val="008E0374"/>
    <w:rsid w:val="008E0379"/>
    <w:rsid w:val="008E1368"/>
    <w:rsid w:val="008E1489"/>
    <w:rsid w:val="008E1544"/>
    <w:rsid w:val="008E1A08"/>
    <w:rsid w:val="008E1F0C"/>
    <w:rsid w:val="008E23C1"/>
    <w:rsid w:val="008E24E7"/>
    <w:rsid w:val="008E291F"/>
    <w:rsid w:val="008E3024"/>
    <w:rsid w:val="008E30E5"/>
    <w:rsid w:val="008E398A"/>
    <w:rsid w:val="008E4326"/>
    <w:rsid w:val="008E484F"/>
    <w:rsid w:val="008E490A"/>
    <w:rsid w:val="008E4A5C"/>
    <w:rsid w:val="008E4B69"/>
    <w:rsid w:val="008E4C19"/>
    <w:rsid w:val="008E5206"/>
    <w:rsid w:val="008E5390"/>
    <w:rsid w:val="008E5ADC"/>
    <w:rsid w:val="008E5E2D"/>
    <w:rsid w:val="008E663D"/>
    <w:rsid w:val="008E70F9"/>
    <w:rsid w:val="008E7300"/>
    <w:rsid w:val="008E7376"/>
    <w:rsid w:val="008E7AE3"/>
    <w:rsid w:val="008F06E3"/>
    <w:rsid w:val="008F0885"/>
    <w:rsid w:val="008F0E26"/>
    <w:rsid w:val="008F1113"/>
    <w:rsid w:val="008F168F"/>
    <w:rsid w:val="008F188F"/>
    <w:rsid w:val="008F1CB8"/>
    <w:rsid w:val="008F1DC1"/>
    <w:rsid w:val="008F1F34"/>
    <w:rsid w:val="008F1F3C"/>
    <w:rsid w:val="008F36FD"/>
    <w:rsid w:val="008F3809"/>
    <w:rsid w:val="008F3B81"/>
    <w:rsid w:val="008F4037"/>
    <w:rsid w:val="008F45E4"/>
    <w:rsid w:val="008F4845"/>
    <w:rsid w:val="008F4E85"/>
    <w:rsid w:val="008F4EA1"/>
    <w:rsid w:val="008F4F02"/>
    <w:rsid w:val="008F5456"/>
    <w:rsid w:val="008F5758"/>
    <w:rsid w:val="008F58ED"/>
    <w:rsid w:val="008F637A"/>
    <w:rsid w:val="008F6A46"/>
    <w:rsid w:val="008F6DD3"/>
    <w:rsid w:val="008F6E7D"/>
    <w:rsid w:val="008F6F8D"/>
    <w:rsid w:val="008F71E5"/>
    <w:rsid w:val="008F77E3"/>
    <w:rsid w:val="008F7F13"/>
    <w:rsid w:val="009001FF"/>
    <w:rsid w:val="00900288"/>
    <w:rsid w:val="00900521"/>
    <w:rsid w:val="009005A1"/>
    <w:rsid w:val="00900963"/>
    <w:rsid w:val="009011EF"/>
    <w:rsid w:val="00901339"/>
    <w:rsid w:val="009013D7"/>
    <w:rsid w:val="009015D6"/>
    <w:rsid w:val="009017ED"/>
    <w:rsid w:val="009021CA"/>
    <w:rsid w:val="0090226D"/>
    <w:rsid w:val="0090259E"/>
    <w:rsid w:val="00902CC5"/>
    <w:rsid w:val="0090360A"/>
    <w:rsid w:val="00903DE5"/>
    <w:rsid w:val="0090404E"/>
    <w:rsid w:val="00904135"/>
    <w:rsid w:val="00904196"/>
    <w:rsid w:val="009044E4"/>
    <w:rsid w:val="00904B95"/>
    <w:rsid w:val="00904E19"/>
    <w:rsid w:val="0090513A"/>
    <w:rsid w:val="009051AB"/>
    <w:rsid w:val="0090580C"/>
    <w:rsid w:val="00905F98"/>
    <w:rsid w:val="00906550"/>
    <w:rsid w:val="00906894"/>
    <w:rsid w:val="00906D42"/>
    <w:rsid w:val="00906F87"/>
    <w:rsid w:val="00906FAF"/>
    <w:rsid w:val="00907486"/>
    <w:rsid w:val="00907BAC"/>
    <w:rsid w:val="00907E59"/>
    <w:rsid w:val="00907E79"/>
    <w:rsid w:val="009100C9"/>
    <w:rsid w:val="00910173"/>
    <w:rsid w:val="009102CD"/>
    <w:rsid w:val="009108B6"/>
    <w:rsid w:val="00910D06"/>
    <w:rsid w:val="00910E56"/>
    <w:rsid w:val="00910F51"/>
    <w:rsid w:val="00911BDB"/>
    <w:rsid w:val="00911F2A"/>
    <w:rsid w:val="0091205E"/>
    <w:rsid w:val="009126DB"/>
    <w:rsid w:val="00912E36"/>
    <w:rsid w:val="00912F32"/>
    <w:rsid w:val="009131ED"/>
    <w:rsid w:val="00913517"/>
    <w:rsid w:val="0091356A"/>
    <w:rsid w:val="00913872"/>
    <w:rsid w:val="0091388C"/>
    <w:rsid w:val="00914580"/>
    <w:rsid w:val="009145FC"/>
    <w:rsid w:val="009148D7"/>
    <w:rsid w:val="00914ACA"/>
    <w:rsid w:val="00914CFA"/>
    <w:rsid w:val="00914E9B"/>
    <w:rsid w:val="00915B1F"/>
    <w:rsid w:val="00915BDA"/>
    <w:rsid w:val="00915F00"/>
    <w:rsid w:val="0091644B"/>
    <w:rsid w:val="00916642"/>
    <w:rsid w:val="00916BB5"/>
    <w:rsid w:val="00917370"/>
    <w:rsid w:val="0091763D"/>
    <w:rsid w:val="009176F6"/>
    <w:rsid w:val="00917B74"/>
    <w:rsid w:val="00917B80"/>
    <w:rsid w:val="00920082"/>
    <w:rsid w:val="009208DB"/>
    <w:rsid w:val="00920D2A"/>
    <w:rsid w:val="00921011"/>
    <w:rsid w:val="009210F4"/>
    <w:rsid w:val="00921486"/>
    <w:rsid w:val="009214B6"/>
    <w:rsid w:val="0092159F"/>
    <w:rsid w:val="009216D3"/>
    <w:rsid w:val="0092199B"/>
    <w:rsid w:val="00921A3B"/>
    <w:rsid w:val="00921F23"/>
    <w:rsid w:val="00921FAE"/>
    <w:rsid w:val="009220F0"/>
    <w:rsid w:val="0092232C"/>
    <w:rsid w:val="0092279F"/>
    <w:rsid w:val="00922A46"/>
    <w:rsid w:val="00922B79"/>
    <w:rsid w:val="00922B85"/>
    <w:rsid w:val="00922F11"/>
    <w:rsid w:val="00923E49"/>
    <w:rsid w:val="00923E5C"/>
    <w:rsid w:val="00924258"/>
    <w:rsid w:val="009254C5"/>
    <w:rsid w:val="00925BED"/>
    <w:rsid w:val="009263FA"/>
    <w:rsid w:val="009265FD"/>
    <w:rsid w:val="00926783"/>
    <w:rsid w:val="00926A8F"/>
    <w:rsid w:val="00926C10"/>
    <w:rsid w:val="00927462"/>
    <w:rsid w:val="009274AE"/>
    <w:rsid w:val="0093014A"/>
    <w:rsid w:val="009304BA"/>
    <w:rsid w:val="009306A9"/>
    <w:rsid w:val="00930702"/>
    <w:rsid w:val="009307B4"/>
    <w:rsid w:val="00930A89"/>
    <w:rsid w:val="00930EDF"/>
    <w:rsid w:val="009317CF"/>
    <w:rsid w:val="0093185E"/>
    <w:rsid w:val="009323C7"/>
    <w:rsid w:val="009328EC"/>
    <w:rsid w:val="00932A1C"/>
    <w:rsid w:val="00932DCD"/>
    <w:rsid w:val="00932FA7"/>
    <w:rsid w:val="0093324F"/>
    <w:rsid w:val="009332D9"/>
    <w:rsid w:val="00934461"/>
    <w:rsid w:val="009347A9"/>
    <w:rsid w:val="009348DD"/>
    <w:rsid w:val="00934D05"/>
    <w:rsid w:val="009352A0"/>
    <w:rsid w:val="009357D4"/>
    <w:rsid w:val="00935899"/>
    <w:rsid w:val="009358B9"/>
    <w:rsid w:val="00935E46"/>
    <w:rsid w:val="00936055"/>
    <w:rsid w:val="00936397"/>
    <w:rsid w:val="0093647B"/>
    <w:rsid w:val="0093656D"/>
    <w:rsid w:val="0093676F"/>
    <w:rsid w:val="00936C0D"/>
    <w:rsid w:val="00936EE5"/>
    <w:rsid w:val="00936F50"/>
    <w:rsid w:val="009374D5"/>
    <w:rsid w:val="009377F9"/>
    <w:rsid w:val="0093788A"/>
    <w:rsid w:val="009379A5"/>
    <w:rsid w:val="00937DB3"/>
    <w:rsid w:val="009407B0"/>
    <w:rsid w:val="00940A2F"/>
    <w:rsid w:val="00940BDE"/>
    <w:rsid w:val="00941501"/>
    <w:rsid w:val="00941D76"/>
    <w:rsid w:val="00941D8E"/>
    <w:rsid w:val="00943062"/>
    <w:rsid w:val="0094329E"/>
    <w:rsid w:val="0094332C"/>
    <w:rsid w:val="009435E5"/>
    <w:rsid w:val="00943C67"/>
    <w:rsid w:val="00943F21"/>
    <w:rsid w:val="00945542"/>
    <w:rsid w:val="009457B7"/>
    <w:rsid w:val="00945959"/>
    <w:rsid w:val="00945E8B"/>
    <w:rsid w:val="00945F00"/>
    <w:rsid w:val="00945F62"/>
    <w:rsid w:val="0094620E"/>
    <w:rsid w:val="0094671A"/>
    <w:rsid w:val="0094672D"/>
    <w:rsid w:val="009468FD"/>
    <w:rsid w:val="00946A54"/>
    <w:rsid w:val="00946DB8"/>
    <w:rsid w:val="00946E09"/>
    <w:rsid w:val="0094774C"/>
    <w:rsid w:val="00947D83"/>
    <w:rsid w:val="0095000E"/>
    <w:rsid w:val="00950932"/>
    <w:rsid w:val="0095117B"/>
    <w:rsid w:val="0095154A"/>
    <w:rsid w:val="00951602"/>
    <w:rsid w:val="009522BC"/>
    <w:rsid w:val="0095234A"/>
    <w:rsid w:val="009527B6"/>
    <w:rsid w:val="00952CCE"/>
    <w:rsid w:val="00952EBB"/>
    <w:rsid w:val="00953845"/>
    <w:rsid w:val="009538B8"/>
    <w:rsid w:val="0095417B"/>
    <w:rsid w:val="0095557C"/>
    <w:rsid w:val="00955816"/>
    <w:rsid w:val="00955B44"/>
    <w:rsid w:val="00955D28"/>
    <w:rsid w:val="00956755"/>
    <w:rsid w:val="00956937"/>
    <w:rsid w:val="00956C6A"/>
    <w:rsid w:val="009572C8"/>
    <w:rsid w:val="009576DA"/>
    <w:rsid w:val="0095790D"/>
    <w:rsid w:val="009579A9"/>
    <w:rsid w:val="0096019B"/>
    <w:rsid w:val="00960CCA"/>
    <w:rsid w:val="00961285"/>
    <w:rsid w:val="009613E0"/>
    <w:rsid w:val="00961BAE"/>
    <w:rsid w:val="00962446"/>
    <w:rsid w:val="009625A4"/>
    <w:rsid w:val="00962C2F"/>
    <w:rsid w:val="0096336B"/>
    <w:rsid w:val="00964271"/>
    <w:rsid w:val="009643DA"/>
    <w:rsid w:val="00964593"/>
    <w:rsid w:val="00964A16"/>
    <w:rsid w:val="00964CF6"/>
    <w:rsid w:val="00965442"/>
    <w:rsid w:val="009654B4"/>
    <w:rsid w:val="00965A63"/>
    <w:rsid w:val="00965C2D"/>
    <w:rsid w:val="0096643D"/>
    <w:rsid w:val="00966DED"/>
    <w:rsid w:val="00967307"/>
    <w:rsid w:val="00970113"/>
    <w:rsid w:val="00970460"/>
    <w:rsid w:val="0097060E"/>
    <w:rsid w:val="009708CE"/>
    <w:rsid w:val="00970F82"/>
    <w:rsid w:val="009712CE"/>
    <w:rsid w:val="009715C3"/>
    <w:rsid w:val="00971A52"/>
    <w:rsid w:val="00971AD4"/>
    <w:rsid w:val="00971B4A"/>
    <w:rsid w:val="00973386"/>
    <w:rsid w:val="0097409F"/>
    <w:rsid w:val="00975655"/>
    <w:rsid w:val="00975A60"/>
    <w:rsid w:val="00975D09"/>
    <w:rsid w:val="00976097"/>
    <w:rsid w:val="009765FC"/>
    <w:rsid w:val="0097682C"/>
    <w:rsid w:val="00976BC2"/>
    <w:rsid w:val="00976CA9"/>
    <w:rsid w:val="00976D72"/>
    <w:rsid w:val="00976D84"/>
    <w:rsid w:val="00976E18"/>
    <w:rsid w:val="00976ECE"/>
    <w:rsid w:val="00977020"/>
    <w:rsid w:val="0097784A"/>
    <w:rsid w:val="00977DED"/>
    <w:rsid w:val="00980885"/>
    <w:rsid w:val="00980A1E"/>
    <w:rsid w:val="00980B23"/>
    <w:rsid w:val="00981184"/>
    <w:rsid w:val="0098137B"/>
    <w:rsid w:val="009816D1"/>
    <w:rsid w:val="009816F2"/>
    <w:rsid w:val="00982295"/>
    <w:rsid w:val="00982551"/>
    <w:rsid w:val="0098300E"/>
    <w:rsid w:val="009839EC"/>
    <w:rsid w:val="00983CB7"/>
    <w:rsid w:val="00984134"/>
    <w:rsid w:val="00984369"/>
    <w:rsid w:val="009847F1"/>
    <w:rsid w:val="00984989"/>
    <w:rsid w:val="00984FA1"/>
    <w:rsid w:val="00985028"/>
    <w:rsid w:val="009856FA"/>
    <w:rsid w:val="0098589B"/>
    <w:rsid w:val="00985F22"/>
    <w:rsid w:val="00986388"/>
    <w:rsid w:val="00986AD3"/>
    <w:rsid w:val="00986F50"/>
    <w:rsid w:val="009874ED"/>
    <w:rsid w:val="009874F8"/>
    <w:rsid w:val="009875D2"/>
    <w:rsid w:val="009878CC"/>
    <w:rsid w:val="00987CEA"/>
    <w:rsid w:val="00990581"/>
    <w:rsid w:val="00990A40"/>
    <w:rsid w:val="00990E35"/>
    <w:rsid w:val="00990FED"/>
    <w:rsid w:val="00991116"/>
    <w:rsid w:val="00991830"/>
    <w:rsid w:val="0099251A"/>
    <w:rsid w:val="00992639"/>
    <w:rsid w:val="009927D9"/>
    <w:rsid w:val="00992D40"/>
    <w:rsid w:val="00993001"/>
    <w:rsid w:val="0099303A"/>
    <w:rsid w:val="009930AF"/>
    <w:rsid w:val="00993142"/>
    <w:rsid w:val="009934A3"/>
    <w:rsid w:val="0099350F"/>
    <w:rsid w:val="009937B4"/>
    <w:rsid w:val="009938E6"/>
    <w:rsid w:val="0099424B"/>
    <w:rsid w:val="009949E4"/>
    <w:rsid w:val="00994A62"/>
    <w:rsid w:val="009956C5"/>
    <w:rsid w:val="009962AB"/>
    <w:rsid w:val="0099656F"/>
    <w:rsid w:val="00996B83"/>
    <w:rsid w:val="009972CA"/>
    <w:rsid w:val="009973C4"/>
    <w:rsid w:val="009978C4"/>
    <w:rsid w:val="00997922"/>
    <w:rsid w:val="00997C86"/>
    <w:rsid w:val="00997FAA"/>
    <w:rsid w:val="009A00EB"/>
    <w:rsid w:val="009A03F1"/>
    <w:rsid w:val="009A0414"/>
    <w:rsid w:val="009A112F"/>
    <w:rsid w:val="009A16C7"/>
    <w:rsid w:val="009A188B"/>
    <w:rsid w:val="009A1A21"/>
    <w:rsid w:val="009A1C54"/>
    <w:rsid w:val="009A1FE5"/>
    <w:rsid w:val="009A23BA"/>
    <w:rsid w:val="009A2873"/>
    <w:rsid w:val="009A2935"/>
    <w:rsid w:val="009A2F1B"/>
    <w:rsid w:val="009A383D"/>
    <w:rsid w:val="009A3AD7"/>
    <w:rsid w:val="009A3D50"/>
    <w:rsid w:val="009A3D88"/>
    <w:rsid w:val="009A4215"/>
    <w:rsid w:val="009A47C9"/>
    <w:rsid w:val="009A4CC1"/>
    <w:rsid w:val="009A52B3"/>
    <w:rsid w:val="009A53EA"/>
    <w:rsid w:val="009A5E6C"/>
    <w:rsid w:val="009A6083"/>
    <w:rsid w:val="009A6277"/>
    <w:rsid w:val="009A63C5"/>
    <w:rsid w:val="009A685A"/>
    <w:rsid w:val="009A6E22"/>
    <w:rsid w:val="009A7404"/>
    <w:rsid w:val="009A79B7"/>
    <w:rsid w:val="009A7B8C"/>
    <w:rsid w:val="009A7C63"/>
    <w:rsid w:val="009A7D45"/>
    <w:rsid w:val="009B026C"/>
    <w:rsid w:val="009B08E8"/>
    <w:rsid w:val="009B09BD"/>
    <w:rsid w:val="009B11F4"/>
    <w:rsid w:val="009B137A"/>
    <w:rsid w:val="009B16D7"/>
    <w:rsid w:val="009B189C"/>
    <w:rsid w:val="009B1998"/>
    <w:rsid w:val="009B1B22"/>
    <w:rsid w:val="009B1D25"/>
    <w:rsid w:val="009B270F"/>
    <w:rsid w:val="009B2845"/>
    <w:rsid w:val="009B2B74"/>
    <w:rsid w:val="009B398B"/>
    <w:rsid w:val="009B3B64"/>
    <w:rsid w:val="009B3C97"/>
    <w:rsid w:val="009B3D9E"/>
    <w:rsid w:val="009B3EAC"/>
    <w:rsid w:val="009B4003"/>
    <w:rsid w:val="009B4137"/>
    <w:rsid w:val="009B417F"/>
    <w:rsid w:val="009B42F9"/>
    <w:rsid w:val="009B4E25"/>
    <w:rsid w:val="009B4E2F"/>
    <w:rsid w:val="009B5152"/>
    <w:rsid w:val="009B589F"/>
    <w:rsid w:val="009B5AD8"/>
    <w:rsid w:val="009B5B38"/>
    <w:rsid w:val="009B5CB7"/>
    <w:rsid w:val="009B5FC4"/>
    <w:rsid w:val="009B6342"/>
    <w:rsid w:val="009B6575"/>
    <w:rsid w:val="009B677C"/>
    <w:rsid w:val="009B7208"/>
    <w:rsid w:val="009B7CC8"/>
    <w:rsid w:val="009B7F4C"/>
    <w:rsid w:val="009C0696"/>
    <w:rsid w:val="009C0B15"/>
    <w:rsid w:val="009C0DCF"/>
    <w:rsid w:val="009C12F2"/>
    <w:rsid w:val="009C15DD"/>
    <w:rsid w:val="009C166B"/>
    <w:rsid w:val="009C182C"/>
    <w:rsid w:val="009C1E79"/>
    <w:rsid w:val="009C1FB4"/>
    <w:rsid w:val="009C2067"/>
    <w:rsid w:val="009C20BE"/>
    <w:rsid w:val="009C2504"/>
    <w:rsid w:val="009C2619"/>
    <w:rsid w:val="009C2821"/>
    <w:rsid w:val="009C2AA5"/>
    <w:rsid w:val="009C332D"/>
    <w:rsid w:val="009C332E"/>
    <w:rsid w:val="009C33E7"/>
    <w:rsid w:val="009C373D"/>
    <w:rsid w:val="009C4231"/>
    <w:rsid w:val="009C488B"/>
    <w:rsid w:val="009C4C6F"/>
    <w:rsid w:val="009C507B"/>
    <w:rsid w:val="009C543C"/>
    <w:rsid w:val="009C5540"/>
    <w:rsid w:val="009C555A"/>
    <w:rsid w:val="009C6180"/>
    <w:rsid w:val="009C655D"/>
    <w:rsid w:val="009C66F2"/>
    <w:rsid w:val="009C6F1C"/>
    <w:rsid w:val="009C7DF8"/>
    <w:rsid w:val="009D003E"/>
    <w:rsid w:val="009D0E5E"/>
    <w:rsid w:val="009D0F36"/>
    <w:rsid w:val="009D0FB4"/>
    <w:rsid w:val="009D10C0"/>
    <w:rsid w:val="009D1778"/>
    <w:rsid w:val="009D1CBC"/>
    <w:rsid w:val="009D1FB2"/>
    <w:rsid w:val="009D26E0"/>
    <w:rsid w:val="009D2760"/>
    <w:rsid w:val="009D28BE"/>
    <w:rsid w:val="009D2B6F"/>
    <w:rsid w:val="009D2F36"/>
    <w:rsid w:val="009D2FA2"/>
    <w:rsid w:val="009D3292"/>
    <w:rsid w:val="009D3B15"/>
    <w:rsid w:val="009D3BEF"/>
    <w:rsid w:val="009D3CA5"/>
    <w:rsid w:val="009D3D59"/>
    <w:rsid w:val="009D3FFD"/>
    <w:rsid w:val="009D4757"/>
    <w:rsid w:val="009D4925"/>
    <w:rsid w:val="009D49A9"/>
    <w:rsid w:val="009D4FF1"/>
    <w:rsid w:val="009D5470"/>
    <w:rsid w:val="009D559E"/>
    <w:rsid w:val="009D5C43"/>
    <w:rsid w:val="009D6101"/>
    <w:rsid w:val="009D6EA9"/>
    <w:rsid w:val="009D6F1C"/>
    <w:rsid w:val="009D73CE"/>
    <w:rsid w:val="009D7777"/>
    <w:rsid w:val="009E0508"/>
    <w:rsid w:val="009E0748"/>
    <w:rsid w:val="009E1636"/>
    <w:rsid w:val="009E16AF"/>
    <w:rsid w:val="009E1A06"/>
    <w:rsid w:val="009E1D7E"/>
    <w:rsid w:val="009E2984"/>
    <w:rsid w:val="009E2A44"/>
    <w:rsid w:val="009E2C60"/>
    <w:rsid w:val="009E2F4A"/>
    <w:rsid w:val="009E3044"/>
    <w:rsid w:val="009E364D"/>
    <w:rsid w:val="009E47C3"/>
    <w:rsid w:val="009E5044"/>
    <w:rsid w:val="009E5A7F"/>
    <w:rsid w:val="009E5CC5"/>
    <w:rsid w:val="009E5E70"/>
    <w:rsid w:val="009E6496"/>
    <w:rsid w:val="009E6B11"/>
    <w:rsid w:val="009E719D"/>
    <w:rsid w:val="009E7318"/>
    <w:rsid w:val="009E7A86"/>
    <w:rsid w:val="009E7CD6"/>
    <w:rsid w:val="009E7E82"/>
    <w:rsid w:val="009F01DD"/>
    <w:rsid w:val="009F02B3"/>
    <w:rsid w:val="009F0778"/>
    <w:rsid w:val="009F08B4"/>
    <w:rsid w:val="009F0C12"/>
    <w:rsid w:val="009F112B"/>
    <w:rsid w:val="009F1160"/>
    <w:rsid w:val="009F11FD"/>
    <w:rsid w:val="009F1299"/>
    <w:rsid w:val="009F1897"/>
    <w:rsid w:val="009F19DC"/>
    <w:rsid w:val="009F1BC0"/>
    <w:rsid w:val="009F1DF1"/>
    <w:rsid w:val="009F1FFD"/>
    <w:rsid w:val="009F2494"/>
    <w:rsid w:val="009F2534"/>
    <w:rsid w:val="009F2A3D"/>
    <w:rsid w:val="009F3378"/>
    <w:rsid w:val="009F3486"/>
    <w:rsid w:val="009F3650"/>
    <w:rsid w:val="009F36D0"/>
    <w:rsid w:val="009F470A"/>
    <w:rsid w:val="009F4F2F"/>
    <w:rsid w:val="009F5814"/>
    <w:rsid w:val="009F5821"/>
    <w:rsid w:val="009F5C70"/>
    <w:rsid w:val="009F5CE4"/>
    <w:rsid w:val="009F5FDB"/>
    <w:rsid w:val="009F6000"/>
    <w:rsid w:val="009F64E1"/>
    <w:rsid w:val="009F6781"/>
    <w:rsid w:val="009F680E"/>
    <w:rsid w:val="009F6893"/>
    <w:rsid w:val="009F68ED"/>
    <w:rsid w:val="009F6AA9"/>
    <w:rsid w:val="009F6FA9"/>
    <w:rsid w:val="009F70E7"/>
    <w:rsid w:val="009F728E"/>
    <w:rsid w:val="009F7AA8"/>
    <w:rsid w:val="009F7C3E"/>
    <w:rsid w:val="00A00CB7"/>
    <w:rsid w:val="00A00E32"/>
    <w:rsid w:val="00A0181D"/>
    <w:rsid w:val="00A01851"/>
    <w:rsid w:val="00A01C3D"/>
    <w:rsid w:val="00A01CFF"/>
    <w:rsid w:val="00A01D8C"/>
    <w:rsid w:val="00A01E54"/>
    <w:rsid w:val="00A01FA6"/>
    <w:rsid w:val="00A02224"/>
    <w:rsid w:val="00A0233E"/>
    <w:rsid w:val="00A023C9"/>
    <w:rsid w:val="00A026C8"/>
    <w:rsid w:val="00A028BB"/>
    <w:rsid w:val="00A02D45"/>
    <w:rsid w:val="00A031C2"/>
    <w:rsid w:val="00A033DA"/>
    <w:rsid w:val="00A034A0"/>
    <w:rsid w:val="00A037EE"/>
    <w:rsid w:val="00A03B79"/>
    <w:rsid w:val="00A03BB2"/>
    <w:rsid w:val="00A03DF7"/>
    <w:rsid w:val="00A04579"/>
    <w:rsid w:val="00A04ACD"/>
    <w:rsid w:val="00A0513D"/>
    <w:rsid w:val="00A0562B"/>
    <w:rsid w:val="00A0581C"/>
    <w:rsid w:val="00A05E30"/>
    <w:rsid w:val="00A05F95"/>
    <w:rsid w:val="00A06A05"/>
    <w:rsid w:val="00A0709D"/>
    <w:rsid w:val="00A07151"/>
    <w:rsid w:val="00A0776F"/>
    <w:rsid w:val="00A079E3"/>
    <w:rsid w:val="00A07EC8"/>
    <w:rsid w:val="00A10315"/>
    <w:rsid w:val="00A103BF"/>
    <w:rsid w:val="00A1097A"/>
    <w:rsid w:val="00A10996"/>
    <w:rsid w:val="00A11263"/>
    <w:rsid w:val="00A1149C"/>
    <w:rsid w:val="00A114FC"/>
    <w:rsid w:val="00A1164A"/>
    <w:rsid w:val="00A119A3"/>
    <w:rsid w:val="00A1215C"/>
    <w:rsid w:val="00A122EE"/>
    <w:rsid w:val="00A12475"/>
    <w:rsid w:val="00A12BEC"/>
    <w:rsid w:val="00A13173"/>
    <w:rsid w:val="00A133FF"/>
    <w:rsid w:val="00A13BED"/>
    <w:rsid w:val="00A13E82"/>
    <w:rsid w:val="00A14376"/>
    <w:rsid w:val="00A14398"/>
    <w:rsid w:val="00A147AD"/>
    <w:rsid w:val="00A14D0F"/>
    <w:rsid w:val="00A14D98"/>
    <w:rsid w:val="00A15AA2"/>
    <w:rsid w:val="00A15CA2"/>
    <w:rsid w:val="00A16407"/>
    <w:rsid w:val="00A164D1"/>
    <w:rsid w:val="00A173E1"/>
    <w:rsid w:val="00A1754D"/>
    <w:rsid w:val="00A176D0"/>
    <w:rsid w:val="00A20271"/>
    <w:rsid w:val="00A2028D"/>
    <w:rsid w:val="00A20969"/>
    <w:rsid w:val="00A20ABB"/>
    <w:rsid w:val="00A20DED"/>
    <w:rsid w:val="00A21D7C"/>
    <w:rsid w:val="00A2205D"/>
    <w:rsid w:val="00A223C6"/>
    <w:rsid w:val="00A2287F"/>
    <w:rsid w:val="00A22995"/>
    <w:rsid w:val="00A22A69"/>
    <w:rsid w:val="00A22A73"/>
    <w:rsid w:val="00A22CEC"/>
    <w:rsid w:val="00A22E70"/>
    <w:rsid w:val="00A230AA"/>
    <w:rsid w:val="00A2355C"/>
    <w:rsid w:val="00A2381F"/>
    <w:rsid w:val="00A23BA1"/>
    <w:rsid w:val="00A245A6"/>
    <w:rsid w:val="00A247BB"/>
    <w:rsid w:val="00A247D2"/>
    <w:rsid w:val="00A24869"/>
    <w:rsid w:val="00A248F7"/>
    <w:rsid w:val="00A24EF3"/>
    <w:rsid w:val="00A255FD"/>
    <w:rsid w:val="00A25704"/>
    <w:rsid w:val="00A25757"/>
    <w:rsid w:val="00A259F1"/>
    <w:rsid w:val="00A25C9B"/>
    <w:rsid w:val="00A26142"/>
    <w:rsid w:val="00A275CC"/>
    <w:rsid w:val="00A2774B"/>
    <w:rsid w:val="00A27CC4"/>
    <w:rsid w:val="00A27F84"/>
    <w:rsid w:val="00A310A2"/>
    <w:rsid w:val="00A3129D"/>
    <w:rsid w:val="00A315B7"/>
    <w:rsid w:val="00A31F57"/>
    <w:rsid w:val="00A320ED"/>
    <w:rsid w:val="00A32285"/>
    <w:rsid w:val="00A3232E"/>
    <w:rsid w:val="00A32E21"/>
    <w:rsid w:val="00A33090"/>
    <w:rsid w:val="00A3312C"/>
    <w:rsid w:val="00A33453"/>
    <w:rsid w:val="00A33F50"/>
    <w:rsid w:val="00A3448B"/>
    <w:rsid w:val="00A34CDE"/>
    <w:rsid w:val="00A34E1D"/>
    <w:rsid w:val="00A35050"/>
    <w:rsid w:val="00A35284"/>
    <w:rsid w:val="00A357C2"/>
    <w:rsid w:val="00A35902"/>
    <w:rsid w:val="00A35A08"/>
    <w:rsid w:val="00A35C92"/>
    <w:rsid w:val="00A35CC1"/>
    <w:rsid w:val="00A36020"/>
    <w:rsid w:val="00A3645A"/>
    <w:rsid w:val="00A3688C"/>
    <w:rsid w:val="00A36914"/>
    <w:rsid w:val="00A369C8"/>
    <w:rsid w:val="00A36C5C"/>
    <w:rsid w:val="00A37F9B"/>
    <w:rsid w:val="00A37FF9"/>
    <w:rsid w:val="00A409EE"/>
    <w:rsid w:val="00A40A31"/>
    <w:rsid w:val="00A40FC9"/>
    <w:rsid w:val="00A411E7"/>
    <w:rsid w:val="00A417ED"/>
    <w:rsid w:val="00A41E07"/>
    <w:rsid w:val="00A41F9A"/>
    <w:rsid w:val="00A420A0"/>
    <w:rsid w:val="00A423F6"/>
    <w:rsid w:val="00A42419"/>
    <w:rsid w:val="00A424CB"/>
    <w:rsid w:val="00A432C6"/>
    <w:rsid w:val="00A43D50"/>
    <w:rsid w:val="00A44195"/>
    <w:rsid w:val="00A44769"/>
    <w:rsid w:val="00A44CF7"/>
    <w:rsid w:val="00A45232"/>
    <w:rsid w:val="00A45D02"/>
    <w:rsid w:val="00A45E0E"/>
    <w:rsid w:val="00A45E6D"/>
    <w:rsid w:val="00A460BE"/>
    <w:rsid w:val="00A465A5"/>
    <w:rsid w:val="00A469C6"/>
    <w:rsid w:val="00A46A58"/>
    <w:rsid w:val="00A46B2E"/>
    <w:rsid w:val="00A46DFA"/>
    <w:rsid w:val="00A46EDF"/>
    <w:rsid w:val="00A46FD5"/>
    <w:rsid w:val="00A477FC"/>
    <w:rsid w:val="00A47820"/>
    <w:rsid w:val="00A47C80"/>
    <w:rsid w:val="00A47E17"/>
    <w:rsid w:val="00A47EF7"/>
    <w:rsid w:val="00A5037C"/>
    <w:rsid w:val="00A50400"/>
    <w:rsid w:val="00A5079B"/>
    <w:rsid w:val="00A509AF"/>
    <w:rsid w:val="00A50A20"/>
    <w:rsid w:val="00A50AD4"/>
    <w:rsid w:val="00A50CE9"/>
    <w:rsid w:val="00A518BE"/>
    <w:rsid w:val="00A51A26"/>
    <w:rsid w:val="00A51B7A"/>
    <w:rsid w:val="00A52025"/>
    <w:rsid w:val="00A521B6"/>
    <w:rsid w:val="00A521D0"/>
    <w:rsid w:val="00A52200"/>
    <w:rsid w:val="00A5225C"/>
    <w:rsid w:val="00A5275E"/>
    <w:rsid w:val="00A52E84"/>
    <w:rsid w:val="00A5389B"/>
    <w:rsid w:val="00A53B94"/>
    <w:rsid w:val="00A53E01"/>
    <w:rsid w:val="00A53E70"/>
    <w:rsid w:val="00A53EEB"/>
    <w:rsid w:val="00A53EFD"/>
    <w:rsid w:val="00A53FFD"/>
    <w:rsid w:val="00A54865"/>
    <w:rsid w:val="00A54EBE"/>
    <w:rsid w:val="00A558D2"/>
    <w:rsid w:val="00A55A2B"/>
    <w:rsid w:val="00A55A34"/>
    <w:rsid w:val="00A55B1E"/>
    <w:rsid w:val="00A5642B"/>
    <w:rsid w:val="00A56F99"/>
    <w:rsid w:val="00A56FDF"/>
    <w:rsid w:val="00A5752E"/>
    <w:rsid w:val="00A57616"/>
    <w:rsid w:val="00A57B4E"/>
    <w:rsid w:val="00A61774"/>
    <w:rsid w:val="00A61EC2"/>
    <w:rsid w:val="00A622EA"/>
    <w:rsid w:val="00A6236D"/>
    <w:rsid w:val="00A625CE"/>
    <w:rsid w:val="00A626F3"/>
    <w:rsid w:val="00A62C61"/>
    <w:rsid w:val="00A633CA"/>
    <w:rsid w:val="00A6381C"/>
    <w:rsid w:val="00A6387D"/>
    <w:rsid w:val="00A638A1"/>
    <w:rsid w:val="00A639AC"/>
    <w:rsid w:val="00A63A7D"/>
    <w:rsid w:val="00A6450B"/>
    <w:rsid w:val="00A6467F"/>
    <w:rsid w:val="00A6483A"/>
    <w:rsid w:val="00A64D7A"/>
    <w:rsid w:val="00A64EFE"/>
    <w:rsid w:val="00A65416"/>
    <w:rsid w:val="00A65882"/>
    <w:rsid w:val="00A65AC7"/>
    <w:rsid w:val="00A66B51"/>
    <w:rsid w:val="00A66C95"/>
    <w:rsid w:val="00A67600"/>
    <w:rsid w:val="00A67C01"/>
    <w:rsid w:val="00A67EB4"/>
    <w:rsid w:val="00A7058F"/>
    <w:rsid w:val="00A7077D"/>
    <w:rsid w:val="00A710A2"/>
    <w:rsid w:val="00A71432"/>
    <w:rsid w:val="00A716E5"/>
    <w:rsid w:val="00A71932"/>
    <w:rsid w:val="00A71A89"/>
    <w:rsid w:val="00A71F5D"/>
    <w:rsid w:val="00A72256"/>
    <w:rsid w:val="00A7352A"/>
    <w:rsid w:val="00A73B2E"/>
    <w:rsid w:val="00A73CDB"/>
    <w:rsid w:val="00A73EEC"/>
    <w:rsid w:val="00A73F0D"/>
    <w:rsid w:val="00A73F61"/>
    <w:rsid w:val="00A73FC5"/>
    <w:rsid w:val="00A74700"/>
    <w:rsid w:val="00A74FEB"/>
    <w:rsid w:val="00A75031"/>
    <w:rsid w:val="00A7537A"/>
    <w:rsid w:val="00A75AA2"/>
    <w:rsid w:val="00A75B45"/>
    <w:rsid w:val="00A764D9"/>
    <w:rsid w:val="00A76864"/>
    <w:rsid w:val="00A77A55"/>
    <w:rsid w:val="00A77A81"/>
    <w:rsid w:val="00A77B65"/>
    <w:rsid w:val="00A80030"/>
    <w:rsid w:val="00A808B1"/>
    <w:rsid w:val="00A80979"/>
    <w:rsid w:val="00A80A95"/>
    <w:rsid w:val="00A815A0"/>
    <w:rsid w:val="00A8211E"/>
    <w:rsid w:val="00A82882"/>
    <w:rsid w:val="00A82B06"/>
    <w:rsid w:val="00A82EC9"/>
    <w:rsid w:val="00A82FE9"/>
    <w:rsid w:val="00A83220"/>
    <w:rsid w:val="00A832A2"/>
    <w:rsid w:val="00A8357A"/>
    <w:rsid w:val="00A83EAA"/>
    <w:rsid w:val="00A8465D"/>
    <w:rsid w:val="00A84A40"/>
    <w:rsid w:val="00A85102"/>
    <w:rsid w:val="00A85596"/>
    <w:rsid w:val="00A864E1"/>
    <w:rsid w:val="00A8680D"/>
    <w:rsid w:val="00A86D09"/>
    <w:rsid w:val="00A87A42"/>
    <w:rsid w:val="00A87B3F"/>
    <w:rsid w:val="00A87D1D"/>
    <w:rsid w:val="00A906AC"/>
    <w:rsid w:val="00A90A94"/>
    <w:rsid w:val="00A90F8B"/>
    <w:rsid w:val="00A90FF9"/>
    <w:rsid w:val="00A910BF"/>
    <w:rsid w:val="00A914F6"/>
    <w:rsid w:val="00A91922"/>
    <w:rsid w:val="00A919EE"/>
    <w:rsid w:val="00A91A30"/>
    <w:rsid w:val="00A9214C"/>
    <w:rsid w:val="00A9267D"/>
    <w:rsid w:val="00A92948"/>
    <w:rsid w:val="00A92A1E"/>
    <w:rsid w:val="00A93322"/>
    <w:rsid w:val="00A938AB"/>
    <w:rsid w:val="00A94200"/>
    <w:rsid w:val="00A942A7"/>
    <w:rsid w:val="00A94668"/>
    <w:rsid w:val="00A94D61"/>
    <w:rsid w:val="00A94E5D"/>
    <w:rsid w:val="00A94E6F"/>
    <w:rsid w:val="00A95C6C"/>
    <w:rsid w:val="00A95F56"/>
    <w:rsid w:val="00A96166"/>
    <w:rsid w:val="00A96412"/>
    <w:rsid w:val="00A968A6"/>
    <w:rsid w:val="00A96B1A"/>
    <w:rsid w:val="00A96C7C"/>
    <w:rsid w:val="00A9733D"/>
    <w:rsid w:val="00A97350"/>
    <w:rsid w:val="00A975BD"/>
    <w:rsid w:val="00A975F8"/>
    <w:rsid w:val="00A976CD"/>
    <w:rsid w:val="00A97BD0"/>
    <w:rsid w:val="00A97C04"/>
    <w:rsid w:val="00A97DC7"/>
    <w:rsid w:val="00AA01A5"/>
    <w:rsid w:val="00AA075A"/>
    <w:rsid w:val="00AA0962"/>
    <w:rsid w:val="00AA1193"/>
    <w:rsid w:val="00AA1714"/>
    <w:rsid w:val="00AA18C2"/>
    <w:rsid w:val="00AA30F7"/>
    <w:rsid w:val="00AA32E8"/>
    <w:rsid w:val="00AA37D2"/>
    <w:rsid w:val="00AA3B2E"/>
    <w:rsid w:val="00AA40AA"/>
    <w:rsid w:val="00AA4439"/>
    <w:rsid w:val="00AA465C"/>
    <w:rsid w:val="00AA4934"/>
    <w:rsid w:val="00AA51EC"/>
    <w:rsid w:val="00AA52FF"/>
    <w:rsid w:val="00AA5A0D"/>
    <w:rsid w:val="00AA6244"/>
    <w:rsid w:val="00AA6723"/>
    <w:rsid w:val="00AA6A5D"/>
    <w:rsid w:val="00AA6A95"/>
    <w:rsid w:val="00AA6CB1"/>
    <w:rsid w:val="00AA6D59"/>
    <w:rsid w:val="00AA6F6A"/>
    <w:rsid w:val="00AA7002"/>
    <w:rsid w:val="00AA74A5"/>
    <w:rsid w:val="00AA7835"/>
    <w:rsid w:val="00AA79EF"/>
    <w:rsid w:val="00AA7E9E"/>
    <w:rsid w:val="00AB0846"/>
    <w:rsid w:val="00AB0975"/>
    <w:rsid w:val="00AB0BA8"/>
    <w:rsid w:val="00AB0DC0"/>
    <w:rsid w:val="00AB1092"/>
    <w:rsid w:val="00AB11CC"/>
    <w:rsid w:val="00AB1331"/>
    <w:rsid w:val="00AB1FB3"/>
    <w:rsid w:val="00AB39F1"/>
    <w:rsid w:val="00AB3C29"/>
    <w:rsid w:val="00AB3E66"/>
    <w:rsid w:val="00AB3E90"/>
    <w:rsid w:val="00AB42B2"/>
    <w:rsid w:val="00AB4342"/>
    <w:rsid w:val="00AB4654"/>
    <w:rsid w:val="00AB5047"/>
    <w:rsid w:val="00AB56AF"/>
    <w:rsid w:val="00AB59F6"/>
    <w:rsid w:val="00AB5B42"/>
    <w:rsid w:val="00AB5EFB"/>
    <w:rsid w:val="00AB678A"/>
    <w:rsid w:val="00AB68B5"/>
    <w:rsid w:val="00AB6905"/>
    <w:rsid w:val="00AB691B"/>
    <w:rsid w:val="00AB69F3"/>
    <w:rsid w:val="00AB6BF6"/>
    <w:rsid w:val="00AB6C41"/>
    <w:rsid w:val="00AB6FA8"/>
    <w:rsid w:val="00AB73E7"/>
    <w:rsid w:val="00AB74CB"/>
    <w:rsid w:val="00AB7ADF"/>
    <w:rsid w:val="00AC02D8"/>
    <w:rsid w:val="00AC05FC"/>
    <w:rsid w:val="00AC07FA"/>
    <w:rsid w:val="00AC095E"/>
    <w:rsid w:val="00AC0DF9"/>
    <w:rsid w:val="00AC1055"/>
    <w:rsid w:val="00AC143D"/>
    <w:rsid w:val="00AC16E1"/>
    <w:rsid w:val="00AC1763"/>
    <w:rsid w:val="00AC1FF1"/>
    <w:rsid w:val="00AC2034"/>
    <w:rsid w:val="00AC22D2"/>
    <w:rsid w:val="00AC2385"/>
    <w:rsid w:val="00AC269A"/>
    <w:rsid w:val="00AC28E5"/>
    <w:rsid w:val="00AC36B2"/>
    <w:rsid w:val="00AC370B"/>
    <w:rsid w:val="00AC3AFD"/>
    <w:rsid w:val="00AC3B38"/>
    <w:rsid w:val="00AC3B67"/>
    <w:rsid w:val="00AC3C3B"/>
    <w:rsid w:val="00AC43C9"/>
    <w:rsid w:val="00AC49D1"/>
    <w:rsid w:val="00AC4A7F"/>
    <w:rsid w:val="00AC4E58"/>
    <w:rsid w:val="00AC51FD"/>
    <w:rsid w:val="00AC59E9"/>
    <w:rsid w:val="00AC5D63"/>
    <w:rsid w:val="00AC62B0"/>
    <w:rsid w:val="00AC6312"/>
    <w:rsid w:val="00AC631A"/>
    <w:rsid w:val="00AC64D0"/>
    <w:rsid w:val="00AC705D"/>
    <w:rsid w:val="00AC7100"/>
    <w:rsid w:val="00AC77C1"/>
    <w:rsid w:val="00AC79B1"/>
    <w:rsid w:val="00AD0024"/>
    <w:rsid w:val="00AD05EF"/>
    <w:rsid w:val="00AD0666"/>
    <w:rsid w:val="00AD08E6"/>
    <w:rsid w:val="00AD09F2"/>
    <w:rsid w:val="00AD0B51"/>
    <w:rsid w:val="00AD1026"/>
    <w:rsid w:val="00AD12F0"/>
    <w:rsid w:val="00AD1724"/>
    <w:rsid w:val="00AD19D1"/>
    <w:rsid w:val="00AD31C7"/>
    <w:rsid w:val="00AD3370"/>
    <w:rsid w:val="00AD384F"/>
    <w:rsid w:val="00AD3883"/>
    <w:rsid w:val="00AD39A6"/>
    <w:rsid w:val="00AD3CEB"/>
    <w:rsid w:val="00AD4174"/>
    <w:rsid w:val="00AD41B2"/>
    <w:rsid w:val="00AD46B8"/>
    <w:rsid w:val="00AD46FB"/>
    <w:rsid w:val="00AD565F"/>
    <w:rsid w:val="00AD573B"/>
    <w:rsid w:val="00AD593B"/>
    <w:rsid w:val="00AD59C5"/>
    <w:rsid w:val="00AD5ACD"/>
    <w:rsid w:val="00AD5BD7"/>
    <w:rsid w:val="00AD5C1E"/>
    <w:rsid w:val="00AD5C3D"/>
    <w:rsid w:val="00AD64BD"/>
    <w:rsid w:val="00AD6D45"/>
    <w:rsid w:val="00AD707B"/>
    <w:rsid w:val="00AD7797"/>
    <w:rsid w:val="00AD77B7"/>
    <w:rsid w:val="00AE0031"/>
    <w:rsid w:val="00AE086D"/>
    <w:rsid w:val="00AE0AEA"/>
    <w:rsid w:val="00AE0E44"/>
    <w:rsid w:val="00AE13D8"/>
    <w:rsid w:val="00AE1647"/>
    <w:rsid w:val="00AE18A5"/>
    <w:rsid w:val="00AE1B81"/>
    <w:rsid w:val="00AE1BD4"/>
    <w:rsid w:val="00AE2108"/>
    <w:rsid w:val="00AE2191"/>
    <w:rsid w:val="00AE2311"/>
    <w:rsid w:val="00AE26B6"/>
    <w:rsid w:val="00AE323E"/>
    <w:rsid w:val="00AE3271"/>
    <w:rsid w:val="00AE35E9"/>
    <w:rsid w:val="00AE3B79"/>
    <w:rsid w:val="00AE4579"/>
    <w:rsid w:val="00AE4847"/>
    <w:rsid w:val="00AE4F54"/>
    <w:rsid w:val="00AE5109"/>
    <w:rsid w:val="00AE5385"/>
    <w:rsid w:val="00AE5D8B"/>
    <w:rsid w:val="00AE60EE"/>
    <w:rsid w:val="00AE6345"/>
    <w:rsid w:val="00AE6352"/>
    <w:rsid w:val="00AE63C0"/>
    <w:rsid w:val="00AE74A5"/>
    <w:rsid w:val="00AE7A1E"/>
    <w:rsid w:val="00AE7B7F"/>
    <w:rsid w:val="00AE7D1B"/>
    <w:rsid w:val="00AE7EFA"/>
    <w:rsid w:val="00AF020B"/>
    <w:rsid w:val="00AF03B6"/>
    <w:rsid w:val="00AF08C5"/>
    <w:rsid w:val="00AF08CE"/>
    <w:rsid w:val="00AF0BB2"/>
    <w:rsid w:val="00AF0BC6"/>
    <w:rsid w:val="00AF0E8A"/>
    <w:rsid w:val="00AF0F2B"/>
    <w:rsid w:val="00AF15E5"/>
    <w:rsid w:val="00AF19F9"/>
    <w:rsid w:val="00AF1F61"/>
    <w:rsid w:val="00AF2766"/>
    <w:rsid w:val="00AF2BFC"/>
    <w:rsid w:val="00AF33A4"/>
    <w:rsid w:val="00AF383C"/>
    <w:rsid w:val="00AF3CB7"/>
    <w:rsid w:val="00AF3E77"/>
    <w:rsid w:val="00AF40E9"/>
    <w:rsid w:val="00AF415B"/>
    <w:rsid w:val="00AF42E5"/>
    <w:rsid w:val="00AF4D3F"/>
    <w:rsid w:val="00AF4F85"/>
    <w:rsid w:val="00AF51CB"/>
    <w:rsid w:val="00AF57F1"/>
    <w:rsid w:val="00AF58D1"/>
    <w:rsid w:val="00AF5C28"/>
    <w:rsid w:val="00AF66FF"/>
    <w:rsid w:val="00AF6800"/>
    <w:rsid w:val="00AF6995"/>
    <w:rsid w:val="00AF70B5"/>
    <w:rsid w:val="00AF7790"/>
    <w:rsid w:val="00AF7AA9"/>
    <w:rsid w:val="00AF7B44"/>
    <w:rsid w:val="00B00095"/>
    <w:rsid w:val="00B00557"/>
    <w:rsid w:val="00B0065B"/>
    <w:rsid w:val="00B00759"/>
    <w:rsid w:val="00B00B46"/>
    <w:rsid w:val="00B00B5D"/>
    <w:rsid w:val="00B00CB7"/>
    <w:rsid w:val="00B01136"/>
    <w:rsid w:val="00B012FE"/>
    <w:rsid w:val="00B01598"/>
    <w:rsid w:val="00B01790"/>
    <w:rsid w:val="00B023F1"/>
    <w:rsid w:val="00B024DD"/>
    <w:rsid w:val="00B02541"/>
    <w:rsid w:val="00B02588"/>
    <w:rsid w:val="00B034CE"/>
    <w:rsid w:val="00B039B3"/>
    <w:rsid w:val="00B03DA8"/>
    <w:rsid w:val="00B0449B"/>
    <w:rsid w:val="00B04D5F"/>
    <w:rsid w:val="00B06C23"/>
    <w:rsid w:val="00B071DC"/>
    <w:rsid w:val="00B074F5"/>
    <w:rsid w:val="00B07D12"/>
    <w:rsid w:val="00B1027C"/>
    <w:rsid w:val="00B10360"/>
    <w:rsid w:val="00B106E8"/>
    <w:rsid w:val="00B10898"/>
    <w:rsid w:val="00B10D65"/>
    <w:rsid w:val="00B11376"/>
    <w:rsid w:val="00B113C2"/>
    <w:rsid w:val="00B11B79"/>
    <w:rsid w:val="00B11D10"/>
    <w:rsid w:val="00B11E7D"/>
    <w:rsid w:val="00B11FB8"/>
    <w:rsid w:val="00B120B8"/>
    <w:rsid w:val="00B120DA"/>
    <w:rsid w:val="00B1245C"/>
    <w:rsid w:val="00B1254B"/>
    <w:rsid w:val="00B1289D"/>
    <w:rsid w:val="00B12A49"/>
    <w:rsid w:val="00B12DBE"/>
    <w:rsid w:val="00B13201"/>
    <w:rsid w:val="00B132B4"/>
    <w:rsid w:val="00B146D4"/>
    <w:rsid w:val="00B14AB3"/>
    <w:rsid w:val="00B14E24"/>
    <w:rsid w:val="00B14EAA"/>
    <w:rsid w:val="00B15187"/>
    <w:rsid w:val="00B153C2"/>
    <w:rsid w:val="00B16252"/>
    <w:rsid w:val="00B16689"/>
    <w:rsid w:val="00B16AEB"/>
    <w:rsid w:val="00B16C61"/>
    <w:rsid w:val="00B16E4C"/>
    <w:rsid w:val="00B172B3"/>
    <w:rsid w:val="00B1749B"/>
    <w:rsid w:val="00B17588"/>
    <w:rsid w:val="00B17699"/>
    <w:rsid w:val="00B17B97"/>
    <w:rsid w:val="00B17DC3"/>
    <w:rsid w:val="00B20556"/>
    <w:rsid w:val="00B20CA1"/>
    <w:rsid w:val="00B20E66"/>
    <w:rsid w:val="00B2132A"/>
    <w:rsid w:val="00B214B3"/>
    <w:rsid w:val="00B21670"/>
    <w:rsid w:val="00B22236"/>
    <w:rsid w:val="00B22479"/>
    <w:rsid w:val="00B22F98"/>
    <w:rsid w:val="00B23049"/>
    <w:rsid w:val="00B23394"/>
    <w:rsid w:val="00B23DAB"/>
    <w:rsid w:val="00B23E15"/>
    <w:rsid w:val="00B23F10"/>
    <w:rsid w:val="00B24201"/>
    <w:rsid w:val="00B24398"/>
    <w:rsid w:val="00B248BB"/>
    <w:rsid w:val="00B24B99"/>
    <w:rsid w:val="00B24CF6"/>
    <w:rsid w:val="00B25892"/>
    <w:rsid w:val="00B25952"/>
    <w:rsid w:val="00B25D87"/>
    <w:rsid w:val="00B263A6"/>
    <w:rsid w:val="00B267A6"/>
    <w:rsid w:val="00B269DD"/>
    <w:rsid w:val="00B26CFD"/>
    <w:rsid w:val="00B26DFC"/>
    <w:rsid w:val="00B279F4"/>
    <w:rsid w:val="00B300B5"/>
    <w:rsid w:val="00B3050A"/>
    <w:rsid w:val="00B30D9B"/>
    <w:rsid w:val="00B30EE0"/>
    <w:rsid w:val="00B30F20"/>
    <w:rsid w:val="00B3108E"/>
    <w:rsid w:val="00B3186C"/>
    <w:rsid w:val="00B318AC"/>
    <w:rsid w:val="00B32363"/>
    <w:rsid w:val="00B3397E"/>
    <w:rsid w:val="00B33AF4"/>
    <w:rsid w:val="00B33CAF"/>
    <w:rsid w:val="00B3403B"/>
    <w:rsid w:val="00B34491"/>
    <w:rsid w:val="00B34FD7"/>
    <w:rsid w:val="00B35A48"/>
    <w:rsid w:val="00B35BDC"/>
    <w:rsid w:val="00B35F18"/>
    <w:rsid w:val="00B36B87"/>
    <w:rsid w:val="00B36CFA"/>
    <w:rsid w:val="00B36EF8"/>
    <w:rsid w:val="00B37697"/>
    <w:rsid w:val="00B3770F"/>
    <w:rsid w:val="00B37A13"/>
    <w:rsid w:val="00B37DD1"/>
    <w:rsid w:val="00B40574"/>
    <w:rsid w:val="00B40F8D"/>
    <w:rsid w:val="00B40FF1"/>
    <w:rsid w:val="00B4101D"/>
    <w:rsid w:val="00B411FC"/>
    <w:rsid w:val="00B413FA"/>
    <w:rsid w:val="00B41874"/>
    <w:rsid w:val="00B41E65"/>
    <w:rsid w:val="00B4250F"/>
    <w:rsid w:val="00B42562"/>
    <w:rsid w:val="00B428CD"/>
    <w:rsid w:val="00B4295A"/>
    <w:rsid w:val="00B44BD4"/>
    <w:rsid w:val="00B44DF0"/>
    <w:rsid w:val="00B44F60"/>
    <w:rsid w:val="00B457CC"/>
    <w:rsid w:val="00B459C6"/>
    <w:rsid w:val="00B45CAC"/>
    <w:rsid w:val="00B4616B"/>
    <w:rsid w:val="00B462CA"/>
    <w:rsid w:val="00B46426"/>
    <w:rsid w:val="00B46AED"/>
    <w:rsid w:val="00B46AF2"/>
    <w:rsid w:val="00B46B24"/>
    <w:rsid w:val="00B471D8"/>
    <w:rsid w:val="00B4772F"/>
    <w:rsid w:val="00B47920"/>
    <w:rsid w:val="00B47CC9"/>
    <w:rsid w:val="00B47E35"/>
    <w:rsid w:val="00B50059"/>
    <w:rsid w:val="00B50555"/>
    <w:rsid w:val="00B50582"/>
    <w:rsid w:val="00B507F4"/>
    <w:rsid w:val="00B5089D"/>
    <w:rsid w:val="00B508EA"/>
    <w:rsid w:val="00B5092B"/>
    <w:rsid w:val="00B50D47"/>
    <w:rsid w:val="00B50D6D"/>
    <w:rsid w:val="00B510E8"/>
    <w:rsid w:val="00B513B9"/>
    <w:rsid w:val="00B5160A"/>
    <w:rsid w:val="00B51C4B"/>
    <w:rsid w:val="00B51FB1"/>
    <w:rsid w:val="00B52071"/>
    <w:rsid w:val="00B5241B"/>
    <w:rsid w:val="00B5248B"/>
    <w:rsid w:val="00B527B3"/>
    <w:rsid w:val="00B528C4"/>
    <w:rsid w:val="00B52952"/>
    <w:rsid w:val="00B52AD5"/>
    <w:rsid w:val="00B52CD1"/>
    <w:rsid w:val="00B52E38"/>
    <w:rsid w:val="00B52F19"/>
    <w:rsid w:val="00B53182"/>
    <w:rsid w:val="00B54502"/>
    <w:rsid w:val="00B5473B"/>
    <w:rsid w:val="00B555D3"/>
    <w:rsid w:val="00B555FC"/>
    <w:rsid w:val="00B55878"/>
    <w:rsid w:val="00B567D7"/>
    <w:rsid w:val="00B57127"/>
    <w:rsid w:val="00B57EAD"/>
    <w:rsid w:val="00B60253"/>
    <w:rsid w:val="00B606F7"/>
    <w:rsid w:val="00B6084D"/>
    <w:rsid w:val="00B6099C"/>
    <w:rsid w:val="00B6116D"/>
    <w:rsid w:val="00B61318"/>
    <w:rsid w:val="00B6148D"/>
    <w:rsid w:val="00B616E5"/>
    <w:rsid w:val="00B6260C"/>
    <w:rsid w:val="00B63B02"/>
    <w:rsid w:val="00B63F27"/>
    <w:rsid w:val="00B64407"/>
    <w:rsid w:val="00B648A1"/>
    <w:rsid w:val="00B6498E"/>
    <w:rsid w:val="00B65202"/>
    <w:rsid w:val="00B6537F"/>
    <w:rsid w:val="00B65594"/>
    <w:rsid w:val="00B658B9"/>
    <w:rsid w:val="00B65DEB"/>
    <w:rsid w:val="00B6603A"/>
    <w:rsid w:val="00B66892"/>
    <w:rsid w:val="00B6693C"/>
    <w:rsid w:val="00B66FD0"/>
    <w:rsid w:val="00B66FED"/>
    <w:rsid w:val="00B677D0"/>
    <w:rsid w:val="00B67A0D"/>
    <w:rsid w:val="00B67FBF"/>
    <w:rsid w:val="00B70394"/>
    <w:rsid w:val="00B7045B"/>
    <w:rsid w:val="00B7049E"/>
    <w:rsid w:val="00B704AD"/>
    <w:rsid w:val="00B706D5"/>
    <w:rsid w:val="00B70E64"/>
    <w:rsid w:val="00B71567"/>
    <w:rsid w:val="00B71619"/>
    <w:rsid w:val="00B719E4"/>
    <w:rsid w:val="00B71C6F"/>
    <w:rsid w:val="00B7239D"/>
    <w:rsid w:val="00B724CB"/>
    <w:rsid w:val="00B7296F"/>
    <w:rsid w:val="00B72BEC"/>
    <w:rsid w:val="00B73883"/>
    <w:rsid w:val="00B738D9"/>
    <w:rsid w:val="00B74298"/>
    <w:rsid w:val="00B74367"/>
    <w:rsid w:val="00B746FD"/>
    <w:rsid w:val="00B74B87"/>
    <w:rsid w:val="00B751D3"/>
    <w:rsid w:val="00B754D4"/>
    <w:rsid w:val="00B75577"/>
    <w:rsid w:val="00B75700"/>
    <w:rsid w:val="00B759B4"/>
    <w:rsid w:val="00B75CD3"/>
    <w:rsid w:val="00B75E49"/>
    <w:rsid w:val="00B75ED0"/>
    <w:rsid w:val="00B75F01"/>
    <w:rsid w:val="00B7635C"/>
    <w:rsid w:val="00B778DA"/>
    <w:rsid w:val="00B7790F"/>
    <w:rsid w:val="00B8005C"/>
    <w:rsid w:val="00B80220"/>
    <w:rsid w:val="00B808EB"/>
    <w:rsid w:val="00B81115"/>
    <w:rsid w:val="00B81821"/>
    <w:rsid w:val="00B81CC4"/>
    <w:rsid w:val="00B81F0D"/>
    <w:rsid w:val="00B82365"/>
    <w:rsid w:val="00B824E7"/>
    <w:rsid w:val="00B82ADC"/>
    <w:rsid w:val="00B8309C"/>
    <w:rsid w:val="00B8390B"/>
    <w:rsid w:val="00B8398B"/>
    <w:rsid w:val="00B8399B"/>
    <w:rsid w:val="00B83A76"/>
    <w:rsid w:val="00B83CBB"/>
    <w:rsid w:val="00B84071"/>
    <w:rsid w:val="00B845E4"/>
    <w:rsid w:val="00B867DF"/>
    <w:rsid w:val="00B86B16"/>
    <w:rsid w:val="00B86DA9"/>
    <w:rsid w:val="00B86ECD"/>
    <w:rsid w:val="00B8722C"/>
    <w:rsid w:val="00B87451"/>
    <w:rsid w:val="00B87C03"/>
    <w:rsid w:val="00B87CBF"/>
    <w:rsid w:val="00B902B6"/>
    <w:rsid w:val="00B905D4"/>
    <w:rsid w:val="00B907A7"/>
    <w:rsid w:val="00B90B2C"/>
    <w:rsid w:val="00B90D1B"/>
    <w:rsid w:val="00B90D34"/>
    <w:rsid w:val="00B90FFA"/>
    <w:rsid w:val="00B913B0"/>
    <w:rsid w:val="00B91505"/>
    <w:rsid w:val="00B91918"/>
    <w:rsid w:val="00B925AE"/>
    <w:rsid w:val="00B938CF"/>
    <w:rsid w:val="00B93BD3"/>
    <w:rsid w:val="00B94223"/>
    <w:rsid w:val="00B94454"/>
    <w:rsid w:val="00B952AC"/>
    <w:rsid w:val="00B95336"/>
    <w:rsid w:val="00B9585D"/>
    <w:rsid w:val="00B958F2"/>
    <w:rsid w:val="00B95994"/>
    <w:rsid w:val="00B95C02"/>
    <w:rsid w:val="00B95C5F"/>
    <w:rsid w:val="00B95CFF"/>
    <w:rsid w:val="00B96296"/>
    <w:rsid w:val="00B968FF"/>
    <w:rsid w:val="00B96944"/>
    <w:rsid w:val="00B96C38"/>
    <w:rsid w:val="00B96D87"/>
    <w:rsid w:val="00B96FDE"/>
    <w:rsid w:val="00B97270"/>
    <w:rsid w:val="00B972CE"/>
    <w:rsid w:val="00B9742D"/>
    <w:rsid w:val="00B9778F"/>
    <w:rsid w:val="00B97B9D"/>
    <w:rsid w:val="00B97FEA"/>
    <w:rsid w:val="00BA03E6"/>
    <w:rsid w:val="00BA093E"/>
    <w:rsid w:val="00BA0CB6"/>
    <w:rsid w:val="00BA0D98"/>
    <w:rsid w:val="00BA1A97"/>
    <w:rsid w:val="00BA1BAE"/>
    <w:rsid w:val="00BA265E"/>
    <w:rsid w:val="00BA2A13"/>
    <w:rsid w:val="00BA2C72"/>
    <w:rsid w:val="00BA3BAE"/>
    <w:rsid w:val="00BA3F88"/>
    <w:rsid w:val="00BA3FBE"/>
    <w:rsid w:val="00BA4711"/>
    <w:rsid w:val="00BA50A9"/>
    <w:rsid w:val="00BA522D"/>
    <w:rsid w:val="00BA55E5"/>
    <w:rsid w:val="00BA5988"/>
    <w:rsid w:val="00BA685E"/>
    <w:rsid w:val="00BA7150"/>
    <w:rsid w:val="00BA7B20"/>
    <w:rsid w:val="00BA7B74"/>
    <w:rsid w:val="00BA7C35"/>
    <w:rsid w:val="00BA7CC8"/>
    <w:rsid w:val="00BA7D9A"/>
    <w:rsid w:val="00BB00DD"/>
    <w:rsid w:val="00BB03ED"/>
    <w:rsid w:val="00BB0671"/>
    <w:rsid w:val="00BB06AB"/>
    <w:rsid w:val="00BB0A5D"/>
    <w:rsid w:val="00BB0EE7"/>
    <w:rsid w:val="00BB0FEC"/>
    <w:rsid w:val="00BB1361"/>
    <w:rsid w:val="00BB14CD"/>
    <w:rsid w:val="00BB14E5"/>
    <w:rsid w:val="00BB14F9"/>
    <w:rsid w:val="00BB15BD"/>
    <w:rsid w:val="00BB1B7A"/>
    <w:rsid w:val="00BB2280"/>
    <w:rsid w:val="00BB22EE"/>
    <w:rsid w:val="00BB24E9"/>
    <w:rsid w:val="00BB287A"/>
    <w:rsid w:val="00BB2AAA"/>
    <w:rsid w:val="00BB2CA4"/>
    <w:rsid w:val="00BB348C"/>
    <w:rsid w:val="00BB39B0"/>
    <w:rsid w:val="00BB3C66"/>
    <w:rsid w:val="00BB4194"/>
    <w:rsid w:val="00BB42C1"/>
    <w:rsid w:val="00BB45B6"/>
    <w:rsid w:val="00BB551B"/>
    <w:rsid w:val="00BB586F"/>
    <w:rsid w:val="00BB5C4C"/>
    <w:rsid w:val="00BB5CDF"/>
    <w:rsid w:val="00BB6F46"/>
    <w:rsid w:val="00BB7368"/>
    <w:rsid w:val="00BB799C"/>
    <w:rsid w:val="00BB7AD5"/>
    <w:rsid w:val="00BB7BCC"/>
    <w:rsid w:val="00BC0789"/>
    <w:rsid w:val="00BC0AEA"/>
    <w:rsid w:val="00BC0CA8"/>
    <w:rsid w:val="00BC0D42"/>
    <w:rsid w:val="00BC0F7C"/>
    <w:rsid w:val="00BC1184"/>
    <w:rsid w:val="00BC15FF"/>
    <w:rsid w:val="00BC18C7"/>
    <w:rsid w:val="00BC1CBE"/>
    <w:rsid w:val="00BC214E"/>
    <w:rsid w:val="00BC2936"/>
    <w:rsid w:val="00BC2DF1"/>
    <w:rsid w:val="00BC3114"/>
    <w:rsid w:val="00BC3525"/>
    <w:rsid w:val="00BC39D6"/>
    <w:rsid w:val="00BC3E15"/>
    <w:rsid w:val="00BC41DE"/>
    <w:rsid w:val="00BC4B57"/>
    <w:rsid w:val="00BC56AE"/>
    <w:rsid w:val="00BC57D5"/>
    <w:rsid w:val="00BC5FB0"/>
    <w:rsid w:val="00BC5FE0"/>
    <w:rsid w:val="00BC6EC0"/>
    <w:rsid w:val="00BC7A46"/>
    <w:rsid w:val="00BC7B35"/>
    <w:rsid w:val="00BD018F"/>
    <w:rsid w:val="00BD01EB"/>
    <w:rsid w:val="00BD0930"/>
    <w:rsid w:val="00BD0950"/>
    <w:rsid w:val="00BD0B62"/>
    <w:rsid w:val="00BD0B85"/>
    <w:rsid w:val="00BD0DA4"/>
    <w:rsid w:val="00BD13AF"/>
    <w:rsid w:val="00BD145A"/>
    <w:rsid w:val="00BD1512"/>
    <w:rsid w:val="00BD2031"/>
    <w:rsid w:val="00BD2057"/>
    <w:rsid w:val="00BD3066"/>
    <w:rsid w:val="00BD3529"/>
    <w:rsid w:val="00BD38A0"/>
    <w:rsid w:val="00BD3933"/>
    <w:rsid w:val="00BD3C1F"/>
    <w:rsid w:val="00BD3E2B"/>
    <w:rsid w:val="00BD477F"/>
    <w:rsid w:val="00BD4FC5"/>
    <w:rsid w:val="00BD50EC"/>
    <w:rsid w:val="00BD5378"/>
    <w:rsid w:val="00BD5631"/>
    <w:rsid w:val="00BD5FF9"/>
    <w:rsid w:val="00BD648D"/>
    <w:rsid w:val="00BD6ECC"/>
    <w:rsid w:val="00BD6F15"/>
    <w:rsid w:val="00BD7289"/>
    <w:rsid w:val="00BD73E3"/>
    <w:rsid w:val="00BD78A8"/>
    <w:rsid w:val="00BD7C55"/>
    <w:rsid w:val="00BD7CBF"/>
    <w:rsid w:val="00BD7D97"/>
    <w:rsid w:val="00BE0301"/>
    <w:rsid w:val="00BE03EC"/>
    <w:rsid w:val="00BE0B24"/>
    <w:rsid w:val="00BE0DFF"/>
    <w:rsid w:val="00BE0F13"/>
    <w:rsid w:val="00BE0F1A"/>
    <w:rsid w:val="00BE1181"/>
    <w:rsid w:val="00BE13A9"/>
    <w:rsid w:val="00BE17E4"/>
    <w:rsid w:val="00BE1A8B"/>
    <w:rsid w:val="00BE1F9B"/>
    <w:rsid w:val="00BE21F5"/>
    <w:rsid w:val="00BE23DF"/>
    <w:rsid w:val="00BE2738"/>
    <w:rsid w:val="00BE2896"/>
    <w:rsid w:val="00BE2A6D"/>
    <w:rsid w:val="00BE2C46"/>
    <w:rsid w:val="00BE3603"/>
    <w:rsid w:val="00BE38AF"/>
    <w:rsid w:val="00BE38CE"/>
    <w:rsid w:val="00BE3BCC"/>
    <w:rsid w:val="00BE3CA2"/>
    <w:rsid w:val="00BE3E13"/>
    <w:rsid w:val="00BE43E5"/>
    <w:rsid w:val="00BE48C1"/>
    <w:rsid w:val="00BE506A"/>
    <w:rsid w:val="00BE568F"/>
    <w:rsid w:val="00BE581F"/>
    <w:rsid w:val="00BE5FC4"/>
    <w:rsid w:val="00BE631F"/>
    <w:rsid w:val="00BE70A2"/>
    <w:rsid w:val="00BE737A"/>
    <w:rsid w:val="00BE7535"/>
    <w:rsid w:val="00BE7A26"/>
    <w:rsid w:val="00BF00BE"/>
    <w:rsid w:val="00BF02D3"/>
    <w:rsid w:val="00BF0324"/>
    <w:rsid w:val="00BF04CC"/>
    <w:rsid w:val="00BF05B2"/>
    <w:rsid w:val="00BF0869"/>
    <w:rsid w:val="00BF11BE"/>
    <w:rsid w:val="00BF12DE"/>
    <w:rsid w:val="00BF1460"/>
    <w:rsid w:val="00BF1FAD"/>
    <w:rsid w:val="00BF238F"/>
    <w:rsid w:val="00BF4224"/>
    <w:rsid w:val="00BF47F4"/>
    <w:rsid w:val="00BF4C74"/>
    <w:rsid w:val="00BF54BB"/>
    <w:rsid w:val="00BF61D2"/>
    <w:rsid w:val="00BF647D"/>
    <w:rsid w:val="00BF668B"/>
    <w:rsid w:val="00BF6B4C"/>
    <w:rsid w:val="00BF6E6F"/>
    <w:rsid w:val="00BF70C5"/>
    <w:rsid w:val="00BF7147"/>
    <w:rsid w:val="00BF752A"/>
    <w:rsid w:val="00BF7CF2"/>
    <w:rsid w:val="00C00C14"/>
    <w:rsid w:val="00C00FA1"/>
    <w:rsid w:val="00C01351"/>
    <w:rsid w:val="00C016A5"/>
    <w:rsid w:val="00C01AAC"/>
    <w:rsid w:val="00C01C77"/>
    <w:rsid w:val="00C01CC2"/>
    <w:rsid w:val="00C01DCF"/>
    <w:rsid w:val="00C02985"/>
    <w:rsid w:val="00C029FC"/>
    <w:rsid w:val="00C02A13"/>
    <w:rsid w:val="00C02AB3"/>
    <w:rsid w:val="00C02B8F"/>
    <w:rsid w:val="00C02C08"/>
    <w:rsid w:val="00C02DDB"/>
    <w:rsid w:val="00C03D52"/>
    <w:rsid w:val="00C04117"/>
    <w:rsid w:val="00C04340"/>
    <w:rsid w:val="00C04455"/>
    <w:rsid w:val="00C04B9B"/>
    <w:rsid w:val="00C04C1B"/>
    <w:rsid w:val="00C05B2F"/>
    <w:rsid w:val="00C06D26"/>
    <w:rsid w:val="00C06E52"/>
    <w:rsid w:val="00C07127"/>
    <w:rsid w:val="00C07B21"/>
    <w:rsid w:val="00C07B57"/>
    <w:rsid w:val="00C07D43"/>
    <w:rsid w:val="00C10334"/>
    <w:rsid w:val="00C10D0F"/>
    <w:rsid w:val="00C10E8C"/>
    <w:rsid w:val="00C10EA6"/>
    <w:rsid w:val="00C10EB1"/>
    <w:rsid w:val="00C113B5"/>
    <w:rsid w:val="00C117C5"/>
    <w:rsid w:val="00C11970"/>
    <w:rsid w:val="00C11A7B"/>
    <w:rsid w:val="00C11EA5"/>
    <w:rsid w:val="00C1205F"/>
    <w:rsid w:val="00C121EF"/>
    <w:rsid w:val="00C122BD"/>
    <w:rsid w:val="00C1289D"/>
    <w:rsid w:val="00C12B6D"/>
    <w:rsid w:val="00C12B7D"/>
    <w:rsid w:val="00C13654"/>
    <w:rsid w:val="00C13A46"/>
    <w:rsid w:val="00C143D5"/>
    <w:rsid w:val="00C14953"/>
    <w:rsid w:val="00C14A1B"/>
    <w:rsid w:val="00C14EF4"/>
    <w:rsid w:val="00C151BF"/>
    <w:rsid w:val="00C15CA0"/>
    <w:rsid w:val="00C162DD"/>
    <w:rsid w:val="00C1637E"/>
    <w:rsid w:val="00C1638A"/>
    <w:rsid w:val="00C16A26"/>
    <w:rsid w:val="00C16AAC"/>
    <w:rsid w:val="00C16CF8"/>
    <w:rsid w:val="00C178C1"/>
    <w:rsid w:val="00C17CB4"/>
    <w:rsid w:val="00C17D2A"/>
    <w:rsid w:val="00C20117"/>
    <w:rsid w:val="00C20226"/>
    <w:rsid w:val="00C20608"/>
    <w:rsid w:val="00C20CDC"/>
    <w:rsid w:val="00C20F2C"/>
    <w:rsid w:val="00C2107B"/>
    <w:rsid w:val="00C2135B"/>
    <w:rsid w:val="00C21BD7"/>
    <w:rsid w:val="00C2207B"/>
    <w:rsid w:val="00C221CC"/>
    <w:rsid w:val="00C223DF"/>
    <w:rsid w:val="00C22CD3"/>
    <w:rsid w:val="00C236B0"/>
    <w:rsid w:val="00C23C8C"/>
    <w:rsid w:val="00C23D13"/>
    <w:rsid w:val="00C23E66"/>
    <w:rsid w:val="00C24375"/>
    <w:rsid w:val="00C244D9"/>
    <w:rsid w:val="00C2497C"/>
    <w:rsid w:val="00C24B1A"/>
    <w:rsid w:val="00C24EE3"/>
    <w:rsid w:val="00C252EE"/>
    <w:rsid w:val="00C25880"/>
    <w:rsid w:val="00C2614C"/>
    <w:rsid w:val="00C263E0"/>
    <w:rsid w:val="00C2684F"/>
    <w:rsid w:val="00C273A5"/>
    <w:rsid w:val="00C273FA"/>
    <w:rsid w:val="00C2743B"/>
    <w:rsid w:val="00C27FAE"/>
    <w:rsid w:val="00C27FD2"/>
    <w:rsid w:val="00C30282"/>
    <w:rsid w:val="00C30294"/>
    <w:rsid w:val="00C30A6C"/>
    <w:rsid w:val="00C30C4A"/>
    <w:rsid w:val="00C3158E"/>
    <w:rsid w:val="00C31B7C"/>
    <w:rsid w:val="00C31BDC"/>
    <w:rsid w:val="00C32794"/>
    <w:rsid w:val="00C327BD"/>
    <w:rsid w:val="00C3323D"/>
    <w:rsid w:val="00C333E7"/>
    <w:rsid w:val="00C339F8"/>
    <w:rsid w:val="00C33DA8"/>
    <w:rsid w:val="00C348DC"/>
    <w:rsid w:val="00C34C07"/>
    <w:rsid w:val="00C34E2A"/>
    <w:rsid w:val="00C353D5"/>
    <w:rsid w:val="00C35D53"/>
    <w:rsid w:val="00C35E38"/>
    <w:rsid w:val="00C35E65"/>
    <w:rsid w:val="00C3633E"/>
    <w:rsid w:val="00C36A1F"/>
    <w:rsid w:val="00C36D33"/>
    <w:rsid w:val="00C36D7D"/>
    <w:rsid w:val="00C3715C"/>
    <w:rsid w:val="00C37423"/>
    <w:rsid w:val="00C37794"/>
    <w:rsid w:val="00C37E9A"/>
    <w:rsid w:val="00C40A7E"/>
    <w:rsid w:val="00C40B86"/>
    <w:rsid w:val="00C412E2"/>
    <w:rsid w:val="00C41F29"/>
    <w:rsid w:val="00C42534"/>
    <w:rsid w:val="00C42726"/>
    <w:rsid w:val="00C42947"/>
    <w:rsid w:val="00C4315C"/>
    <w:rsid w:val="00C433C4"/>
    <w:rsid w:val="00C43D04"/>
    <w:rsid w:val="00C443BF"/>
    <w:rsid w:val="00C44A91"/>
    <w:rsid w:val="00C44CC8"/>
    <w:rsid w:val="00C44F8A"/>
    <w:rsid w:val="00C45267"/>
    <w:rsid w:val="00C452E6"/>
    <w:rsid w:val="00C457E3"/>
    <w:rsid w:val="00C4599B"/>
    <w:rsid w:val="00C45AEF"/>
    <w:rsid w:val="00C45D24"/>
    <w:rsid w:val="00C468D5"/>
    <w:rsid w:val="00C4696B"/>
    <w:rsid w:val="00C46D9B"/>
    <w:rsid w:val="00C46E39"/>
    <w:rsid w:val="00C46F9C"/>
    <w:rsid w:val="00C4739B"/>
    <w:rsid w:val="00C47B72"/>
    <w:rsid w:val="00C5058E"/>
    <w:rsid w:val="00C50E5A"/>
    <w:rsid w:val="00C5107B"/>
    <w:rsid w:val="00C512F2"/>
    <w:rsid w:val="00C512F8"/>
    <w:rsid w:val="00C5169C"/>
    <w:rsid w:val="00C52237"/>
    <w:rsid w:val="00C52990"/>
    <w:rsid w:val="00C52A7D"/>
    <w:rsid w:val="00C53028"/>
    <w:rsid w:val="00C53306"/>
    <w:rsid w:val="00C53BFD"/>
    <w:rsid w:val="00C5408C"/>
    <w:rsid w:val="00C5505B"/>
    <w:rsid w:val="00C55AEA"/>
    <w:rsid w:val="00C560C8"/>
    <w:rsid w:val="00C5626A"/>
    <w:rsid w:val="00C5649F"/>
    <w:rsid w:val="00C6028E"/>
    <w:rsid w:val="00C606CB"/>
    <w:rsid w:val="00C609DA"/>
    <w:rsid w:val="00C60CB6"/>
    <w:rsid w:val="00C61463"/>
    <w:rsid w:val="00C615C2"/>
    <w:rsid w:val="00C616BC"/>
    <w:rsid w:val="00C617F4"/>
    <w:rsid w:val="00C61C62"/>
    <w:rsid w:val="00C61E55"/>
    <w:rsid w:val="00C626B7"/>
    <w:rsid w:val="00C62761"/>
    <w:rsid w:val="00C627D2"/>
    <w:rsid w:val="00C627EF"/>
    <w:rsid w:val="00C63679"/>
    <w:rsid w:val="00C637D6"/>
    <w:rsid w:val="00C6467E"/>
    <w:rsid w:val="00C646CE"/>
    <w:rsid w:val="00C64A8A"/>
    <w:rsid w:val="00C64DE8"/>
    <w:rsid w:val="00C658C9"/>
    <w:rsid w:val="00C65C75"/>
    <w:rsid w:val="00C676C5"/>
    <w:rsid w:val="00C679B7"/>
    <w:rsid w:val="00C67DFF"/>
    <w:rsid w:val="00C67F12"/>
    <w:rsid w:val="00C707BC"/>
    <w:rsid w:val="00C710B7"/>
    <w:rsid w:val="00C71246"/>
    <w:rsid w:val="00C715FF"/>
    <w:rsid w:val="00C726EB"/>
    <w:rsid w:val="00C72B61"/>
    <w:rsid w:val="00C72E3B"/>
    <w:rsid w:val="00C735EC"/>
    <w:rsid w:val="00C73A1E"/>
    <w:rsid w:val="00C741E5"/>
    <w:rsid w:val="00C74310"/>
    <w:rsid w:val="00C74568"/>
    <w:rsid w:val="00C74614"/>
    <w:rsid w:val="00C7478E"/>
    <w:rsid w:val="00C74A0C"/>
    <w:rsid w:val="00C74F80"/>
    <w:rsid w:val="00C75F1B"/>
    <w:rsid w:val="00C76DA0"/>
    <w:rsid w:val="00C773C8"/>
    <w:rsid w:val="00C774A6"/>
    <w:rsid w:val="00C77CF0"/>
    <w:rsid w:val="00C80949"/>
    <w:rsid w:val="00C80B7E"/>
    <w:rsid w:val="00C80C35"/>
    <w:rsid w:val="00C80C90"/>
    <w:rsid w:val="00C80F30"/>
    <w:rsid w:val="00C81357"/>
    <w:rsid w:val="00C8140F"/>
    <w:rsid w:val="00C81590"/>
    <w:rsid w:val="00C816FB"/>
    <w:rsid w:val="00C81712"/>
    <w:rsid w:val="00C8179E"/>
    <w:rsid w:val="00C81D01"/>
    <w:rsid w:val="00C81E85"/>
    <w:rsid w:val="00C81EC9"/>
    <w:rsid w:val="00C824BC"/>
    <w:rsid w:val="00C8254E"/>
    <w:rsid w:val="00C82EC1"/>
    <w:rsid w:val="00C83BE5"/>
    <w:rsid w:val="00C83F7F"/>
    <w:rsid w:val="00C84103"/>
    <w:rsid w:val="00C84571"/>
    <w:rsid w:val="00C8469E"/>
    <w:rsid w:val="00C84A4C"/>
    <w:rsid w:val="00C8514E"/>
    <w:rsid w:val="00C85546"/>
    <w:rsid w:val="00C85855"/>
    <w:rsid w:val="00C86E59"/>
    <w:rsid w:val="00C87216"/>
    <w:rsid w:val="00C872C6"/>
    <w:rsid w:val="00C873BA"/>
    <w:rsid w:val="00C877DC"/>
    <w:rsid w:val="00C87A54"/>
    <w:rsid w:val="00C90088"/>
    <w:rsid w:val="00C90123"/>
    <w:rsid w:val="00C90621"/>
    <w:rsid w:val="00C90900"/>
    <w:rsid w:val="00C90A5E"/>
    <w:rsid w:val="00C90A71"/>
    <w:rsid w:val="00C91407"/>
    <w:rsid w:val="00C9192B"/>
    <w:rsid w:val="00C91A95"/>
    <w:rsid w:val="00C91F36"/>
    <w:rsid w:val="00C923D7"/>
    <w:rsid w:val="00C925B4"/>
    <w:rsid w:val="00C92BF8"/>
    <w:rsid w:val="00C92E08"/>
    <w:rsid w:val="00C92ECE"/>
    <w:rsid w:val="00C92EE5"/>
    <w:rsid w:val="00C93568"/>
    <w:rsid w:val="00C93590"/>
    <w:rsid w:val="00C93CB4"/>
    <w:rsid w:val="00C93EE0"/>
    <w:rsid w:val="00C93F80"/>
    <w:rsid w:val="00C94118"/>
    <w:rsid w:val="00C94442"/>
    <w:rsid w:val="00C94504"/>
    <w:rsid w:val="00C94B18"/>
    <w:rsid w:val="00C9549C"/>
    <w:rsid w:val="00C9578D"/>
    <w:rsid w:val="00C95DFB"/>
    <w:rsid w:val="00C95E0B"/>
    <w:rsid w:val="00C9623F"/>
    <w:rsid w:val="00C965B3"/>
    <w:rsid w:val="00C96770"/>
    <w:rsid w:val="00C96F33"/>
    <w:rsid w:val="00C971BA"/>
    <w:rsid w:val="00C973D7"/>
    <w:rsid w:val="00C9753B"/>
    <w:rsid w:val="00C976F4"/>
    <w:rsid w:val="00C9774E"/>
    <w:rsid w:val="00CA0F76"/>
    <w:rsid w:val="00CA181D"/>
    <w:rsid w:val="00CA1D74"/>
    <w:rsid w:val="00CA1E28"/>
    <w:rsid w:val="00CA2203"/>
    <w:rsid w:val="00CA24B2"/>
    <w:rsid w:val="00CA3178"/>
    <w:rsid w:val="00CA31EE"/>
    <w:rsid w:val="00CA3451"/>
    <w:rsid w:val="00CA3854"/>
    <w:rsid w:val="00CA3A2C"/>
    <w:rsid w:val="00CA3D60"/>
    <w:rsid w:val="00CA3F87"/>
    <w:rsid w:val="00CA4273"/>
    <w:rsid w:val="00CA44E7"/>
    <w:rsid w:val="00CA44EB"/>
    <w:rsid w:val="00CA47D9"/>
    <w:rsid w:val="00CA52A5"/>
    <w:rsid w:val="00CA5563"/>
    <w:rsid w:val="00CA5B77"/>
    <w:rsid w:val="00CA62BA"/>
    <w:rsid w:val="00CA65A5"/>
    <w:rsid w:val="00CA68E1"/>
    <w:rsid w:val="00CA6B2C"/>
    <w:rsid w:val="00CA73E3"/>
    <w:rsid w:val="00CA780D"/>
    <w:rsid w:val="00CA793A"/>
    <w:rsid w:val="00CA7A26"/>
    <w:rsid w:val="00CB0030"/>
    <w:rsid w:val="00CB1123"/>
    <w:rsid w:val="00CB12CE"/>
    <w:rsid w:val="00CB15E8"/>
    <w:rsid w:val="00CB215D"/>
    <w:rsid w:val="00CB241C"/>
    <w:rsid w:val="00CB24C7"/>
    <w:rsid w:val="00CB3355"/>
    <w:rsid w:val="00CB3430"/>
    <w:rsid w:val="00CB3BB3"/>
    <w:rsid w:val="00CB43E6"/>
    <w:rsid w:val="00CB4418"/>
    <w:rsid w:val="00CB4476"/>
    <w:rsid w:val="00CB45D4"/>
    <w:rsid w:val="00CB4B19"/>
    <w:rsid w:val="00CB4CCC"/>
    <w:rsid w:val="00CB53BB"/>
    <w:rsid w:val="00CB5716"/>
    <w:rsid w:val="00CB69F9"/>
    <w:rsid w:val="00CB6C82"/>
    <w:rsid w:val="00CB6E7A"/>
    <w:rsid w:val="00CB6F63"/>
    <w:rsid w:val="00CB6FDC"/>
    <w:rsid w:val="00CB7393"/>
    <w:rsid w:val="00CB741D"/>
    <w:rsid w:val="00CB771F"/>
    <w:rsid w:val="00CB7B3E"/>
    <w:rsid w:val="00CC0D44"/>
    <w:rsid w:val="00CC107E"/>
    <w:rsid w:val="00CC1310"/>
    <w:rsid w:val="00CC1DAB"/>
    <w:rsid w:val="00CC1EA1"/>
    <w:rsid w:val="00CC22F1"/>
    <w:rsid w:val="00CC2433"/>
    <w:rsid w:val="00CC2A75"/>
    <w:rsid w:val="00CC2E38"/>
    <w:rsid w:val="00CC3047"/>
    <w:rsid w:val="00CC30A8"/>
    <w:rsid w:val="00CC330E"/>
    <w:rsid w:val="00CC3422"/>
    <w:rsid w:val="00CC3FD8"/>
    <w:rsid w:val="00CC41EB"/>
    <w:rsid w:val="00CC42C4"/>
    <w:rsid w:val="00CC4BEA"/>
    <w:rsid w:val="00CC505E"/>
    <w:rsid w:val="00CC58AA"/>
    <w:rsid w:val="00CC632C"/>
    <w:rsid w:val="00CC64A9"/>
    <w:rsid w:val="00CC6B66"/>
    <w:rsid w:val="00CC729D"/>
    <w:rsid w:val="00CC74D4"/>
    <w:rsid w:val="00CC778A"/>
    <w:rsid w:val="00CC7B7D"/>
    <w:rsid w:val="00CD0026"/>
    <w:rsid w:val="00CD030C"/>
    <w:rsid w:val="00CD17D9"/>
    <w:rsid w:val="00CD1C15"/>
    <w:rsid w:val="00CD23F2"/>
    <w:rsid w:val="00CD2503"/>
    <w:rsid w:val="00CD2784"/>
    <w:rsid w:val="00CD2E59"/>
    <w:rsid w:val="00CD348D"/>
    <w:rsid w:val="00CD3494"/>
    <w:rsid w:val="00CD367D"/>
    <w:rsid w:val="00CD3E7C"/>
    <w:rsid w:val="00CD3EAD"/>
    <w:rsid w:val="00CD4181"/>
    <w:rsid w:val="00CD42F3"/>
    <w:rsid w:val="00CD436E"/>
    <w:rsid w:val="00CD43BB"/>
    <w:rsid w:val="00CD4536"/>
    <w:rsid w:val="00CD4567"/>
    <w:rsid w:val="00CD4728"/>
    <w:rsid w:val="00CD480F"/>
    <w:rsid w:val="00CD48F7"/>
    <w:rsid w:val="00CD49C5"/>
    <w:rsid w:val="00CD527F"/>
    <w:rsid w:val="00CD6EFC"/>
    <w:rsid w:val="00CD7029"/>
    <w:rsid w:val="00CD75C5"/>
    <w:rsid w:val="00CD7D57"/>
    <w:rsid w:val="00CE018D"/>
    <w:rsid w:val="00CE08CB"/>
    <w:rsid w:val="00CE0BCF"/>
    <w:rsid w:val="00CE18FA"/>
    <w:rsid w:val="00CE1BFD"/>
    <w:rsid w:val="00CE231F"/>
    <w:rsid w:val="00CE2837"/>
    <w:rsid w:val="00CE2893"/>
    <w:rsid w:val="00CE325C"/>
    <w:rsid w:val="00CE4893"/>
    <w:rsid w:val="00CE4B0D"/>
    <w:rsid w:val="00CE4E09"/>
    <w:rsid w:val="00CE4E11"/>
    <w:rsid w:val="00CE565A"/>
    <w:rsid w:val="00CE5F82"/>
    <w:rsid w:val="00CE6738"/>
    <w:rsid w:val="00CE6C9C"/>
    <w:rsid w:val="00CE7283"/>
    <w:rsid w:val="00CE7861"/>
    <w:rsid w:val="00CE7876"/>
    <w:rsid w:val="00CE7A9E"/>
    <w:rsid w:val="00CF06BF"/>
    <w:rsid w:val="00CF0976"/>
    <w:rsid w:val="00CF0E3B"/>
    <w:rsid w:val="00CF0EC9"/>
    <w:rsid w:val="00CF1861"/>
    <w:rsid w:val="00CF19D4"/>
    <w:rsid w:val="00CF1AD7"/>
    <w:rsid w:val="00CF225F"/>
    <w:rsid w:val="00CF22D7"/>
    <w:rsid w:val="00CF25F8"/>
    <w:rsid w:val="00CF26DD"/>
    <w:rsid w:val="00CF2B2A"/>
    <w:rsid w:val="00CF378F"/>
    <w:rsid w:val="00CF3E66"/>
    <w:rsid w:val="00CF4083"/>
    <w:rsid w:val="00CF49E2"/>
    <w:rsid w:val="00CF4B8D"/>
    <w:rsid w:val="00CF4BBC"/>
    <w:rsid w:val="00CF4E64"/>
    <w:rsid w:val="00CF5394"/>
    <w:rsid w:val="00CF5616"/>
    <w:rsid w:val="00CF5619"/>
    <w:rsid w:val="00CF5783"/>
    <w:rsid w:val="00CF578D"/>
    <w:rsid w:val="00CF5C77"/>
    <w:rsid w:val="00CF6042"/>
    <w:rsid w:val="00CF6477"/>
    <w:rsid w:val="00CF6AB8"/>
    <w:rsid w:val="00CF6F37"/>
    <w:rsid w:val="00CF7CB2"/>
    <w:rsid w:val="00CF7DD5"/>
    <w:rsid w:val="00D00132"/>
    <w:rsid w:val="00D00168"/>
    <w:rsid w:val="00D002A3"/>
    <w:rsid w:val="00D0069A"/>
    <w:rsid w:val="00D00B5D"/>
    <w:rsid w:val="00D0133E"/>
    <w:rsid w:val="00D01455"/>
    <w:rsid w:val="00D01590"/>
    <w:rsid w:val="00D016AC"/>
    <w:rsid w:val="00D01913"/>
    <w:rsid w:val="00D01A9F"/>
    <w:rsid w:val="00D01B8F"/>
    <w:rsid w:val="00D0283B"/>
    <w:rsid w:val="00D031B5"/>
    <w:rsid w:val="00D0346D"/>
    <w:rsid w:val="00D034CF"/>
    <w:rsid w:val="00D0386B"/>
    <w:rsid w:val="00D0393B"/>
    <w:rsid w:val="00D03C8D"/>
    <w:rsid w:val="00D047A3"/>
    <w:rsid w:val="00D04C54"/>
    <w:rsid w:val="00D04D6A"/>
    <w:rsid w:val="00D05044"/>
    <w:rsid w:val="00D05157"/>
    <w:rsid w:val="00D05698"/>
    <w:rsid w:val="00D05DC2"/>
    <w:rsid w:val="00D0680A"/>
    <w:rsid w:val="00D07429"/>
    <w:rsid w:val="00D076AC"/>
    <w:rsid w:val="00D079CE"/>
    <w:rsid w:val="00D079EE"/>
    <w:rsid w:val="00D10146"/>
    <w:rsid w:val="00D10567"/>
    <w:rsid w:val="00D105AC"/>
    <w:rsid w:val="00D10674"/>
    <w:rsid w:val="00D10D9E"/>
    <w:rsid w:val="00D1159F"/>
    <w:rsid w:val="00D115DE"/>
    <w:rsid w:val="00D11614"/>
    <w:rsid w:val="00D116B3"/>
    <w:rsid w:val="00D1191A"/>
    <w:rsid w:val="00D11BBF"/>
    <w:rsid w:val="00D1242D"/>
    <w:rsid w:val="00D127E6"/>
    <w:rsid w:val="00D13106"/>
    <w:rsid w:val="00D13133"/>
    <w:rsid w:val="00D13230"/>
    <w:rsid w:val="00D13255"/>
    <w:rsid w:val="00D13762"/>
    <w:rsid w:val="00D13852"/>
    <w:rsid w:val="00D13B9D"/>
    <w:rsid w:val="00D13CD7"/>
    <w:rsid w:val="00D13F4A"/>
    <w:rsid w:val="00D13FD4"/>
    <w:rsid w:val="00D1411A"/>
    <w:rsid w:val="00D143DD"/>
    <w:rsid w:val="00D1440D"/>
    <w:rsid w:val="00D147CA"/>
    <w:rsid w:val="00D14BA1"/>
    <w:rsid w:val="00D14E54"/>
    <w:rsid w:val="00D151C4"/>
    <w:rsid w:val="00D15359"/>
    <w:rsid w:val="00D15866"/>
    <w:rsid w:val="00D15E30"/>
    <w:rsid w:val="00D165B8"/>
    <w:rsid w:val="00D1681F"/>
    <w:rsid w:val="00D16BA0"/>
    <w:rsid w:val="00D16DB2"/>
    <w:rsid w:val="00D16DB3"/>
    <w:rsid w:val="00D21382"/>
    <w:rsid w:val="00D21530"/>
    <w:rsid w:val="00D21A13"/>
    <w:rsid w:val="00D22002"/>
    <w:rsid w:val="00D22DA4"/>
    <w:rsid w:val="00D23725"/>
    <w:rsid w:val="00D2374F"/>
    <w:rsid w:val="00D237EC"/>
    <w:rsid w:val="00D23A71"/>
    <w:rsid w:val="00D23AFA"/>
    <w:rsid w:val="00D244DC"/>
    <w:rsid w:val="00D24839"/>
    <w:rsid w:val="00D24CCB"/>
    <w:rsid w:val="00D25668"/>
    <w:rsid w:val="00D25ED3"/>
    <w:rsid w:val="00D25F77"/>
    <w:rsid w:val="00D2608F"/>
    <w:rsid w:val="00D26569"/>
    <w:rsid w:val="00D26A92"/>
    <w:rsid w:val="00D26D1B"/>
    <w:rsid w:val="00D271DF"/>
    <w:rsid w:val="00D27543"/>
    <w:rsid w:val="00D27A24"/>
    <w:rsid w:val="00D27E5D"/>
    <w:rsid w:val="00D27F5D"/>
    <w:rsid w:val="00D27F80"/>
    <w:rsid w:val="00D300F0"/>
    <w:rsid w:val="00D30135"/>
    <w:rsid w:val="00D30349"/>
    <w:rsid w:val="00D3037D"/>
    <w:rsid w:val="00D303ED"/>
    <w:rsid w:val="00D30539"/>
    <w:rsid w:val="00D307E5"/>
    <w:rsid w:val="00D30C26"/>
    <w:rsid w:val="00D318CD"/>
    <w:rsid w:val="00D32C58"/>
    <w:rsid w:val="00D32E33"/>
    <w:rsid w:val="00D3302D"/>
    <w:rsid w:val="00D33279"/>
    <w:rsid w:val="00D338DD"/>
    <w:rsid w:val="00D33A26"/>
    <w:rsid w:val="00D34454"/>
    <w:rsid w:val="00D34516"/>
    <w:rsid w:val="00D34A37"/>
    <w:rsid w:val="00D35141"/>
    <w:rsid w:val="00D35542"/>
    <w:rsid w:val="00D3559C"/>
    <w:rsid w:val="00D359C4"/>
    <w:rsid w:val="00D35F78"/>
    <w:rsid w:val="00D3610F"/>
    <w:rsid w:val="00D36BEA"/>
    <w:rsid w:val="00D36EA4"/>
    <w:rsid w:val="00D371F2"/>
    <w:rsid w:val="00D37262"/>
    <w:rsid w:val="00D37494"/>
    <w:rsid w:val="00D3766C"/>
    <w:rsid w:val="00D408AD"/>
    <w:rsid w:val="00D4092D"/>
    <w:rsid w:val="00D40A57"/>
    <w:rsid w:val="00D41908"/>
    <w:rsid w:val="00D419AB"/>
    <w:rsid w:val="00D41C4C"/>
    <w:rsid w:val="00D41F04"/>
    <w:rsid w:val="00D42240"/>
    <w:rsid w:val="00D42264"/>
    <w:rsid w:val="00D4240D"/>
    <w:rsid w:val="00D42641"/>
    <w:rsid w:val="00D42776"/>
    <w:rsid w:val="00D429D1"/>
    <w:rsid w:val="00D42F91"/>
    <w:rsid w:val="00D4338B"/>
    <w:rsid w:val="00D4346D"/>
    <w:rsid w:val="00D434B8"/>
    <w:rsid w:val="00D435C3"/>
    <w:rsid w:val="00D43BF6"/>
    <w:rsid w:val="00D44D42"/>
    <w:rsid w:val="00D451CC"/>
    <w:rsid w:val="00D45343"/>
    <w:rsid w:val="00D456A6"/>
    <w:rsid w:val="00D45C28"/>
    <w:rsid w:val="00D4605E"/>
    <w:rsid w:val="00D460C5"/>
    <w:rsid w:val="00D462F7"/>
    <w:rsid w:val="00D46357"/>
    <w:rsid w:val="00D46C4E"/>
    <w:rsid w:val="00D46F09"/>
    <w:rsid w:val="00D46F4E"/>
    <w:rsid w:val="00D47372"/>
    <w:rsid w:val="00D478F5"/>
    <w:rsid w:val="00D506BF"/>
    <w:rsid w:val="00D5154F"/>
    <w:rsid w:val="00D51A16"/>
    <w:rsid w:val="00D52AA8"/>
    <w:rsid w:val="00D52BD1"/>
    <w:rsid w:val="00D52D24"/>
    <w:rsid w:val="00D53628"/>
    <w:rsid w:val="00D53D9C"/>
    <w:rsid w:val="00D5417B"/>
    <w:rsid w:val="00D543A3"/>
    <w:rsid w:val="00D543E8"/>
    <w:rsid w:val="00D54648"/>
    <w:rsid w:val="00D54A02"/>
    <w:rsid w:val="00D55322"/>
    <w:rsid w:val="00D55440"/>
    <w:rsid w:val="00D5545C"/>
    <w:rsid w:val="00D5545F"/>
    <w:rsid w:val="00D55662"/>
    <w:rsid w:val="00D55A9B"/>
    <w:rsid w:val="00D55C54"/>
    <w:rsid w:val="00D55C6A"/>
    <w:rsid w:val="00D56B3C"/>
    <w:rsid w:val="00D57ABC"/>
    <w:rsid w:val="00D57D07"/>
    <w:rsid w:val="00D60C41"/>
    <w:rsid w:val="00D60EBB"/>
    <w:rsid w:val="00D6102A"/>
    <w:rsid w:val="00D610CA"/>
    <w:rsid w:val="00D612B6"/>
    <w:rsid w:val="00D613EC"/>
    <w:rsid w:val="00D61CBA"/>
    <w:rsid w:val="00D6202B"/>
    <w:rsid w:val="00D620A7"/>
    <w:rsid w:val="00D625E0"/>
    <w:rsid w:val="00D63218"/>
    <w:rsid w:val="00D63A73"/>
    <w:rsid w:val="00D63E75"/>
    <w:rsid w:val="00D64805"/>
    <w:rsid w:val="00D64AF6"/>
    <w:rsid w:val="00D652FD"/>
    <w:rsid w:val="00D65741"/>
    <w:rsid w:val="00D65F6A"/>
    <w:rsid w:val="00D666AD"/>
    <w:rsid w:val="00D671B6"/>
    <w:rsid w:val="00D67B69"/>
    <w:rsid w:val="00D67CDA"/>
    <w:rsid w:val="00D704A5"/>
    <w:rsid w:val="00D708D2"/>
    <w:rsid w:val="00D7090E"/>
    <w:rsid w:val="00D70AEE"/>
    <w:rsid w:val="00D7112D"/>
    <w:rsid w:val="00D716EA"/>
    <w:rsid w:val="00D71F69"/>
    <w:rsid w:val="00D720CA"/>
    <w:rsid w:val="00D72220"/>
    <w:rsid w:val="00D72B4E"/>
    <w:rsid w:val="00D72C6A"/>
    <w:rsid w:val="00D72CB4"/>
    <w:rsid w:val="00D72D8E"/>
    <w:rsid w:val="00D73A7A"/>
    <w:rsid w:val="00D73CF0"/>
    <w:rsid w:val="00D742CA"/>
    <w:rsid w:val="00D74D46"/>
    <w:rsid w:val="00D74DC9"/>
    <w:rsid w:val="00D758AC"/>
    <w:rsid w:val="00D75932"/>
    <w:rsid w:val="00D75A86"/>
    <w:rsid w:val="00D75D79"/>
    <w:rsid w:val="00D75DA1"/>
    <w:rsid w:val="00D75E8E"/>
    <w:rsid w:val="00D75EF6"/>
    <w:rsid w:val="00D762D3"/>
    <w:rsid w:val="00D7666C"/>
    <w:rsid w:val="00D768CC"/>
    <w:rsid w:val="00D76E67"/>
    <w:rsid w:val="00D76EAA"/>
    <w:rsid w:val="00D77C8F"/>
    <w:rsid w:val="00D77D3A"/>
    <w:rsid w:val="00D77F01"/>
    <w:rsid w:val="00D80437"/>
    <w:rsid w:val="00D80589"/>
    <w:rsid w:val="00D805F7"/>
    <w:rsid w:val="00D807D5"/>
    <w:rsid w:val="00D80AF7"/>
    <w:rsid w:val="00D80F9E"/>
    <w:rsid w:val="00D81319"/>
    <w:rsid w:val="00D81974"/>
    <w:rsid w:val="00D81B6C"/>
    <w:rsid w:val="00D82105"/>
    <w:rsid w:val="00D82183"/>
    <w:rsid w:val="00D82261"/>
    <w:rsid w:val="00D82B3D"/>
    <w:rsid w:val="00D83E68"/>
    <w:rsid w:val="00D844EB"/>
    <w:rsid w:val="00D846D0"/>
    <w:rsid w:val="00D850A0"/>
    <w:rsid w:val="00D856DC"/>
    <w:rsid w:val="00D85862"/>
    <w:rsid w:val="00D85C27"/>
    <w:rsid w:val="00D85C7E"/>
    <w:rsid w:val="00D863D4"/>
    <w:rsid w:val="00D86538"/>
    <w:rsid w:val="00D86E97"/>
    <w:rsid w:val="00D86F4A"/>
    <w:rsid w:val="00D87001"/>
    <w:rsid w:val="00D87174"/>
    <w:rsid w:val="00D8724B"/>
    <w:rsid w:val="00D87F88"/>
    <w:rsid w:val="00D9025D"/>
    <w:rsid w:val="00D9033F"/>
    <w:rsid w:val="00D9085A"/>
    <w:rsid w:val="00D908D9"/>
    <w:rsid w:val="00D9103C"/>
    <w:rsid w:val="00D91221"/>
    <w:rsid w:val="00D91437"/>
    <w:rsid w:val="00D9165A"/>
    <w:rsid w:val="00D91AC7"/>
    <w:rsid w:val="00D91D90"/>
    <w:rsid w:val="00D92106"/>
    <w:rsid w:val="00D92121"/>
    <w:rsid w:val="00D922BC"/>
    <w:rsid w:val="00D924BE"/>
    <w:rsid w:val="00D92688"/>
    <w:rsid w:val="00D92B7C"/>
    <w:rsid w:val="00D93568"/>
    <w:rsid w:val="00D9360C"/>
    <w:rsid w:val="00D9384C"/>
    <w:rsid w:val="00D93DC8"/>
    <w:rsid w:val="00D93FC2"/>
    <w:rsid w:val="00D94686"/>
    <w:rsid w:val="00D94E89"/>
    <w:rsid w:val="00D95652"/>
    <w:rsid w:val="00D95889"/>
    <w:rsid w:val="00D95A8B"/>
    <w:rsid w:val="00D95E77"/>
    <w:rsid w:val="00D9637F"/>
    <w:rsid w:val="00D9669C"/>
    <w:rsid w:val="00D966D0"/>
    <w:rsid w:val="00D968DE"/>
    <w:rsid w:val="00D972E5"/>
    <w:rsid w:val="00D97CE6"/>
    <w:rsid w:val="00DA0077"/>
    <w:rsid w:val="00DA0323"/>
    <w:rsid w:val="00DA07A1"/>
    <w:rsid w:val="00DA0B22"/>
    <w:rsid w:val="00DA0F7C"/>
    <w:rsid w:val="00DA101F"/>
    <w:rsid w:val="00DA1363"/>
    <w:rsid w:val="00DA1B51"/>
    <w:rsid w:val="00DA26BD"/>
    <w:rsid w:val="00DA3339"/>
    <w:rsid w:val="00DA3437"/>
    <w:rsid w:val="00DA364C"/>
    <w:rsid w:val="00DA36B0"/>
    <w:rsid w:val="00DA37D7"/>
    <w:rsid w:val="00DA414B"/>
    <w:rsid w:val="00DA4A2E"/>
    <w:rsid w:val="00DA5EEB"/>
    <w:rsid w:val="00DA60EF"/>
    <w:rsid w:val="00DA6118"/>
    <w:rsid w:val="00DA65DB"/>
    <w:rsid w:val="00DA663E"/>
    <w:rsid w:val="00DA69BA"/>
    <w:rsid w:val="00DA6A72"/>
    <w:rsid w:val="00DA6BD3"/>
    <w:rsid w:val="00DA6C79"/>
    <w:rsid w:val="00DA6C8D"/>
    <w:rsid w:val="00DA747B"/>
    <w:rsid w:val="00DA797A"/>
    <w:rsid w:val="00DB01E1"/>
    <w:rsid w:val="00DB0209"/>
    <w:rsid w:val="00DB051B"/>
    <w:rsid w:val="00DB1698"/>
    <w:rsid w:val="00DB28A9"/>
    <w:rsid w:val="00DB28B0"/>
    <w:rsid w:val="00DB2905"/>
    <w:rsid w:val="00DB2DA6"/>
    <w:rsid w:val="00DB31D0"/>
    <w:rsid w:val="00DB3BD1"/>
    <w:rsid w:val="00DB3C43"/>
    <w:rsid w:val="00DB3C6F"/>
    <w:rsid w:val="00DB4675"/>
    <w:rsid w:val="00DB4A7E"/>
    <w:rsid w:val="00DB4CD0"/>
    <w:rsid w:val="00DB51C9"/>
    <w:rsid w:val="00DB5D70"/>
    <w:rsid w:val="00DB5F33"/>
    <w:rsid w:val="00DB6229"/>
    <w:rsid w:val="00DB64B4"/>
    <w:rsid w:val="00DB6509"/>
    <w:rsid w:val="00DB6551"/>
    <w:rsid w:val="00DB6779"/>
    <w:rsid w:val="00DB6D46"/>
    <w:rsid w:val="00DB6E06"/>
    <w:rsid w:val="00DB738D"/>
    <w:rsid w:val="00DB79B5"/>
    <w:rsid w:val="00DB7B58"/>
    <w:rsid w:val="00DB7E8D"/>
    <w:rsid w:val="00DB7F85"/>
    <w:rsid w:val="00DB7FE2"/>
    <w:rsid w:val="00DC044B"/>
    <w:rsid w:val="00DC0590"/>
    <w:rsid w:val="00DC0733"/>
    <w:rsid w:val="00DC0B4C"/>
    <w:rsid w:val="00DC0DB1"/>
    <w:rsid w:val="00DC0EF8"/>
    <w:rsid w:val="00DC1421"/>
    <w:rsid w:val="00DC153F"/>
    <w:rsid w:val="00DC204F"/>
    <w:rsid w:val="00DC21EE"/>
    <w:rsid w:val="00DC2329"/>
    <w:rsid w:val="00DC2AAC"/>
    <w:rsid w:val="00DC34FF"/>
    <w:rsid w:val="00DC381F"/>
    <w:rsid w:val="00DC3A05"/>
    <w:rsid w:val="00DC3ED8"/>
    <w:rsid w:val="00DC41A2"/>
    <w:rsid w:val="00DC432F"/>
    <w:rsid w:val="00DC44FC"/>
    <w:rsid w:val="00DC4661"/>
    <w:rsid w:val="00DC47DD"/>
    <w:rsid w:val="00DC4844"/>
    <w:rsid w:val="00DC4F8C"/>
    <w:rsid w:val="00DC5071"/>
    <w:rsid w:val="00DC5437"/>
    <w:rsid w:val="00DC6321"/>
    <w:rsid w:val="00DC6387"/>
    <w:rsid w:val="00DC68DA"/>
    <w:rsid w:val="00DC6CAD"/>
    <w:rsid w:val="00DC70A1"/>
    <w:rsid w:val="00DC764E"/>
    <w:rsid w:val="00DC76A8"/>
    <w:rsid w:val="00DD003A"/>
    <w:rsid w:val="00DD00CF"/>
    <w:rsid w:val="00DD1C2C"/>
    <w:rsid w:val="00DD2119"/>
    <w:rsid w:val="00DD21B2"/>
    <w:rsid w:val="00DD2398"/>
    <w:rsid w:val="00DD23F5"/>
    <w:rsid w:val="00DD252C"/>
    <w:rsid w:val="00DD294D"/>
    <w:rsid w:val="00DD2DAA"/>
    <w:rsid w:val="00DD2FEF"/>
    <w:rsid w:val="00DD3334"/>
    <w:rsid w:val="00DD385F"/>
    <w:rsid w:val="00DD3A1D"/>
    <w:rsid w:val="00DD3C43"/>
    <w:rsid w:val="00DD4115"/>
    <w:rsid w:val="00DD487F"/>
    <w:rsid w:val="00DD58D6"/>
    <w:rsid w:val="00DD5B02"/>
    <w:rsid w:val="00DD5B28"/>
    <w:rsid w:val="00DD6CE9"/>
    <w:rsid w:val="00DD74B1"/>
    <w:rsid w:val="00DD753B"/>
    <w:rsid w:val="00DD7C14"/>
    <w:rsid w:val="00DD7CAE"/>
    <w:rsid w:val="00DE0432"/>
    <w:rsid w:val="00DE047B"/>
    <w:rsid w:val="00DE061B"/>
    <w:rsid w:val="00DE08CF"/>
    <w:rsid w:val="00DE11C9"/>
    <w:rsid w:val="00DE1D10"/>
    <w:rsid w:val="00DE2334"/>
    <w:rsid w:val="00DE28B8"/>
    <w:rsid w:val="00DE2DF0"/>
    <w:rsid w:val="00DE2EFB"/>
    <w:rsid w:val="00DE3181"/>
    <w:rsid w:val="00DE3A78"/>
    <w:rsid w:val="00DE40F5"/>
    <w:rsid w:val="00DE426B"/>
    <w:rsid w:val="00DE4DBA"/>
    <w:rsid w:val="00DE4E3A"/>
    <w:rsid w:val="00DE528C"/>
    <w:rsid w:val="00DE5363"/>
    <w:rsid w:val="00DE584A"/>
    <w:rsid w:val="00DE5CE9"/>
    <w:rsid w:val="00DE62B3"/>
    <w:rsid w:val="00DE66E7"/>
    <w:rsid w:val="00DE69F2"/>
    <w:rsid w:val="00DE6CBB"/>
    <w:rsid w:val="00DE7135"/>
    <w:rsid w:val="00DE7815"/>
    <w:rsid w:val="00DE7CE5"/>
    <w:rsid w:val="00DF0336"/>
    <w:rsid w:val="00DF09C7"/>
    <w:rsid w:val="00DF17B6"/>
    <w:rsid w:val="00DF1BB3"/>
    <w:rsid w:val="00DF200F"/>
    <w:rsid w:val="00DF20EA"/>
    <w:rsid w:val="00DF3083"/>
    <w:rsid w:val="00DF376F"/>
    <w:rsid w:val="00DF3BA4"/>
    <w:rsid w:val="00DF3C68"/>
    <w:rsid w:val="00DF3CD4"/>
    <w:rsid w:val="00DF3D0B"/>
    <w:rsid w:val="00DF3F7E"/>
    <w:rsid w:val="00DF409B"/>
    <w:rsid w:val="00DF4645"/>
    <w:rsid w:val="00DF4664"/>
    <w:rsid w:val="00DF4D55"/>
    <w:rsid w:val="00DF5437"/>
    <w:rsid w:val="00DF547C"/>
    <w:rsid w:val="00DF591F"/>
    <w:rsid w:val="00DF5939"/>
    <w:rsid w:val="00DF63C4"/>
    <w:rsid w:val="00DF63D4"/>
    <w:rsid w:val="00DF66A8"/>
    <w:rsid w:val="00DF6BFD"/>
    <w:rsid w:val="00DF7327"/>
    <w:rsid w:val="00DF7488"/>
    <w:rsid w:val="00E003F3"/>
    <w:rsid w:val="00E00556"/>
    <w:rsid w:val="00E00BBB"/>
    <w:rsid w:val="00E0107A"/>
    <w:rsid w:val="00E01A14"/>
    <w:rsid w:val="00E01BB8"/>
    <w:rsid w:val="00E034AC"/>
    <w:rsid w:val="00E03B18"/>
    <w:rsid w:val="00E0454A"/>
    <w:rsid w:val="00E04834"/>
    <w:rsid w:val="00E048AA"/>
    <w:rsid w:val="00E05286"/>
    <w:rsid w:val="00E05379"/>
    <w:rsid w:val="00E05468"/>
    <w:rsid w:val="00E0590E"/>
    <w:rsid w:val="00E05943"/>
    <w:rsid w:val="00E067BA"/>
    <w:rsid w:val="00E06B4B"/>
    <w:rsid w:val="00E0748A"/>
    <w:rsid w:val="00E07B4D"/>
    <w:rsid w:val="00E07E50"/>
    <w:rsid w:val="00E07E51"/>
    <w:rsid w:val="00E1064B"/>
    <w:rsid w:val="00E10652"/>
    <w:rsid w:val="00E11382"/>
    <w:rsid w:val="00E11C2A"/>
    <w:rsid w:val="00E12624"/>
    <w:rsid w:val="00E12CA7"/>
    <w:rsid w:val="00E1318E"/>
    <w:rsid w:val="00E133F5"/>
    <w:rsid w:val="00E1403A"/>
    <w:rsid w:val="00E141DA"/>
    <w:rsid w:val="00E144C7"/>
    <w:rsid w:val="00E1452E"/>
    <w:rsid w:val="00E14715"/>
    <w:rsid w:val="00E14C30"/>
    <w:rsid w:val="00E14C34"/>
    <w:rsid w:val="00E14FA9"/>
    <w:rsid w:val="00E14FEF"/>
    <w:rsid w:val="00E15808"/>
    <w:rsid w:val="00E1581B"/>
    <w:rsid w:val="00E172E8"/>
    <w:rsid w:val="00E17A75"/>
    <w:rsid w:val="00E17A9B"/>
    <w:rsid w:val="00E17E3E"/>
    <w:rsid w:val="00E17EBD"/>
    <w:rsid w:val="00E20090"/>
    <w:rsid w:val="00E20506"/>
    <w:rsid w:val="00E207A7"/>
    <w:rsid w:val="00E2080A"/>
    <w:rsid w:val="00E20EC5"/>
    <w:rsid w:val="00E2104A"/>
    <w:rsid w:val="00E215CA"/>
    <w:rsid w:val="00E220B1"/>
    <w:rsid w:val="00E2216A"/>
    <w:rsid w:val="00E22A55"/>
    <w:rsid w:val="00E22BA0"/>
    <w:rsid w:val="00E2303D"/>
    <w:rsid w:val="00E234B7"/>
    <w:rsid w:val="00E24180"/>
    <w:rsid w:val="00E246C7"/>
    <w:rsid w:val="00E24C50"/>
    <w:rsid w:val="00E24E5B"/>
    <w:rsid w:val="00E25934"/>
    <w:rsid w:val="00E25C6C"/>
    <w:rsid w:val="00E25C71"/>
    <w:rsid w:val="00E260B7"/>
    <w:rsid w:val="00E2622D"/>
    <w:rsid w:val="00E26772"/>
    <w:rsid w:val="00E26A6E"/>
    <w:rsid w:val="00E27316"/>
    <w:rsid w:val="00E27E12"/>
    <w:rsid w:val="00E27E90"/>
    <w:rsid w:val="00E30947"/>
    <w:rsid w:val="00E30AD2"/>
    <w:rsid w:val="00E3122C"/>
    <w:rsid w:val="00E3166B"/>
    <w:rsid w:val="00E31C8E"/>
    <w:rsid w:val="00E31D06"/>
    <w:rsid w:val="00E31D38"/>
    <w:rsid w:val="00E3214E"/>
    <w:rsid w:val="00E32725"/>
    <w:rsid w:val="00E329F1"/>
    <w:rsid w:val="00E32C2B"/>
    <w:rsid w:val="00E3361D"/>
    <w:rsid w:val="00E33A5D"/>
    <w:rsid w:val="00E3454B"/>
    <w:rsid w:val="00E3460B"/>
    <w:rsid w:val="00E346FA"/>
    <w:rsid w:val="00E3485E"/>
    <w:rsid w:val="00E34F06"/>
    <w:rsid w:val="00E35639"/>
    <w:rsid w:val="00E35C1A"/>
    <w:rsid w:val="00E35F9C"/>
    <w:rsid w:val="00E3641C"/>
    <w:rsid w:val="00E369C7"/>
    <w:rsid w:val="00E3717E"/>
    <w:rsid w:val="00E3766D"/>
    <w:rsid w:val="00E37AD7"/>
    <w:rsid w:val="00E37F27"/>
    <w:rsid w:val="00E40102"/>
    <w:rsid w:val="00E40275"/>
    <w:rsid w:val="00E40A2A"/>
    <w:rsid w:val="00E40A2D"/>
    <w:rsid w:val="00E40B67"/>
    <w:rsid w:val="00E40DDD"/>
    <w:rsid w:val="00E40F73"/>
    <w:rsid w:val="00E411AD"/>
    <w:rsid w:val="00E41DDD"/>
    <w:rsid w:val="00E42063"/>
    <w:rsid w:val="00E420AD"/>
    <w:rsid w:val="00E42501"/>
    <w:rsid w:val="00E425C0"/>
    <w:rsid w:val="00E4267E"/>
    <w:rsid w:val="00E428D1"/>
    <w:rsid w:val="00E42925"/>
    <w:rsid w:val="00E4306A"/>
    <w:rsid w:val="00E43184"/>
    <w:rsid w:val="00E43E1A"/>
    <w:rsid w:val="00E44374"/>
    <w:rsid w:val="00E44CB0"/>
    <w:rsid w:val="00E44EEB"/>
    <w:rsid w:val="00E454A4"/>
    <w:rsid w:val="00E45610"/>
    <w:rsid w:val="00E4579C"/>
    <w:rsid w:val="00E4585E"/>
    <w:rsid w:val="00E45E46"/>
    <w:rsid w:val="00E461F7"/>
    <w:rsid w:val="00E46402"/>
    <w:rsid w:val="00E471D3"/>
    <w:rsid w:val="00E47433"/>
    <w:rsid w:val="00E4774C"/>
    <w:rsid w:val="00E4778D"/>
    <w:rsid w:val="00E47BB4"/>
    <w:rsid w:val="00E47BF8"/>
    <w:rsid w:val="00E47C1C"/>
    <w:rsid w:val="00E51244"/>
    <w:rsid w:val="00E51284"/>
    <w:rsid w:val="00E51EC0"/>
    <w:rsid w:val="00E51F34"/>
    <w:rsid w:val="00E5325A"/>
    <w:rsid w:val="00E5398D"/>
    <w:rsid w:val="00E53F58"/>
    <w:rsid w:val="00E544EB"/>
    <w:rsid w:val="00E54589"/>
    <w:rsid w:val="00E54818"/>
    <w:rsid w:val="00E54A07"/>
    <w:rsid w:val="00E54B19"/>
    <w:rsid w:val="00E550BB"/>
    <w:rsid w:val="00E55358"/>
    <w:rsid w:val="00E5549D"/>
    <w:rsid w:val="00E5609D"/>
    <w:rsid w:val="00E56421"/>
    <w:rsid w:val="00E5693F"/>
    <w:rsid w:val="00E56AB8"/>
    <w:rsid w:val="00E56CE3"/>
    <w:rsid w:val="00E575DF"/>
    <w:rsid w:val="00E576BB"/>
    <w:rsid w:val="00E57743"/>
    <w:rsid w:val="00E57B04"/>
    <w:rsid w:val="00E609E2"/>
    <w:rsid w:val="00E60B88"/>
    <w:rsid w:val="00E60BAC"/>
    <w:rsid w:val="00E61371"/>
    <w:rsid w:val="00E61744"/>
    <w:rsid w:val="00E617EB"/>
    <w:rsid w:val="00E61B34"/>
    <w:rsid w:val="00E61CB8"/>
    <w:rsid w:val="00E620A2"/>
    <w:rsid w:val="00E624DB"/>
    <w:rsid w:val="00E62B55"/>
    <w:rsid w:val="00E62F18"/>
    <w:rsid w:val="00E63076"/>
    <w:rsid w:val="00E631D9"/>
    <w:rsid w:val="00E63229"/>
    <w:rsid w:val="00E63448"/>
    <w:rsid w:val="00E6353F"/>
    <w:rsid w:val="00E6377A"/>
    <w:rsid w:val="00E63CD8"/>
    <w:rsid w:val="00E64648"/>
    <w:rsid w:val="00E64E7E"/>
    <w:rsid w:val="00E64EA7"/>
    <w:rsid w:val="00E653DC"/>
    <w:rsid w:val="00E6550C"/>
    <w:rsid w:val="00E65AAB"/>
    <w:rsid w:val="00E65AC7"/>
    <w:rsid w:val="00E65B2B"/>
    <w:rsid w:val="00E65D46"/>
    <w:rsid w:val="00E66762"/>
    <w:rsid w:val="00E66839"/>
    <w:rsid w:val="00E66BEF"/>
    <w:rsid w:val="00E66DFC"/>
    <w:rsid w:val="00E670D7"/>
    <w:rsid w:val="00E67A5C"/>
    <w:rsid w:val="00E67AE8"/>
    <w:rsid w:val="00E67C19"/>
    <w:rsid w:val="00E7047F"/>
    <w:rsid w:val="00E70559"/>
    <w:rsid w:val="00E705D4"/>
    <w:rsid w:val="00E70DA8"/>
    <w:rsid w:val="00E70E26"/>
    <w:rsid w:val="00E70F8E"/>
    <w:rsid w:val="00E71054"/>
    <w:rsid w:val="00E712AC"/>
    <w:rsid w:val="00E718B6"/>
    <w:rsid w:val="00E71AB6"/>
    <w:rsid w:val="00E71C6E"/>
    <w:rsid w:val="00E71D60"/>
    <w:rsid w:val="00E71DA3"/>
    <w:rsid w:val="00E723C5"/>
    <w:rsid w:val="00E740AD"/>
    <w:rsid w:val="00E743E7"/>
    <w:rsid w:val="00E74792"/>
    <w:rsid w:val="00E74EEE"/>
    <w:rsid w:val="00E75167"/>
    <w:rsid w:val="00E75305"/>
    <w:rsid w:val="00E755DA"/>
    <w:rsid w:val="00E76458"/>
    <w:rsid w:val="00E76715"/>
    <w:rsid w:val="00E767B7"/>
    <w:rsid w:val="00E76A20"/>
    <w:rsid w:val="00E76B32"/>
    <w:rsid w:val="00E76D78"/>
    <w:rsid w:val="00E7742E"/>
    <w:rsid w:val="00E77D0C"/>
    <w:rsid w:val="00E77D33"/>
    <w:rsid w:val="00E8007A"/>
    <w:rsid w:val="00E808E1"/>
    <w:rsid w:val="00E81119"/>
    <w:rsid w:val="00E812B1"/>
    <w:rsid w:val="00E81A7D"/>
    <w:rsid w:val="00E81D09"/>
    <w:rsid w:val="00E81F29"/>
    <w:rsid w:val="00E82478"/>
    <w:rsid w:val="00E83BB4"/>
    <w:rsid w:val="00E84222"/>
    <w:rsid w:val="00E844CA"/>
    <w:rsid w:val="00E845D6"/>
    <w:rsid w:val="00E847ED"/>
    <w:rsid w:val="00E8498B"/>
    <w:rsid w:val="00E84AD9"/>
    <w:rsid w:val="00E84ADE"/>
    <w:rsid w:val="00E85264"/>
    <w:rsid w:val="00E8557F"/>
    <w:rsid w:val="00E85812"/>
    <w:rsid w:val="00E8585B"/>
    <w:rsid w:val="00E85A09"/>
    <w:rsid w:val="00E8602F"/>
    <w:rsid w:val="00E86907"/>
    <w:rsid w:val="00E87405"/>
    <w:rsid w:val="00E87453"/>
    <w:rsid w:val="00E8778B"/>
    <w:rsid w:val="00E8796F"/>
    <w:rsid w:val="00E87EA1"/>
    <w:rsid w:val="00E9073D"/>
    <w:rsid w:val="00E9095E"/>
    <w:rsid w:val="00E91858"/>
    <w:rsid w:val="00E91A7B"/>
    <w:rsid w:val="00E9218C"/>
    <w:rsid w:val="00E925A0"/>
    <w:rsid w:val="00E929D6"/>
    <w:rsid w:val="00E92A85"/>
    <w:rsid w:val="00E93AA5"/>
    <w:rsid w:val="00E93DFC"/>
    <w:rsid w:val="00E94E2A"/>
    <w:rsid w:val="00E954AB"/>
    <w:rsid w:val="00E95748"/>
    <w:rsid w:val="00E95B84"/>
    <w:rsid w:val="00E9615F"/>
    <w:rsid w:val="00E964BB"/>
    <w:rsid w:val="00E9654F"/>
    <w:rsid w:val="00E969F5"/>
    <w:rsid w:val="00E96D7C"/>
    <w:rsid w:val="00E97975"/>
    <w:rsid w:val="00E97991"/>
    <w:rsid w:val="00E97D62"/>
    <w:rsid w:val="00E97E50"/>
    <w:rsid w:val="00E97F73"/>
    <w:rsid w:val="00EA06EB"/>
    <w:rsid w:val="00EA08A5"/>
    <w:rsid w:val="00EA0B63"/>
    <w:rsid w:val="00EA0BD0"/>
    <w:rsid w:val="00EA0C44"/>
    <w:rsid w:val="00EA0FBF"/>
    <w:rsid w:val="00EA182F"/>
    <w:rsid w:val="00EA1992"/>
    <w:rsid w:val="00EA1A49"/>
    <w:rsid w:val="00EA1A54"/>
    <w:rsid w:val="00EA1E82"/>
    <w:rsid w:val="00EA2445"/>
    <w:rsid w:val="00EA252D"/>
    <w:rsid w:val="00EA29F6"/>
    <w:rsid w:val="00EA2BDD"/>
    <w:rsid w:val="00EA3587"/>
    <w:rsid w:val="00EA4781"/>
    <w:rsid w:val="00EA4874"/>
    <w:rsid w:val="00EA4C3F"/>
    <w:rsid w:val="00EA4D03"/>
    <w:rsid w:val="00EA5502"/>
    <w:rsid w:val="00EA5751"/>
    <w:rsid w:val="00EA58D9"/>
    <w:rsid w:val="00EA6369"/>
    <w:rsid w:val="00EA66E8"/>
    <w:rsid w:val="00EA6A90"/>
    <w:rsid w:val="00EA6F9D"/>
    <w:rsid w:val="00EA7679"/>
    <w:rsid w:val="00EA7DB3"/>
    <w:rsid w:val="00EA7E25"/>
    <w:rsid w:val="00EA7EB7"/>
    <w:rsid w:val="00EA7EF9"/>
    <w:rsid w:val="00EB0052"/>
    <w:rsid w:val="00EB0791"/>
    <w:rsid w:val="00EB0978"/>
    <w:rsid w:val="00EB16BB"/>
    <w:rsid w:val="00EB1924"/>
    <w:rsid w:val="00EB2002"/>
    <w:rsid w:val="00EB20FC"/>
    <w:rsid w:val="00EB22CF"/>
    <w:rsid w:val="00EB2EC6"/>
    <w:rsid w:val="00EB326B"/>
    <w:rsid w:val="00EB35C8"/>
    <w:rsid w:val="00EB3822"/>
    <w:rsid w:val="00EB3B1E"/>
    <w:rsid w:val="00EB4520"/>
    <w:rsid w:val="00EB4922"/>
    <w:rsid w:val="00EB49F8"/>
    <w:rsid w:val="00EB50ED"/>
    <w:rsid w:val="00EB5230"/>
    <w:rsid w:val="00EB5F80"/>
    <w:rsid w:val="00EB641F"/>
    <w:rsid w:val="00EB69B2"/>
    <w:rsid w:val="00EB70AD"/>
    <w:rsid w:val="00EB74F4"/>
    <w:rsid w:val="00EB75B2"/>
    <w:rsid w:val="00EB79C5"/>
    <w:rsid w:val="00EC034E"/>
    <w:rsid w:val="00EC04FA"/>
    <w:rsid w:val="00EC088B"/>
    <w:rsid w:val="00EC0C78"/>
    <w:rsid w:val="00EC0D46"/>
    <w:rsid w:val="00EC11D6"/>
    <w:rsid w:val="00EC1B61"/>
    <w:rsid w:val="00EC1DF1"/>
    <w:rsid w:val="00EC2013"/>
    <w:rsid w:val="00EC21A0"/>
    <w:rsid w:val="00EC21DF"/>
    <w:rsid w:val="00EC2D72"/>
    <w:rsid w:val="00EC2DC8"/>
    <w:rsid w:val="00EC332D"/>
    <w:rsid w:val="00EC3A5B"/>
    <w:rsid w:val="00EC3B7D"/>
    <w:rsid w:val="00EC44FD"/>
    <w:rsid w:val="00EC46DF"/>
    <w:rsid w:val="00EC4F9B"/>
    <w:rsid w:val="00EC5037"/>
    <w:rsid w:val="00EC55D1"/>
    <w:rsid w:val="00EC5F75"/>
    <w:rsid w:val="00EC6194"/>
    <w:rsid w:val="00EC62C9"/>
    <w:rsid w:val="00EC6420"/>
    <w:rsid w:val="00EC680A"/>
    <w:rsid w:val="00EC68C8"/>
    <w:rsid w:val="00ED03E7"/>
    <w:rsid w:val="00ED03F6"/>
    <w:rsid w:val="00ED07CA"/>
    <w:rsid w:val="00ED09AF"/>
    <w:rsid w:val="00ED0B60"/>
    <w:rsid w:val="00ED0B9D"/>
    <w:rsid w:val="00ED1539"/>
    <w:rsid w:val="00ED1B03"/>
    <w:rsid w:val="00ED1CCB"/>
    <w:rsid w:val="00ED1EA4"/>
    <w:rsid w:val="00ED243A"/>
    <w:rsid w:val="00ED2D5D"/>
    <w:rsid w:val="00ED2E9B"/>
    <w:rsid w:val="00ED30BF"/>
    <w:rsid w:val="00ED3A94"/>
    <w:rsid w:val="00ED3D10"/>
    <w:rsid w:val="00ED4293"/>
    <w:rsid w:val="00ED48D6"/>
    <w:rsid w:val="00ED48EC"/>
    <w:rsid w:val="00ED4F65"/>
    <w:rsid w:val="00ED4FD8"/>
    <w:rsid w:val="00ED564A"/>
    <w:rsid w:val="00ED5A83"/>
    <w:rsid w:val="00ED5CF0"/>
    <w:rsid w:val="00ED5DCB"/>
    <w:rsid w:val="00ED6332"/>
    <w:rsid w:val="00ED6597"/>
    <w:rsid w:val="00ED73C5"/>
    <w:rsid w:val="00ED7CCA"/>
    <w:rsid w:val="00EE0110"/>
    <w:rsid w:val="00EE06A0"/>
    <w:rsid w:val="00EE07A0"/>
    <w:rsid w:val="00EE1140"/>
    <w:rsid w:val="00EE186D"/>
    <w:rsid w:val="00EE1A50"/>
    <w:rsid w:val="00EE1D96"/>
    <w:rsid w:val="00EE209E"/>
    <w:rsid w:val="00EE26A6"/>
    <w:rsid w:val="00EE27A1"/>
    <w:rsid w:val="00EE286D"/>
    <w:rsid w:val="00EE2D5A"/>
    <w:rsid w:val="00EE2FF8"/>
    <w:rsid w:val="00EE3643"/>
    <w:rsid w:val="00EE3C70"/>
    <w:rsid w:val="00EE4331"/>
    <w:rsid w:val="00EE44F5"/>
    <w:rsid w:val="00EE4553"/>
    <w:rsid w:val="00EE4A85"/>
    <w:rsid w:val="00EE52B4"/>
    <w:rsid w:val="00EE591F"/>
    <w:rsid w:val="00EE6045"/>
    <w:rsid w:val="00EE620F"/>
    <w:rsid w:val="00EE6496"/>
    <w:rsid w:val="00EE671F"/>
    <w:rsid w:val="00EE69DF"/>
    <w:rsid w:val="00EE6FB8"/>
    <w:rsid w:val="00EE778D"/>
    <w:rsid w:val="00EE7848"/>
    <w:rsid w:val="00EE7F4C"/>
    <w:rsid w:val="00EF18FB"/>
    <w:rsid w:val="00EF20FD"/>
    <w:rsid w:val="00EF22BC"/>
    <w:rsid w:val="00EF27C5"/>
    <w:rsid w:val="00EF3147"/>
    <w:rsid w:val="00EF33FB"/>
    <w:rsid w:val="00EF390B"/>
    <w:rsid w:val="00EF3CC8"/>
    <w:rsid w:val="00EF4265"/>
    <w:rsid w:val="00EF4B45"/>
    <w:rsid w:val="00EF4C57"/>
    <w:rsid w:val="00EF4CB8"/>
    <w:rsid w:val="00EF50C4"/>
    <w:rsid w:val="00EF5BE5"/>
    <w:rsid w:val="00EF5E5A"/>
    <w:rsid w:val="00EF6296"/>
    <w:rsid w:val="00EF68AB"/>
    <w:rsid w:val="00EF6B51"/>
    <w:rsid w:val="00EF6D8A"/>
    <w:rsid w:val="00EF6FE4"/>
    <w:rsid w:val="00EF726B"/>
    <w:rsid w:val="00EF78CA"/>
    <w:rsid w:val="00EF79F6"/>
    <w:rsid w:val="00EF7BF2"/>
    <w:rsid w:val="00EF7EB3"/>
    <w:rsid w:val="00F0084D"/>
    <w:rsid w:val="00F00AF0"/>
    <w:rsid w:val="00F00D57"/>
    <w:rsid w:val="00F00D9C"/>
    <w:rsid w:val="00F010C2"/>
    <w:rsid w:val="00F0127B"/>
    <w:rsid w:val="00F018CF"/>
    <w:rsid w:val="00F01C00"/>
    <w:rsid w:val="00F02083"/>
    <w:rsid w:val="00F02308"/>
    <w:rsid w:val="00F026A9"/>
    <w:rsid w:val="00F02831"/>
    <w:rsid w:val="00F02D8B"/>
    <w:rsid w:val="00F0359D"/>
    <w:rsid w:val="00F035C6"/>
    <w:rsid w:val="00F03E4A"/>
    <w:rsid w:val="00F03F45"/>
    <w:rsid w:val="00F03FC9"/>
    <w:rsid w:val="00F040F4"/>
    <w:rsid w:val="00F0478F"/>
    <w:rsid w:val="00F051AD"/>
    <w:rsid w:val="00F052A2"/>
    <w:rsid w:val="00F05A26"/>
    <w:rsid w:val="00F05E37"/>
    <w:rsid w:val="00F0615B"/>
    <w:rsid w:val="00F06A1C"/>
    <w:rsid w:val="00F07613"/>
    <w:rsid w:val="00F07A4F"/>
    <w:rsid w:val="00F07B7A"/>
    <w:rsid w:val="00F07FD0"/>
    <w:rsid w:val="00F10407"/>
    <w:rsid w:val="00F10408"/>
    <w:rsid w:val="00F10E31"/>
    <w:rsid w:val="00F112A9"/>
    <w:rsid w:val="00F112B0"/>
    <w:rsid w:val="00F11DEB"/>
    <w:rsid w:val="00F1207D"/>
    <w:rsid w:val="00F1260C"/>
    <w:rsid w:val="00F12BF8"/>
    <w:rsid w:val="00F13054"/>
    <w:rsid w:val="00F130A8"/>
    <w:rsid w:val="00F13382"/>
    <w:rsid w:val="00F13422"/>
    <w:rsid w:val="00F13845"/>
    <w:rsid w:val="00F13A68"/>
    <w:rsid w:val="00F13FD9"/>
    <w:rsid w:val="00F14184"/>
    <w:rsid w:val="00F14365"/>
    <w:rsid w:val="00F14BAA"/>
    <w:rsid w:val="00F1553F"/>
    <w:rsid w:val="00F15548"/>
    <w:rsid w:val="00F1585C"/>
    <w:rsid w:val="00F158DA"/>
    <w:rsid w:val="00F15AED"/>
    <w:rsid w:val="00F15C42"/>
    <w:rsid w:val="00F15D87"/>
    <w:rsid w:val="00F16A80"/>
    <w:rsid w:val="00F171AC"/>
    <w:rsid w:val="00F172D3"/>
    <w:rsid w:val="00F17447"/>
    <w:rsid w:val="00F17BF5"/>
    <w:rsid w:val="00F17DA0"/>
    <w:rsid w:val="00F17F45"/>
    <w:rsid w:val="00F203BC"/>
    <w:rsid w:val="00F20660"/>
    <w:rsid w:val="00F208FE"/>
    <w:rsid w:val="00F209CB"/>
    <w:rsid w:val="00F20CDA"/>
    <w:rsid w:val="00F21031"/>
    <w:rsid w:val="00F221ED"/>
    <w:rsid w:val="00F2255E"/>
    <w:rsid w:val="00F22C4F"/>
    <w:rsid w:val="00F230D1"/>
    <w:rsid w:val="00F234A2"/>
    <w:rsid w:val="00F23AB8"/>
    <w:rsid w:val="00F242F5"/>
    <w:rsid w:val="00F24449"/>
    <w:rsid w:val="00F246B1"/>
    <w:rsid w:val="00F24A39"/>
    <w:rsid w:val="00F24CF8"/>
    <w:rsid w:val="00F24F64"/>
    <w:rsid w:val="00F25404"/>
    <w:rsid w:val="00F255CB"/>
    <w:rsid w:val="00F260C5"/>
    <w:rsid w:val="00F26178"/>
    <w:rsid w:val="00F2647C"/>
    <w:rsid w:val="00F2715E"/>
    <w:rsid w:val="00F271CD"/>
    <w:rsid w:val="00F27731"/>
    <w:rsid w:val="00F277D1"/>
    <w:rsid w:val="00F278F0"/>
    <w:rsid w:val="00F27D79"/>
    <w:rsid w:val="00F304D4"/>
    <w:rsid w:val="00F30ADB"/>
    <w:rsid w:val="00F30D4F"/>
    <w:rsid w:val="00F30D84"/>
    <w:rsid w:val="00F31834"/>
    <w:rsid w:val="00F31F21"/>
    <w:rsid w:val="00F320B9"/>
    <w:rsid w:val="00F32E70"/>
    <w:rsid w:val="00F334B1"/>
    <w:rsid w:val="00F337B5"/>
    <w:rsid w:val="00F337BC"/>
    <w:rsid w:val="00F33DB5"/>
    <w:rsid w:val="00F33E68"/>
    <w:rsid w:val="00F340AD"/>
    <w:rsid w:val="00F3517B"/>
    <w:rsid w:val="00F3540E"/>
    <w:rsid w:val="00F3594D"/>
    <w:rsid w:val="00F35C4E"/>
    <w:rsid w:val="00F35D74"/>
    <w:rsid w:val="00F363B1"/>
    <w:rsid w:val="00F363FD"/>
    <w:rsid w:val="00F3650D"/>
    <w:rsid w:val="00F3682A"/>
    <w:rsid w:val="00F36F96"/>
    <w:rsid w:val="00F3713E"/>
    <w:rsid w:val="00F37145"/>
    <w:rsid w:val="00F37AA4"/>
    <w:rsid w:val="00F37CC1"/>
    <w:rsid w:val="00F4057B"/>
    <w:rsid w:val="00F40A85"/>
    <w:rsid w:val="00F40DAB"/>
    <w:rsid w:val="00F40DEF"/>
    <w:rsid w:val="00F41218"/>
    <w:rsid w:val="00F4196B"/>
    <w:rsid w:val="00F41C1B"/>
    <w:rsid w:val="00F41F11"/>
    <w:rsid w:val="00F420FB"/>
    <w:rsid w:val="00F42447"/>
    <w:rsid w:val="00F42584"/>
    <w:rsid w:val="00F4322F"/>
    <w:rsid w:val="00F43B35"/>
    <w:rsid w:val="00F43CD1"/>
    <w:rsid w:val="00F43E9F"/>
    <w:rsid w:val="00F449DC"/>
    <w:rsid w:val="00F44A02"/>
    <w:rsid w:val="00F45199"/>
    <w:rsid w:val="00F45333"/>
    <w:rsid w:val="00F455D9"/>
    <w:rsid w:val="00F46092"/>
    <w:rsid w:val="00F465AA"/>
    <w:rsid w:val="00F46624"/>
    <w:rsid w:val="00F46743"/>
    <w:rsid w:val="00F46EB7"/>
    <w:rsid w:val="00F47408"/>
    <w:rsid w:val="00F4758D"/>
    <w:rsid w:val="00F47787"/>
    <w:rsid w:val="00F4787E"/>
    <w:rsid w:val="00F478C4"/>
    <w:rsid w:val="00F478C9"/>
    <w:rsid w:val="00F50033"/>
    <w:rsid w:val="00F504A1"/>
    <w:rsid w:val="00F50658"/>
    <w:rsid w:val="00F50C3A"/>
    <w:rsid w:val="00F50FF3"/>
    <w:rsid w:val="00F51912"/>
    <w:rsid w:val="00F51A47"/>
    <w:rsid w:val="00F51E5D"/>
    <w:rsid w:val="00F51F8B"/>
    <w:rsid w:val="00F532E6"/>
    <w:rsid w:val="00F53A23"/>
    <w:rsid w:val="00F53AE2"/>
    <w:rsid w:val="00F53C7E"/>
    <w:rsid w:val="00F540BF"/>
    <w:rsid w:val="00F54104"/>
    <w:rsid w:val="00F5453C"/>
    <w:rsid w:val="00F5485D"/>
    <w:rsid w:val="00F548A8"/>
    <w:rsid w:val="00F557FF"/>
    <w:rsid w:val="00F558EF"/>
    <w:rsid w:val="00F55A05"/>
    <w:rsid w:val="00F55A6A"/>
    <w:rsid w:val="00F55D67"/>
    <w:rsid w:val="00F56104"/>
    <w:rsid w:val="00F56559"/>
    <w:rsid w:val="00F565A2"/>
    <w:rsid w:val="00F56933"/>
    <w:rsid w:val="00F56F9E"/>
    <w:rsid w:val="00F57039"/>
    <w:rsid w:val="00F572A6"/>
    <w:rsid w:val="00F574A3"/>
    <w:rsid w:val="00F576D7"/>
    <w:rsid w:val="00F600BC"/>
    <w:rsid w:val="00F6024C"/>
    <w:rsid w:val="00F602DC"/>
    <w:rsid w:val="00F6055C"/>
    <w:rsid w:val="00F60B4C"/>
    <w:rsid w:val="00F60D44"/>
    <w:rsid w:val="00F61111"/>
    <w:rsid w:val="00F61181"/>
    <w:rsid w:val="00F61231"/>
    <w:rsid w:val="00F613D3"/>
    <w:rsid w:val="00F614B7"/>
    <w:rsid w:val="00F614BB"/>
    <w:rsid w:val="00F61559"/>
    <w:rsid w:val="00F61A52"/>
    <w:rsid w:val="00F620D5"/>
    <w:rsid w:val="00F62287"/>
    <w:rsid w:val="00F63ABD"/>
    <w:rsid w:val="00F6448C"/>
    <w:rsid w:val="00F64DEF"/>
    <w:rsid w:val="00F64EFF"/>
    <w:rsid w:val="00F65662"/>
    <w:rsid w:val="00F65747"/>
    <w:rsid w:val="00F6633D"/>
    <w:rsid w:val="00F66739"/>
    <w:rsid w:val="00F672F4"/>
    <w:rsid w:val="00F6736E"/>
    <w:rsid w:val="00F67AE0"/>
    <w:rsid w:val="00F70443"/>
    <w:rsid w:val="00F70744"/>
    <w:rsid w:val="00F70BBA"/>
    <w:rsid w:val="00F70D2A"/>
    <w:rsid w:val="00F7168C"/>
    <w:rsid w:val="00F71BE7"/>
    <w:rsid w:val="00F71E45"/>
    <w:rsid w:val="00F71F3A"/>
    <w:rsid w:val="00F72B2F"/>
    <w:rsid w:val="00F73089"/>
    <w:rsid w:val="00F73283"/>
    <w:rsid w:val="00F73431"/>
    <w:rsid w:val="00F73442"/>
    <w:rsid w:val="00F7348F"/>
    <w:rsid w:val="00F73915"/>
    <w:rsid w:val="00F73C7C"/>
    <w:rsid w:val="00F73CD3"/>
    <w:rsid w:val="00F73E1F"/>
    <w:rsid w:val="00F7443D"/>
    <w:rsid w:val="00F7457B"/>
    <w:rsid w:val="00F746CB"/>
    <w:rsid w:val="00F747A3"/>
    <w:rsid w:val="00F7492B"/>
    <w:rsid w:val="00F75571"/>
    <w:rsid w:val="00F75B97"/>
    <w:rsid w:val="00F75D64"/>
    <w:rsid w:val="00F7663A"/>
    <w:rsid w:val="00F76ACB"/>
    <w:rsid w:val="00F76BA4"/>
    <w:rsid w:val="00F77366"/>
    <w:rsid w:val="00F7740D"/>
    <w:rsid w:val="00F77436"/>
    <w:rsid w:val="00F77968"/>
    <w:rsid w:val="00F77A82"/>
    <w:rsid w:val="00F77B70"/>
    <w:rsid w:val="00F77F0E"/>
    <w:rsid w:val="00F80029"/>
    <w:rsid w:val="00F80270"/>
    <w:rsid w:val="00F81353"/>
    <w:rsid w:val="00F8158E"/>
    <w:rsid w:val="00F815F3"/>
    <w:rsid w:val="00F8167D"/>
    <w:rsid w:val="00F81893"/>
    <w:rsid w:val="00F818C4"/>
    <w:rsid w:val="00F81BBC"/>
    <w:rsid w:val="00F81BED"/>
    <w:rsid w:val="00F81EC8"/>
    <w:rsid w:val="00F8205B"/>
    <w:rsid w:val="00F822EF"/>
    <w:rsid w:val="00F82500"/>
    <w:rsid w:val="00F82615"/>
    <w:rsid w:val="00F8294B"/>
    <w:rsid w:val="00F82A72"/>
    <w:rsid w:val="00F82A83"/>
    <w:rsid w:val="00F82C54"/>
    <w:rsid w:val="00F82DED"/>
    <w:rsid w:val="00F831F0"/>
    <w:rsid w:val="00F831F6"/>
    <w:rsid w:val="00F8354D"/>
    <w:rsid w:val="00F83BDC"/>
    <w:rsid w:val="00F83C61"/>
    <w:rsid w:val="00F83F9B"/>
    <w:rsid w:val="00F84D76"/>
    <w:rsid w:val="00F851A0"/>
    <w:rsid w:val="00F851C0"/>
    <w:rsid w:val="00F852D4"/>
    <w:rsid w:val="00F852E3"/>
    <w:rsid w:val="00F85B11"/>
    <w:rsid w:val="00F85C25"/>
    <w:rsid w:val="00F85DC6"/>
    <w:rsid w:val="00F86338"/>
    <w:rsid w:val="00F86762"/>
    <w:rsid w:val="00F869F1"/>
    <w:rsid w:val="00F86F42"/>
    <w:rsid w:val="00F871F7"/>
    <w:rsid w:val="00F87749"/>
    <w:rsid w:val="00F878C7"/>
    <w:rsid w:val="00F878FA"/>
    <w:rsid w:val="00F87B6D"/>
    <w:rsid w:val="00F87CEB"/>
    <w:rsid w:val="00F90577"/>
    <w:rsid w:val="00F90E5B"/>
    <w:rsid w:val="00F9131F"/>
    <w:rsid w:val="00F91581"/>
    <w:rsid w:val="00F91F11"/>
    <w:rsid w:val="00F92071"/>
    <w:rsid w:val="00F92350"/>
    <w:rsid w:val="00F92626"/>
    <w:rsid w:val="00F92BB6"/>
    <w:rsid w:val="00F92FE7"/>
    <w:rsid w:val="00F930EB"/>
    <w:rsid w:val="00F93253"/>
    <w:rsid w:val="00F93C63"/>
    <w:rsid w:val="00F945F8"/>
    <w:rsid w:val="00F94A32"/>
    <w:rsid w:val="00F94AAA"/>
    <w:rsid w:val="00F94EB0"/>
    <w:rsid w:val="00F95608"/>
    <w:rsid w:val="00F95A5A"/>
    <w:rsid w:val="00F95BAA"/>
    <w:rsid w:val="00F95C08"/>
    <w:rsid w:val="00F95D16"/>
    <w:rsid w:val="00F96195"/>
    <w:rsid w:val="00F961FA"/>
    <w:rsid w:val="00F9695B"/>
    <w:rsid w:val="00F96B09"/>
    <w:rsid w:val="00F96D29"/>
    <w:rsid w:val="00F9775D"/>
    <w:rsid w:val="00F978A6"/>
    <w:rsid w:val="00F979C9"/>
    <w:rsid w:val="00F97B10"/>
    <w:rsid w:val="00F97F9B"/>
    <w:rsid w:val="00FA0AAF"/>
    <w:rsid w:val="00FA0AD8"/>
    <w:rsid w:val="00FA0ED3"/>
    <w:rsid w:val="00FA0F27"/>
    <w:rsid w:val="00FA1C4D"/>
    <w:rsid w:val="00FA1C9B"/>
    <w:rsid w:val="00FA1D5F"/>
    <w:rsid w:val="00FA2374"/>
    <w:rsid w:val="00FA278E"/>
    <w:rsid w:val="00FA2EF5"/>
    <w:rsid w:val="00FA3436"/>
    <w:rsid w:val="00FA353E"/>
    <w:rsid w:val="00FA3602"/>
    <w:rsid w:val="00FA3C3A"/>
    <w:rsid w:val="00FA401D"/>
    <w:rsid w:val="00FA47D5"/>
    <w:rsid w:val="00FA4CAA"/>
    <w:rsid w:val="00FA4DCD"/>
    <w:rsid w:val="00FA5163"/>
    <w:rsid w:val="00FA521A"/>
    <w:rsid w:val="00FA57FA"/>
    <w:rsid w:val="00FA59C7"/>
    <w:rsid w:val="00FA5A3F"/>
    <w:rsid w:val="00FA5A79"/>
    <w:rsid w:val="00FA5BA0"/>
    <w:rsid w:val="00FA5FB2"/>
    <w:rsid w:val="00FA66E4"/>
    <w:rsid w:val="00FA6771"/>
    <w:rsid w:val="00FA690D"/>
    <w:rsid w:val="00FA69D5"/>
    <w:rsid w:val="00FA69E8"/>
    <w:rsid w:val="00FA6B28"/>
    <w:rsid w:val="00FA7658"/>
    <w:rsid w:val="00FA77A9"/>
    <w:rsid w:val="00FA7A15"/>
    <w:rsid w:val="00FA7CB0"/>
    <w:rsid w:val="00FA7D69"/>
    <w:rsid w:val="00FB0472"/>
    <w:rsid w:val="00FB05AF"/>
    <w:rsid w:val="00FB060C"/>
    <w:rsid w:val="00FB0735"/>
    <w:rsid w:val="00FB0D70"/>
    <w:rsid w:val="00FB0F14"/>
    <w:rsid w:val="00FB1227"/>
    <w:rsid w:val="00FB14B0"/>
    <w:rsid w:val="00FB1EB4"/>
    <w:rsid w:val="00FB235E"/>
    <w:rsid w:val="00FB2A01"/>
    <w:rsid w:val="00FB3989"/>
    <w:rsid w:val="00FB3CB7"/>
    <w:rsid w:val="00FB430C"/>
    <w:rsid w:val="00FB431A"/>
    <w:rsid w:val="00FB46E7"/>
    <w:rsid w:val="00FB4900"/>
    <w:rsid w:val="00FB4A49"/>
    <w:rsid w:val="00FB506B"/>
    <w:rsid w:val="00FB5140"/>
    <w:rsid w:val="00FB547D"/>
    <w:rsid w:val="00FB5564"/>
    <w:rsid w:val="00FB58C7"/>
    <w:rsid w:val="00FB5D34"/>
    <w:rsid w:val="00FB607A"/>
    <w:rsid w:val="00FB60CB"/>
    <w:rsid w:val="00FB628B"/>
    <w:rsid w:val="00FB656B"/>
    <w:rsid w:val="00FB668B"/>
    <w:rsid w:val="00FB682A"/>
    <w:rsid w:val="00FB71E6"/>
    <w:rsid w:val="00FC0526"/>
    <w:rsid w:val="00FC0556"/>
    <w:rsid w:val="00FC0796"/>
    <w:rsid w:val="00FC143C"/>
    <w:rsid w:val="00FC1594"/>
    <w:rsid w:val="00FC17D2"/>
    <w:rsid w:val="00FC18DE"/>
    <w:rsid w:val="00FC1944"/>
    <w:rsid w:val="00FC1A31"/>
    <w:rsid w:val="00FC1F11"/>
    <w:rsid w:val="00FC2B55"/>
    <w:rsid w:val="00FC2EEA"/>
    <w:rsid w:val="00FC353E"/>
    <w:rsid w:val="00FC3F26"/>
    <w:rsid w:val="00FC42DC"/>
    <w:rsid w:val="00FC4436"/>
    <w:rsid w:val="00FC49F8"/>
    <w:rsid w:val="00FC50F3"/>
    <w:rsid w:val="00FC55CB"/>
    <w:rsid w:val="00FC5749"/>
    <w:rsid w:val="00FC61CB"/>
    <w:rsid w:val="00FC6304"/>
    <w:rsid w:val="00FC63C3"/>
    <w:rsid w:val="00FC6C11"/>
    <w:rsid w:val="00FC700B"/>
    <w:rsid w:val="00FC707F"/>
    <w:rsid w:val="00FC7BA0"/>
    <w:rsid w:val="00FC7DE4"/>
    <w:rsid w:val="00FD00EC"/>
    <w:rsid w:val="00FD0245"/>
    <w:rsid w:val="00FD042A"/>
    <w:rsid w:val="00FD0609"/>
    <w:rsid w:val="00FD0632"/>
    <w:rsid w:val="00FD0956"/>
    <w:rsid w:val="00FD0A97"/>
    <w:rsid w:val="00FD0AD5"/>
    <w:rsid w:val="00FD0D9C"/>
    <w:rsid w:val="00FD1456"/>
    <w:rsid w:val="00FD14DB"/>
    <w:rsid w:val="00FD1698"/>
    <w:rsid w:val="00FD1CCF"/>
    <w:rsid w:val="00FD1EE0"/>
    <w:rsid w:val="00FD2149"/>
    <w:rsid w:val="00FD2477"/>
    <w:rsid w:val="00FD28FF"/>
    <w:rsid w:val="00FD2A02"/>
    <w:rsid w:val="00FD2FB6"/>
    <w:rsid w:val="00FD3544"/>
    <w:rsid w:val="00FD3D1C"/>
    <w:rsid w:val="00FD3F3D"/>
    <w:rsid w:val="00FD4027"/>
    <w:rsid w:val="00FD4388"/>
    <w:rsid w:val="00FD4A2F"/>
    <w:rsid w:val="00FD4BE0"/>
    <w:rsid w:val="00FD4CBB"/>
    <w:rsid w:val="00FD4DB1"/>
    <w:rsid w:val="00FD4E1F"/>
    <w:rsid w:val="00FD50CE"/>
    <w:rsid w:val="00FD585D"/>
    <w:rsid w:val="00FD58C1"/>
    <w:rsid w:val="00FD5BD7"/>
    <w:rsid w:val="00FD5E7F"/>
    <w:rsid w:val="00FE0283"/>
    <w:rsid w:val="00FE0545"/>
    <w:rsid w:val="00FE0E4D"/>
    <w:rsid w:val="00FE128C"/>
    <w:rsid w:val="00FE1930"/>
    <w:rsid w:val="00FE1995"/>
    <w:rsid w:val="00FE1C02"/>
    <w:rsid w:val="00FE22E9"/>
    <w:rsid w:val="00FE2359"/>
    <w:rsid w:val="00FE2924"/>
    <w:rsid w:val="00FE2E23"/>
    <w:rsid w:val="00FE32ED"/>
    <w:rsid w:val="00FE372E"/>
    <w:rsid w:val="00FE3A09"/>
    <w:rsid w:val="00FE3ACE"/>
    <w:rsid w:val="00FE470B"/>
    <w:rsid w:val="00FE487B"/>
    <w:rsid w:val="00FE4E13"/>
    <w:rsid w:val="00FE543B"/>
    <w:rsid w:val="00FE667B"/>
    <w:rsid w:val="00FE68E8"/>
    <w:rsid w:val="00FE6EC0"/>
    <w:rsid w:val="00FE7383"/>
    <w:rsid w:val="00FE7CD3"/>
    <w:rsid w:val="00FE7E4B"/>
    <w:rsid w:val="00FF02B8"/>
    <w:rsid w:val="00FF050A"/>
    <w:rsid w:val="00FF0767"/>
    <w:rsid w:val="00FF0B08"/>
    <w:rsid w:val="00FF1510"/>
    <w:rsid w:val="00FF1853"/>
    <w:rsid w:val="00FF19E4"/>
    <w:rsid w:val="00FF2792"/>
    <w:rsid w:val="00FF293A"/>
    <w:rsid w:val="00FF29B6"/>
    <w:rsid w:val="00FF304D"/>
    <w:rsid w:val="00FF3FD8"/>
    <w:rsid w:val="00FF4438"/>
    <w:rsid w:val="00FF5738"/>
    <w:rsid w:val="00FF5C51"/>
    <w:rsid w:val="00FF6F3A"/>
    <w:rsid w:val="00FF73BD"/>
    <w:rsid w:val="00FF75F0"/>
    <w:rsid w:val="00FF7D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D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B5B"/>
    <w:rPr>
      <w:sz w:val="24"/>
      <w:lang w:eastAsia="es-ES"/>
    </w:rPr>
  </w:style>
  <w:style w:type="paragraph" w:styleId="Heading1">
    <w:name w:val="heading 1"/>
    <w:aliases w:val="Chapter Title"/>
    <w:basedOn w:val="Normal"/>
    <w:next w:val="Normal"/>
    <w:link w:val="Heading1Char"/>
    <w:qFormat/>
    <w:rsid w:val="00400B5B"/>
    <w:pPr>
      <w:keepNext/>
      <w:numPr>
        <w:numId w:val="5"/>
      </w:numPr>
      <w:jc w:val="both"/>
      <w:outlineLvl w:val="0"/>
    </w:pPr>
    <w:rPr>
      <w:b/>
    </w:rPr>
  </w:style>
  <w:style w:type="paragraph" w:styleId="Heading2">
    <w:name w:val="heading 2"/>
    <w:aliases w:val="Section"/>
    <w:basedOn w:val="Normal"/>
    <w:next w:val="Normal"/>
    <w:link w:val="Heading2Char"/>
    <w:qFormat/>
    <w:rsid w:val="00400B5B"/>
    <w:pPr>
      <w:keepNext/>
      <w:numPr>
        <w:ilvl w:val="1"/>
        <w:numId w:val="5"/>
      </w:numPr>
      <w:outlineLvl w:val="1"/>
    </w:pPr>
    <w:rPr>
      <w:sz w:val="22"/>
      <w:u w:val="single"/>
    </w:rPr>
  </w:style>
  <w:style w:type="paragraph" w:styleId="Heading3">
    <w:name w:val="heading 3"/>
    <w:basedOn w:val="Normal"/>
    <w:next w:val="Normal"/>
    <w:qFormat/>
    <w:rsid w:val="00A2205D"/>
    <w:pPr>
      <w:keepNext/>
      <w:numPr>
        <w:ilvl w:val="2"/>
        <w:numId w:val="5"/>
      </w:numPr>
      <w:tabs>
        <w:tab w:val="left" w:pos="426"/>
      </w:tabs>
      <w:jc w:val="both"/>
      <w:outlineLvl w:val="2"/>
    </w:pPr>
    <w:rPr>
      <w:b/>
    </w:rPr>
  </w:style>
  <w:style w:type="paragraph" w:styleId="Heading4">
    <w:name w:val="heading 4"/>
    <w:basedOn w:val="Normal"/>
    <w:next w:val="Normal"/>
    <w:qFormat/>
    <w:rsid w:val="00400B5B"/>
    <w:pPr>
      <w:keepNext/>
      <w:numPr>
        <w:ilvl w:val="3"/>
        <w:numId w:val="5"/>
      </w:numPr>
      <w:jc w:val="center"/>
      <w:outlineLvl w:val="3"/>
    </w:pPr>
    <w:rPr>
      <w:b/>
    </w:rPr>
  </w:style>
  <w:style w:type="paragraph" w:styleId="Heading5">
    <w:name w:val="heading 5"/>
    <w:basedOn w:val="Normal"/>
    <w:next w:val="Normal"/>
    <w:qFormat/>
    <w:rsid w:val="00400B5B"/>
    <w:pPr>
      <w:keepNext/>
      <w:numPr>
        <w:ilvl w:val="4"/>
        <w:numId w:val="5"/>
      </w:numPr>
      <w:outlineLvl w:val="4"/>
    </w:pPr>
    <w:rPr>
      <w:u w:val="single"/>
    </w:rPr>
  </w:style>
  <w:style w:type="paragraph" w:styleId="Heading6">
    <w:name w:val="heading 6"/>
    <w:basedOn w:val="Normal"/>
    <w:next w:val="Normal"/>
    <w:qFormat/>
    <w:rsid w:val="00400B5B"/>
    <w:pPr>
      <w:keepNext/>
      <w:numPr>
        <w:ilvl w:val="5"/>
        <w:numId w:val="5"/>
      </w:numPr>
      <w:spacing w:line="360" w:lineRule="auto"/>
      <w:outlineLvl w:val="5"/>
    </w:pPr>
    <w:rPr>
      <w:b/>
    </w:rPr>
  </w:style>
  <w:style w:type="paragraph" w:styleId="Heading7">
    <w:name w:val="heading 7"/>
    <w:basedOn w:val="Normal"/>
    <w:next w:val="Normal"/>
    <w:qFormat/>
    <w:rsid w:val="00400B5B"/>
    <w:pPr>
      <w:keepNext/>
      <w:numPr>
        <w:ilvl w:val="6"/>
        <w:numId w:val="5"/>
      </w:numPr>
      <w:pBdr>
        <w:top w:val="single" w:sz="4" w:space="1" w:color="auto"/>
        <w:left w:val="single" w:sz="4" w:space="4" w:color="auto"/>
        <w:bottom w:val="single" w:sz="4" w:space="1" w:color="auto"/>
        <w:right w:val="single" w:sz="4" w:space="4" w:color="auto"/>
      </w:pBdr>
      <w:jc w:val="both"/>
      <w:outlineLvl w:val="6"/>
    </w:pPr>
    <w:rPr>
      <w:u w:val="single"/>
    </w:rPr>
  </w:style>
  <w:style w:type="paragraph" w:styleId="Heading8">
    <w:name w:val="heading 8"/>
    <w:basedOn w:val="Normal"/>
    <w:next w:val="Normal"/>
    <w:qFormat/>
    <w:rsid w:val="00400B5B"/>
    <w:pPr>
      <w:keepNext/>
      <w:numPr>
        <w:ilvl w:val="7"/>
        <w:numId w:val="5"/>
      </w:numPr>
      <w:outlineLvl w:val="7"/>
    </w:pPr>
    <w:rPr>
      <w:b/>
      <w:sz w:val="20"/>
    </w:rPr>
  </w:style>
  <w:style w:type="paragraph" w:styleId="Heading9">
    <w:name w:val="heading 9"/>
    <w:basedOn w:val="Normal"/>
    <w:next w:val="Normal"/>
    <w:qFormat/>
    <w:rsid w:val="00400B5B"/>
    <w:pPr>
      <w:keepNext/>
      <w:numPr>
        <w:ilvl w:val="8"/>
        <w:numId w:val="5"/>
      </w:numP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400B5B"/>
    <w:rPr>
      <w:rFonts w:ascii="Tahoma" w:hAnsi="Tahoma" w:cs="Tahoma"/>
      <w:sz w:val="16"/>
      <w:szCs w:val="16"/>
    </w:rPr>
  </w:style>
  <w:style w:type="character" w:customStyle="1" w:styleId="BalloonTextChar">
    <w:name w:val="Balloon Text Char"/>
    <w:basedOn w:val="DefaultParagraphFont"/>
    <w:uiPriority w:val="99"/>
    <w:semiHidden/>
    <w:rsid w:val="00C167C3"/>
    <w:rPr>
      <w:rFonts w:ascii="Lucida Grande" w:hAnsi="Lucida Grande"/>
      <w:sz w:val="18"/>
      <w:szCs w:val="18"/>
    </w:rPr>
  </w:style>
  <w:style w:type="character" w:customStyle="1" w:styleId="BalloonTextChar2">
    <w:name w:val="Balloon Text Char2"/>
    <w:basedOn w:val="DefaultParagraphFont"/>
    <w:uiPriority w:val="99"/>
    <w:semiHidden/>
    <w:rsid w:val="00C167C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E0DDE"/>
    <w:rPr>
      <w:rFonts w:ascii="Lucida Grande" w:hAnsi="Lucida Grande"/>
      <w:sz w:val="18"/>
      <w:szCs w:val="18"/>
    </w:rPr>
  </w:style>
  <w:style w:type="paragraph" w:customStyle="1" w:styleId="Outline">
    <w:name w:val="Outline"/>
    <w:basedOn w:val="Normal"/>
    <w:rsid w:val="00400B5B"/>
    <w:pPr>
      <w:spacing w:before="240"/>
    </w:pPr>
    <w:rPr>
      <w:kern w:val="28"/>
    </w:rPr>
  </w:style>
  <w:style w:type="paragraph" w:customStyle="1" w:styleId="Outline1">
    <w:name w:val="Outline1"/>
    <w:basedOn w:val="Outline"/>
    <w:next w:val="Outline2"/>
    <w:rsid w:val="00400B5B"/>
    <w:pPr>
      <w:keepNext/>
      <w:numPr>
        <w:numId w:val="1"/>
      </w:numPr>
      <w:tabs>
        <w:tab w:val="clear" w:pos="432"/>
        <w:tab w:val="num" w:pos="360"/>
      </w:tabs>
      <w:ind w:left="360" w:hanging="360"/>
    </w:pPr>
  </w:style>
  <w:style w:type="paragraph" w:customStyle="1" w:styleId="Outline2">
    <w:name w:val="Outline2"/>
    <w:basedOn w:val="Normal"/>
    <w:rsid w:val="00400B5B"/>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400B5B"/>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400B5B"/>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link w:val="outlinebulletChar"/>
    <w:rsid w:val="00400B5B"/>
    <w:pPr>
      <w:numPr>
        <w:numId w:val="2"/>
      </w:numPr>
      <w:tabs>
        <w:tab w:val="left" w:pos="1440"/>
      </w:tabs>
      <w:spacing w:before="120"/>
    </w:pPr>
  </w:style>
  <w:style w:type="character" w:customStyle="1" w:styleId="outlinebulletChar">
    <w:name w:val="outlinebullet Char"/>
    <w:basedOn w:val="DefaultParagraphFont"/>
    <w:link w:val="outlinebullet"/>
    <w:rsid w:val="00400B5B"/>
    <w:rPr>
      <w:sz w:val="24"/>
      <w:lang w:eastAsia="es-ES"/>
    </w:rPr>
  </w:style>
  <w:style w:type="paragraph" w:styleId="BodyTextIndent2">
    <w:name w:val="Body Text Indent 2"/>
    <w:basedOn w:val="Normal"/>
    <w:rsid w:val="00400B5B"/>
    <w:pPr>
      <w:ind w:left="1416"/>
    </w:pPr>
  </w:style>
  <w:style w:type="paragraph" w:styleId="BodyText">
    <w:name w:val="Body Text"/>
    <w:basedOn w:val="Normal"/>
    <w:rsid w:val="00400B5B"/>
  </w:style>
  <w:style w:type="paragraph" w:styleId="BodyText2">
    <w:name w:val="Body Text 2"/>
    <w:basedOn w:val="Normal"/>
    <w:rsid w:val="00400B5B"/>
    <w:rPr>
      <w:sz w:val="22"/>
    </w:rPr>
  </w:style>
  <w:style w:type="paragraph" w:styleId="BodyText3">
    <w:name w:val="Body Text 3"/>
    <w:basedOn w:val="Normal"/>
    <w:rsid w:val="00400B5B"/>
    <w:pPr>
      <w:jc w:val="both"/>
    </w:pPr>
  </w:style>
  <w:style w:type="paragraph" w:customStyle="1" w:styleId="BankNormal">
    <w:name w:val="BankNormal"/>
    <w:basedOn w:val="Normal"/>
    <w:rsid w:val="00400B5B"/>
    <w:pPr>
      <w:spacing w:after="240"/>
    </w:pPr>
    <w:rPr>
      <w:sz w:val="22"/>
    </w:rPr>
  </w:style>
  <w:style w:type="paragraph" w:styleId="Footer">
    <w:name w:val="footer"/>
    <w:basedOn w:val="Normal"/>
    <w:link w:val="FooterChar"/>
    <w:uiPriority w:val="99"/>
    <w:rsid w:val="00400B5B"/>
    <w:pPr>
      <w:tabs>
        <w:tab w:val="center" w:pos="4320"/>
        <w:tab w:val="right" w:pos="8640"/>
      </w:tabs>
    </w:pPr>
    <w:rPr>
      <w:sz w:val="20"/>
    </w:rPr>
  </w:style>
  <w:style w:type="paragraph" w:customStyle="1" w:styleId="Body">
    <w:name w:val="Body"/>
    <w:basedOn w:val="BodyTextIndent"/>
    <w:link w:val="BodyChar"/>
    <w:rsid w:val="00400B5B"/>
    <w:pPr>
      <w:widowControl w:val="0"/>
      <w:suppressAutoHyphens/>
      <w:spacing w:after="0"/>
      <w:ind w:left="0" w:firstLine="720"/>
      <w:jc w:val="both"/>
    </w:pPr>
    <w:rPr>
      <w:spacing w:val="-3"/>
      <w:lang w:val="es-ES"/>
    </w:rPr>
  </w:style>
  <w:style w:type="paragraph" w:styleId="BodyTextIndent">
    <w:name w:val="Body Text Indent"/>
    <w:basedOn w:val="Normal"/>
    <w:rsid w:val="00400B5B"/>
    <w:pPr>
      <w:spacing w:after="120"/>
      <w:ind w:left="360"/>
    </w:pPr>
  </w:style>
  <w:style w:type="paragraph" w:styleId="FootnoteText">
    <w:name w:val="footnote text"/>
    <w:aliases w:val="Footnote Text Char,single space,FOOTNOTES,fn,ADB,WB-Fuﬂnotentext,Footnote,Fuﬂnote,footnote text,WB-Fußnotentext,Fußnote,ALTS FOOTNOTE,Footnote Text Char2 Char,Footnote Text Char1 Char Char,Footnote Text Char2 Char Char Char,ft,Nbpage Moens"/>
    <w:basedOn w:val="Normal"/>
    <w:link w:val="FootnoteTextChar2"/>
    <w:qFormat/>
    <w:rsid w:val="00400B5B"/>
    <w:rPr>
      <w:sz w:val="20"/>
    </w:rPr>
  </w:style>
  <w:style w:type="character" w:customStyle="1" w:styleId="FootnoteTextChar2">
    <w:name w:val="Footnote Text Char2"/>
    <w:aliases w:val="Footnote Text Char Char,single space Char,FOOTNOTES Char,fn Char,ADB Char,WB-Fuﬂnotentext Char,Footnote Char,Fuﬂnote Char,footnote text Char,WB-Fußnotentext Char,Fußnote Char,ALTS FOOTNOTE Char,Footnote Text Char2 Char Char,ft Char"/>
    <w:basedOn w:val="DefaultParagraphFont"/>
    <w:link w:val="FootnoteText"/>
    <w:uiPriority w:val="99"/>
    <w:rsid w:val="00400B5B"/>
    <w:rPr>
      <w:lang w:val="en-US" w:eastAsia="es-ES" w:bidi="ar-SA"/>
    </w:rPr>
  </w:style>
  <w:style w:type="character" w:styleId="FootnoteReference">
    <w:name w:val="footnote reference"/>
    <w:aliases w:val="Char Char,ftref,BVI fnr,16 Point,Superscript 6 Point,Ref,de nota al pie,fr,Used by Word for Help footnote symbols,Car Car Char Car Char Car Car Char Car Char Char,SUPERS,BVI f,Car Car Char Car Char Car Car Char Car Char Cha,note TESI"/>
    <w:basedOn w:val="DefaultParagraphFont"/>
    <w:qFormat/>
    <w:rsid w:val="00C273A5"/>
    <w:rPr>
      <w:vertAlign w:val="superscript"/>
    </w:rPr>
  </w:style>
  <w:style w:type="paragraph" w:customStyle="1" w:styleId="IndentedParagraph">
    <w:name w:val="Indented Paragraph"/>
    <w:basedOn w:val="Normal"/>
    <w:link w:val="IndentedParagraphChar"/>
    <w:rsid w:val="00400B5B"/>
    <w:pPr>
      <w:tabs>
        <w:tab w:val="left" w:pos="851"/>
      </w:tabs>
      <w:spacing w:after="120"/>
      <w:ind w:left="851" w:hanging="851"/>
      <w:jc w:val="both"/>
    </w:pPr>
    <w:rPr>
      <w:sz w:val="22"/>
      <w:lang w:val="en-GB"/>
    </w:rPr>
  </w:style>
  <w:style w:type="character" w:customStyle="1" w:styleId="IndentedParagraphChar">
    <w:name w:val="Indented Paragraph Char"/>
    <w:basedOn w:val="DefaultParagraphFont"/>
    <w:link w:val="IndentedParagraph"/>
    <w:rsid w:val="00400B5B"/>
    <w:rPr>
      <w:sz w:val="22"/>
      <w:lang w:val="en-GB" w:eastAsia="es-ES" w:bidi="ar-SA"/>
    </w:rPr>
  </w:style>
  <w:style w:type="character" w:styleId="PageNumber">
    <w:name w:val="page number"/>
    <w:basedOn w:val="DefaultParagraphFont"/>
    <w:rsid w:val="00400B5B"/>
  </w:style>
  <w:style w:type="paragraph" w:styleId="BodyTextIndent3">
    <w:name w:val="Body Text Indent 3"/>
    <w:basedOn w:val="Normal"/>
    <w:rsid w:val="00400B5B"/>
    <w:pPr>
      <w:ind w:left="450"/>
      <w:jc w:val="both"/>
    </w:pPr>
    <w:rPr>
      <w:i/>
      <w:lang w:val="en-GB"/>
    </w:rPr>
  </w:style>
  <w:style w:type="paragraph" w:customStyle="1" w:styleId="Normale1">
    <w:name w:val="Normale1"/>
    <w:basedOn w:val="Normal"/>
    <w:rsid w:val="00400B5B"/>
    <w:rPr>
      <w:color w:val="000000"/>
      <w:sz w:val="20"/>
    </w:rPr>
  </w:style>
  <w:style w:type="paragraph" w:customStyle="1" w:styleId="Corpodeltesto31">
    <w:name w:val="Corpo del testo 31"/>
    <w:basedOn w:val="Normal"/>
    <w:rsid w:val="00400B5B"/>
    <w:pPr>
      <w:tabs>
        <w:tab w:val="left" w:pos="0"/>
      </w:tabs>
      <w:jc w:val="both"/>
    </w:pPr>
    <w:rPr>
      <w:color w:val="000000"/>
      <w:sz w:val="20"/>
    </w:rPr>
  </w:style>
  <w:style w:type="paragraph" w:customStyle="1" w:styleId="UnnumberedHeading1">
    <w:name w:val="Unnumbered Heading 1"/>
    <w:basedOn w:val="Normal"/>
    <w:rsid w:val="00400B5B"/>
    <w:pPr>
      <w:jc w:val="center"/>
    </w:pPr>
    <w:rPr>
      <w:b/>
      <w:smallCaps/>
    </w:rPr>
  </w:style>
  <w:style w:type="paragraph" w:customStyle="1" w:styleId="H5">
    <w:name w:val="H5"/>
    <w:basedOn w:val="Normal"/>
    <w:next w:val="Normal"/>
    <w:rsid w:val="00400B5B"/>
    <w:pPr>
      <w:keepNext/>
      <w:widowControl w:val="0"/>
      <w:spacing w:before="100" w:after="100"/>
      <w:jc w:val="both"/>
    </w:pPr>
    <w:rPr>
      <w:rFonts w:ascii="CG Omega" w:hAnsi="CG Omega"/>
      <w:b/>
      <w:sz w:val="22"/>
      <w:lang w:val="es-ES"/>
    </w:rPr>
  </w:style>
  <w:style w:type="paragraph" w:styleId="ListContinue2">
    <w:name w:val="List Continue 2"/>
    <w:basedOn w:val="Normal"/>
    <w:rsid w:val="00400B5B"/>
    <w:pPr>
      <w:spacing w:after="120"/>
      <w:ind w:left="566"/>
      <w:jc w:val="both"/>
    </w:pPr>
    <w:rPr>
      <w:rFonts w:ascii="Arial" w:hAnsi="Arial"/>
      <w:sz w:val="20"/>
      <w:lang w:val="pt-BR"/>
    </w:rPr>
  </w:style>
  <w:style w:type="paragraph" w:customStyle="1" w:styleId="Paragrafo">
    <w:name w:val="Paragrafo"/>
    <w:basedOn w:val="Normal"/>
    <w:rsid w:val="00400B5B"/>
    <w:pPr>
      <w:ind w:firstLine="851"/>
      <w:jc w:val="both"/>
    </w:pPr>
    <w:rPr>
      <w:sz w:val="26"/>
      <w:lang w:val="en-GB"/>
    </w:rPr>
  </w:style>
  <w:style w:type="paragraph" w:styleId="TOC1">
    <w:name w:val="toc 1"/>
    <w:basedOn w:val="Normal"/>
    <w:next w:val="Normal"/>
    <w:autoRedefine/>
    <w:uiPriority w:val="39"/>
    <w:rsid w:val="00327B6C"/>
    <w:pPr>
      <w:tabs>
        <w:tab w:val="left" w:pos="600"/>
        <w:tab w:val="right" w:leader="dot" w:pos="9450"/>
      </w:tabs>
      <w:spacing w:line="360" w:lineRule="auto"/>
      <w:ind w:left="600" w:hanging="600"/>
    </w:pPr>
    <w:rPr>
      <w:b/>
      <w:noProof/>
      <w:sz w:val="22"/>
    </w:rPr>
  </w:style>
  <w:style w:type="paragraph" w:styleId="TOC2">
    <w:name w:val="toc 2"/>
    <w:basedOn w:val="Normal"/>
    <w:next w:val="Normal"/>
    <w:autoRedefine/>
    <w:uiPriority w:val="39"/>
    <w:rsid w:val="00E74EEE"/>
    <w:pPr>
      <w:tabs>
        <w:tab w:val="left" w:pos="540"/>
        <w:tab w:val="right" w:leader="dot" w:pos="9180"/>
      </w:tabs>
      <w:spacing w:line="360" w:lineRule="auto"/>
      <w:ind w:left="540" w:right="-240" w:hanging="540"/>
    </w:pPr>
    <w:rPr>
      <w:sz w:val="22"/>
    </w:rPr>
  </w:style>
  <w:style w:type="paragraph" w:styleId="Header">
    <w:name w:val="header"/>
    <w:basedOn w:val="Normal"/>
    <w:link w:val="HeaderChar"/>
    <w:uiPriority w:val="99"/>
    <w:rsid w:val="00400B5B"/>
    <w:pPr>
      <w:tabs>
        <w:tab w:val="center" w:pos="4320"/>
        <w:tab w:val="right" w:pos="8640"/>
      </w:tabs>
    </w:pPr>
  </w:style>
  <w:style w:type="character" w:styleId="Hyperlink">
    <w:name w:val="Hyperlink"/>
    <w:basedOn w:val="DefaultParagraphFont"/>
    <w:uiPriority w:val="99"/>
    <w:rsid w:val="00400B5B"/>
    <w:rPr>
      <w:color w:val="0000FF"/>
      <w:u w:val="single"/>
    </w:rPr>
  </w:style>
  <w:style w:type="paragraph" w:customStyle="1" w:styleId="Paragraph">
    <w:name w:val="Paragraph"/>
    <w:basedOn w:val="Normal"/>
    <w:link w:val="ParagraphChar"/>
    <w:qFormat/>
    <w:rsid w:val="00400B5B"/>
    <w:pPr>
      <w:spacing w:after="120"/>
      <w:jc w:val="both"/>
    </w:pPr>
    <w:rPr>
      <w:rFonts w:ascii="Arial" w:hAnsi="Arial"/>
      <w:sz w:val="22"/>
      <w:lang w:val="en-GB" w:eastAsia="en-US"/>
    </w:rPr>
  </w:style>
  <w:style w:type="character" w:customStyle="1" w:styleId="ParagraphChar">
    <w:name w:val="Paragraph Char"/>
    <w:basedOn w:val="DefaultParagraphFont"/>
    <w:link w:val="Paragraph"/>
    <w:rsid w:val="00400B5B"/>
    <w:rPr>
      <w:rFonts w:ascii="Arial" w:hAnsi="Arial"/>
      <w:sz w:val="22"/>
      <w:lang w:val="en-GB" w:eastAsia="en-US" w:bidi="ar-SA"/>
    </w:rPr>
  </w:style>
  <w:style w:type="character" w:styleId="CommentReference">
    <w:name w:val="annotation reference"/>
    <w:basedOn w:val="DefaultParagraphFont"/>
    <w:uiPriority w:val="99"/>
    <w:semiHidden/>
    <w:rsid w:val="00400B5B"/>
    <w:rPr>
      <w:sz w:val="16"/>
      <w:szCs w:val="16"/>
    </w:rPr>
  </w:style>
  <w:style w:type="paragraph" w:styleId="CommentText">
    <w:name w:val="annotation text"/>
    <w:basedOn w:val="Normal"/>
    <w:link w:val="CommentTextChar"/>
    <w:uiPriority w:val="99"/>
    <w:semiHidden/>
    <w:rsid w:val="00400B5B"/>
    <w:rPr>
      <w:rFonts w:ascii="Arial" w:hAnsi="Arial"/>
      <w:sz w:val="20"/>
      <w:lang w:val="en-GB" w:eastAsia="en-US"/>
    </w:rPr>
  </w:style>
  <w:style w:type="paragraph" w:customStyle="1" w:styleId="IndentedHeading1">
    <w:name w:val="Indented Heading 1"/>
    <w:basedOn w:val="Heading1"/>
    <w:next w:val="Paragraph"/>
    <w:rsid w:val="00400B5B"/>
    <w:pPr>
      <w:numPr>
        <w:numId w:val="0"/>
      </w:numPr>
      <w:spacing w:before="600" w:after="240"/>
      <w:ind w:left="851" w:hanging="851"/>
      <w:jc w:val="left"/>
    </w:pPr>
    <w:rPr>
      <w:rFonts w:ascii="Arial" w:hAnsi="Arial"/>
      <w:sz w:val="26"/>
      <w:lang w:val="en-GB" w:eastAsia="en-US"/>
    </w:rPr>
  </w:style>
  <w:style w:type="paragraph" w:customStyle="1" w:styleId="Bullethyphen">
    <w:name w:val="Bullet hyphen"/>
    <w:basedOn w:val="Paragraph"/>
    <w:rsid w:val="00400B5B"/>
    <w:pPr>
      <w:numPr>
        <w:ilvl w:val="1"/>
        <w:numId w:val="3"/>
      </w:numPr>
      <w:tabs>
        <w:tab w:val="clear" w:pos="851"/>
        <w:tab w:val="num" w:pos="360"/>
      </w:tabs>
      <w:ind w:left="0" w:firstLine="0"/>
    </w:pPr>
  </w:style>
  <w:style w:type="table" w:styleId="TableGrid">
    <w:name w:val="Table Grid"/>
    <w:basedOn w:val="TableNormal"/>
    <w:rsid w:val="00402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edHeading2">
    <w:name w:val="Indented Heading 2"/>
    <w:basedOn w:val="Heading2"/>
    <w:next w:val="Paragraph"/>
    <w:rsid w:val="00755DD3"/>
    <w:pPr>
      <w:numPr>
        <w:ilvl w:val="0"/>
        <w:numId w:val="0"/>
      </w:numPr>
      <w:spacing w:before="360" w:after="120"/>
      <w:ind w:left="851" w:hanging="851"/>
    </w:pPr>
    <w:rPr>
      <w:rFonts w:ascii="Arial" w:hAnsi="Arial"/>
      <w:b/>
      <w:u w:val="none"/>
      <w:lang w:val="en-GB" w:eastAsia="en-US"/>
    </w:rPr>
  </w:style>
  <w:style w:type="paragraph" w:styleId="TableofFigures">
    <w:name w:val="table of figures"/>
    <w:aliases w:val="Table"/>
    <w:basedOn w:val="Normal"/>
    <w:next w:val="Normal"/>
    <w:rsid w:val="0099340C"/>
    <w:pPr>
      <w:ind w:left="480" w:hanging="480"/>
      <w:jc w:val="center"/>
    </w:pPr>
    <w:rPr>
      <w:rFonts w:ascii="Arial" w:hAnsi="Arial"/>
      <w:b/>
      <w:lang w:eastAsia="en-US"/>
    </w:rPr>
  </w:style>
  <w:style w:type="paragraph" w:styleId="TOC3">
    <w:name w:val="toc 3"/>
    <w:basedOn w:val="Normal"/>
    <w:next w:val="Normal"/>
    <w:autoRedefine/>
    <w:uiPriority w:val="39"/>
    <w:rsid w:val="006E1CB1"/>
    <w:pPr>
      <w:ind w:left="480"/>
    </w:pPr>
  </w:style>
  <w:style w:type="paragraph" w:styleId="CommentSubject">
    <w:name w:val="annotation subject"/>
    <w:basedOn w:val="CommentText"/>
    <w:next w:val="CommentText"/>
    <w:semiHidden/>
    <w:rsid w:val="00FA7EE3"/>
    <w:rPr>
      <w:rFonts w:ascii="Times New Roman" w:hAnsi="Times New Roman"/>
      <w:sz w:val="24"/>
      <w:lang w:val="en-US" w:eastAsia="es-ES"/>
    </w:rPr>
  </w:style>
  <w:style w:type="paragraph" w:styleId="NormalWeb">
    <w:name w:val="Normal (Web)"/>
    <w:basedOn w:val="Normal"/>
    <w:uiPriority w:val="99"/>
    <w:rsid w:val="00590D5F"/>
    <w:pPr>
      <w:spacing w:before="100" w:beforeAutospacing="1" w:after="100" w:afterAutospacing="1"/>
    </w:pPr>
    <w:rPr>
      <w:color w:val="000000"/>
      <w:szCs w:val="24"/>
      <w:lang w:eastAsia="en-US"/>
    </w:rPr>
  </w:style>
  <w:style w:type="paragraph" w:customStyle="1" w:styleId="Chapter">
    <w:name w:val="Chapter"/>
    <w:basedOn w:val="Normal"/>
    <w:next w:val="Normal"/>
    <w:rsid w:val="007D55EB"/>
    <w:pPr>
      <w:numPr>
        <w:numId w:val="4"/>
      </w:numPr>
      <w:tabs>
        <w:tab w:val="left" w:pos="1440"/>
      </w:tabs>
      <w:spacing w:before="240" w:after="240"/>
      <w:jc w:val="center"/>
    </w:pPr>
    <w:rPr>
      <w:b/>
      <w:smallCaps/>
      <w:lang w:val="es-ES" w:eastAsia="en-US"/>
    </w:rPr>
  </w:style>
  <w:style w:type="paragraph" w:customStyle="1" w:styleId="subpar">
    <w:name w:val="subpar"/>
    <w:basedOn w:val="BodyTextIndent3"/>
    <w:rsid w:val="007D55EB"/>
    <w:pPr>
      <w:tabs>
        <w:tab w:val="num" w:pos="1152"/>
      </w:tabs>
      <w:spacing w:before="120" w:after="120"/>
      <w:ind w:left="1152" w:hanging="432"/>
      <w:outlineLvl w:val="2"/>
    </w:pPr>
    <w:rPr>
      <w:i w:val="0"/>
      <w:lang w:val="es-ES_tradnl" w:eastAsia="en-US"/>
    </w:rPr>
  </w:style>
  <w:style w:type="paragraph" w:customStyle="1" w:styleId="SubSubPar">
    <w:name w:val="SubSubPar"/>
    <w:basedOn w:val="subpar"/>
    <w:rsid w:val="007D55EB"/>
    <w:pPr>
      <w:tabs>
        <w:tab w:val="clear" w:pos="1152"/>
        <w:tab w:val="left" w:pos="0"/>
        <w:tab w:val="num" w:pos="1584"/>
      </w:tabs>
      <w:ind w:left="1584" w:hanging="288"/>
    </w:pPr>
  </w:style>
  <w:style w:type="paragraph" w:customStyle="1" w:styleId="Prrafonumerado">
    <w:name w:val="Párrafo numerado"/>
    <w:basedOn w:val="Normal"/>
    <w:rsid w:val="007D55EB"/>
    <w:pPr>
      <w:tabs>
        <w:tab w:val="num" w:pos="360"/>
      </w:tabs>
      <w:ind w:left="360" w:hanging="360"/>
      <w:jc w:val="both"/>
    </w:pPr>
    <w:rPr>
      <w:b/>
      <w:szCs w:val="24"/>
      <w:lang w:val="es-ES"/>
    </w:rPr>
  </w:style>
  <w:style w:type="paragraph" w:styleId="Caption">
    <w:name w:val="caption"/>
    <w:basedOn w:val="Normal"/>
    <w:next w:val="Normal"/>
    <w:link w:val="CaptionChar"/>
    <w:uiPriority w:val="35"/>
    <w:qFormat/>
    <w:rsid w:val="0056753A"/>
    <w:rPr>
      <w:b/>
      <w:bCs/>
      <w:sz w:val="20"/>
    </w:rPr>
  </w:style>
  <w:style w:type="paragraph" w:styleId="DocumentMap">
    <w:name w:val="Document Map"/>
    <w:basedOn w:val="Normal"/>
    <w:semiHidden/>
    <w:rsid w:val="007204C8"/>
    <w:pPr>
      <w:shd w:val="clear" w:color="auto" w:fill="000080"/>
    </w:pPr>
    <w:rPr>
      <w:rFonts w:ascii="Tahoma" w:hAnsi="Tahoma" w:cs="Tahoma"/>
      <w:sz w:val="20"/>
    </w:rPr>
  </w:style>
  <w:style w:type="paragraph" w:customStyle="1" w:styleId="Testofumetto1">
    <w:name w:val="Testo fumetto1"/>
    <w:basedOn w:val="Normal"/>
    <w:semiHidden/>
    <w:rsid w:val="00322951"/>
    <w:rPr>
      <w:rFonts w:ascii="Tahoma" w:hAnsi="Tahoma" w:cs="Tahoma"/>
      <w:sz w:val="16"/>
      <w:szCs w:val="16"/>
      <w:lang w:val="es-ES"/>
    </w:rPr>
  </w:style>
  <w:style w:type="paragraph" w:customStyle="1" w:styleId="Soggettocommento1">
    <w:name w:val="Soggetto commento1"/>
    <w:basedOn w:val="CommentText"/>
    <w:next w:val="CommentText"/>
    <w:semiHidden/>
    <w:rsid w:val="00322951"/>
    <w:rPr>
      <w:rFonts w:ascii="Times New Roman" w:hAnsi="Times New Roman"/>
      <w:b/>
      <w:bCs/>
      <w:lang w:val="es-ES" w:eastAsia="es-ES"/>
    </w:rPr>
  </w:style>
  <w:style w:type="character" w:customStyle="1" w:styleId="text21">
    <w:name w:val="text21"/>
    <w:basedOn w:val="DefaultParagraphFont"/>
    <w:rsid w:val="000B5BFA"/>
    <w:rPr>
      <w:rFonts w:ascii="Verdana" w:hAnsi="Verdana" w:hint="default"/>
      <w:sz w:val="18"/>
      <w:szCs w:val="18"/>
    </w:rPr>
  </w:style>
  <w:style w:type="paragraph" w:customStyle="1" w:styleId="Para-Title">
    <w:name w:val="Para-Title"/>
    <w:basedOn w:val="BodyTextIndent"/>
    <w:rsid w:val="006021F6"/>
    <w:pPr>
      <w:spacing w:before="240"/>
      <w:ind w:left="0"/>
      <w:jc w:val="both"/>
    </w:pPr>
    <w:rPr>
      <w:b/>
      <w:i/>
      <w:iCs/>
      <w:szCs w:val="24"/>
      <w:lang w:eastAsia="en-US"/>
    </w:rPr>
  </w:style>
  <w:style w:type="character" w:customStyle="1" w:styleId="texto1">
    <w:name w:val="texto1"/>
    <w:basedOn w:val="DefaultParagraphFont"/>
    <w:rsid w:val="00AC269A"/>
    <w:rPr>
      <w:rFonts w:ascii="Verdana" w:hAnsi="Verdana" w:hint="default"/>
      <w:b w:val="0"/>
      <w:bCs w:val="0"/>
      <w:color w:val="000000"/>
      <w:sz w:val="18"/>
      <w:szCs w:val="18"/>
    </w:rPr>
  </w:style>
  <w:style w:type="character" w:styleId="Strong">
    <w:name w:val="Strong"/>
    <w:basedOn w:val="DefaultParagraphFont"/>
    <w:uiPriority w:val="22"/>
    <w:qFormat/>
    <w:rsid w:val="00DB6E06"/>
    <w:rPr>
      <w:b/>
      <w:bCs/>
    </w:rPr>
  </w:style>
  <w:style w:type="paragraph" w:styleId="EndnoteText">
    <w:name w:val="endnote text"/>
    <w:basedOn w:val="Normal"/>
    <w:semiHidden/>
    <w:rsid w:val="00DB6E06"/>
    <w:rPr>
      <w:sz w:val="20"/>
      <w:lang w:eastAsia="en-US"/>
    </w:rPr>
  </w:style>
  <w:style w:type="paragraph" w:customStyle="1" w:styleId="Normal11pt">
    <w:name w:val="Normal + 11 pt"/>
    <w:aliases w:val="Italic,Justified"/>
    <w:basedOn w:val="Body"/>
    <w:link w:val="Normal11ptChar"/>
    <w:rsid w:val="00EF4B45"/>
    <w:pPr>
      <w:tabs>
        <w:tab w:val="left" w:pos="0"/>
        <w:tab w:val="num" w:pos="900"/>
      </w:tabs>
      <w:spacing w:before="120" w:after="120"/>
      <w:ind w:left="900" w:hanging="360"/>
    </w:pPr>
    <w:rPr>
      <w:sz w:val="22"/>
      <w:szCs w:val="22"/>
      <w:lang w:eastAsia="en-US"/>
    </w:rPr>
  </w:style>
  <w:style w:type="paragraph" w:styleId="ListParagraph">
    <w:name w:val="List Paragraph"/>
    <w:aliases w:val="List Paragraph (numbered (a)),Use Case List Paragraph"/>
    <w:basedOn w:val="Normal"/>
    <w:link w:val="ListParagraphChar"/>
    <w:uiPriority w:val="34"/>
    <w:qFormat/>
    <w:rsid w:val="00EF4B45"/>
    <w:pPr>
      <w:ind w:left="720"/>
    </w:pPr>
    <w:rPr>
      <w:szCs w:val="24"/>
      <w:lang w:eastAsia="en-US"/>
    </w:rPr>
  </w:style>
  <w:style w:type="character" w:customStyle="1" w:styleId="Normal11ptChar">
    <w:name w:val="Normal + 11 pt Char"/>
    <w:aliases w:val="Italic Char,Justified Char"/>
    <w:basedOn w:val="DefaultParagraphFont"/>
    <w:link w:val="Normal11pt"/>
    <w:locked/>
    <w:rsid w:val="00EB641F"/>
    <w:rPr>
      <w:spacing w:val="-3"/>
      <w:sz w:val="22"/>
      <w:szCs w:val="22"/>
      <w:lang w:val="es-ES" w:eastAsia="en-US" w:bidi="ar-SA"/>
    </w:rPr>
  </w:style>
  <w:style w:type="character" w:customStyle="1" w:styleId="CommentTextChar">
    <w:name w:val="Comment Text Char"/>
    <w:basedOn w:val="DefaultParagraphFont"/>
    <w:link w:val="CommentText"/>
    <w:uiPriority w:val="99"/>
    <w:semiHidden/>
    <w:rsid w:val="002F3D8F"/>
    <w:rPr>
      <w:rFonts w:ascii="Arial" w:hAnsi="Arial"/>
      <w:lang w:val="en-GB" w:eastAsia="en-US" w:bidi="ar-SA"/>
    </w:rPr>
  </w:style>
  <w:style w:type="character" w:styleId="Emphasis">
    <w:name w:val="Emphasis"/>
    <w:basedOn w:val="DefaultParagraphFont"/>
    <w:uiPriority w:val="20"/>
    <w:qFormat/>
    <w:rsid w:val="006E50F9"/>
    <w:rPr>
      <w:b/>
      <w:bCs/>
      <w:i w:val="0"/>
      <w:iCs w:val="0"/>
    </w:rPr>
  </w:style>
  <w:style w:type="character" w:customStyle="1" w:styleId="FootnoteTextChar1">
    <w:name w:val="Footnote Text Char1"/>
    <w:aliases w:val="Footnote Text Char Char Char Char1,Footnote Text Char Char Char2,Testo nota a piè di pagina Carattere Char1,Geneva 9 Char1,Font: Geneva 9 Char1,Boston 10 Char1,f Char1,F Char1,Testo_note Char,AD Char"/>
    <w:basedOn w:val="DefaultParagraphFont"/>
    <w:locked/>
    <w:rsid w:val="00313BC0"/>
    <w:rPr>
      <w:rFonts w:ascii="Times New Roman" w:hAnsi="Times New Roman" w:cs="Times New Roman"/>
      <w:sz w:val="20"/>
      <w:szCs w:val="20"/>
      <w:lang w:eastAsia="es-ES"/>
    </w:rPr>
  </w:style>
  <w:style w:type="paragraph" w:customStyle="1" w:styleId="Default">
    <w:name w:val="Default"/>
    <w:rsid w:val="00194726"/>
    <w:pPr>
      <w:autoSpaceDE w:val="0"/>
      <w:autoSpaceDN w:val="0"/>
      <w:adjustRightInd w:val="0"/>
    </w:pPr>
    <w:rPr>
      <w:rFonts w:ascii="Arial" w:hAnsi="Arial" w:cs="Arial"/>
      <w:color w:val="000000"/>
      <w:sz w:val="24"/>
      <w:szCs w:val="24"/>
      <w:lang w:val="es-ES" w:eastAsia="es-ES"/>
    </w:rPr>
  </w:style>
  <w:style w:type="character" w:customStyle="1" w:styleId="longtext">
    <w:name w:val="long_text"/>
    <w:basedOn w:val="DefaultParagraphFont"/>
    <w:rsid w:val="00074CC0"/>
  </w:style>
  <w:style w:type="character" w:customStyle="1" w:styleId="gt-icon-text1">
    <w:name w:val="gt-icon-text1"/>
    <w:basedOn w:val="DefaultParagraphFont"/>
    <w:rsid w:val="00135F68"/>
  </w:style>
  <w:style w:type="paragraph" w:styleId="Revision">
    <w:name w:val="Revision"/>
    <w:hidden/>
    <w:uiPriority w:val="99"/>
    <w:semiHidden/>
    <w:rsid w:val="00E929D6"/>
    <w:rPr>
      <w:sz w:val="24"/>
      <w:lang w:eastAsia="es-ES"/>
    </w:rPr>
  </w:style>
  <w:style w:type="character" w:styleId="EndnoteReference">
    <w:name w:val="endnote reference"/>
    <w:basedOn w:val="DefaultParagraphFont"/>
    <w:rsid w:val="000448D5"/>
    <w:rPr>
      <w:vertAlign w:val="superscript"/>
    </w:rPr>
  </w:style>
  <w:style w:type="paragraph" w:styleId="z-TopofForm">
    <w:name w:val="HTML Top of Form"/>
    <w:basedOn w:val="Normal"/>
    <w:next w:val="Normal"/>
    <w:hidden/>
    <w:rsid w:val="0077617F"/>
    <w:pPr>
      <w:pBdr>
        <w:bottom w:val="single" w:sz="6" w:space="1" w:color="auto"/>
      </w:pBdr>
      <w:jc w:val="center"/>
    </w:pPr>
    <w:rPr>
      <w:rFonts w:ascii="Arial" w:hAnsi="Arial" w:cs="Arial"/>
      <w:vanish/>
      <w:sz w:val="16"/>
      <w:szCs w:val="16"/>
      <w:lang w:val="es-ES"/>
    </w:rPr>
  </w:style>
  <w:style w:type="paragraph" w:styleId="z-BottomofForm">
    <w:name w:val="HTML Bottom of Form"/>
    <w:basedOn w:val="Normal"/>
    <w:next w:val="Normal"/>
    <w:hidden/>
    <w:rsid w:val="0077617F"/>
    <w:pPr>
      <w:pBdr>
        <w:top w:val="single" w:sz="6" w:space="1" w:color="auto"/>
      </w:pBdr>
      <w:jc w:val="center"/>
    </w:pPr>
    <w:rPr>
      <w:rFonts w:ascii="Arial" w:hAnsi="Arial" w:cs="Arial"/>
      <w:vanish/>
      <w:sz w:val="16"/>
      <w:szCs w:val="16"/>
      <w:lang w:val="es-ES"/>
    </w:rPr>
  </w:style>
  <w:style w:type="character" w:customStyle="1" w:styleId="Heading1Char">
    <w:name w:val="Heading 1 Char"/>
    <w:aliases w:val="Chapter Title Char"/>
    <w:basedOn w:val="DefaultParagraphFont"/>
    <w:link w:val="Heading1"/>
    <w:rsid w:val="00A710A2"/>
    <w:rPr>
      <w:b/>
      <w:sz w:val="24"/>
      <w:lang w:eastAsia="es-ES"/>
    </w:rPr>
  </w:style>
  <w:style w:type="character" w:customStyle="1" w:styleId="CarCar4">
    <w:name w:val="Car Car4"/>
    <w:basedOn w:val="DefaultParagraphFont"/>
    <w:semiHidden/>
    <w:locked/>
    <w:rsid w:val="000D0482"/>
    <w:rPr>
      <w:rFonts w:ascii="Arial" w:hAnsi="Arial" w:cs="Arial"/>
      <w:lang w:val="en-US" w:eastAsia="en-US"/>
    </w:rPr>
  </w:style>
  <w:style w:type="character" w:customStyle="1" w:styleId="BodyChar">
    <w:name w:val="Body Char"/>
    <w:basedOn w:val="DefaultParagraphFont"/>
    <w:link w:val="Body"/>
    <w:locked/>
    <w:rsid w:val="002C3D29"/>
    <w:rPr>
      <w:spacing w:val="-3"/>
      <w:sz w:val="24"/>
      <w:lang w:val="es-ES" w:eastAsia="es-ES"/>
    </w:rPr>
  </w:style>
  <w:style w:type="table" w:customStyle="1" w:styleId="LightList-Accent11">
    <w:name w:val="Light List - Accent 11"/>
    <w:basedOn w:val="TableNormal"/>
    <w:uiPriority w:val="61"/>
    <w:rsid w:val="00D871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6C44E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ubtitle">
    <w:name w:val="Subtitle"/>
    <w:basedOn w:val="Normal"/>
    <w:next w:val="Normal"/>
    <w:link w:val="SubtitleChar"/>
    <w:qFormat/>
    <w:rsid w:val="00986388"/>
    <w:pPr>
      <w:spacing w:after="60"/>
      <w:jc w:val="center"/>
      <w:outlineLvl w:val="1"/>
    </w:pPr>
    <w:rPr>
      <w:rFonts w:ascii="Cambria" w:hAnsi="Cambria"/>
      <w:szCs w:val="24"/>
    </w:rPr>
  </w:style>
  <w:style w:type="character" w:customStyle="1" w:styleId="SubtitleChar">
    <w:name w:val="Subtitle Char"/>
    <w:basedOn w:val="DefaultParagraphFont"/>
    <w:link w:val="Subtitle"/>
    <w:rsid w:val="00986388"/>
    <w:rPr>
      <w:rFonts w:ascii="Cambria" w:eastAsia="Times New Roman" w:hAnsi="Cambria" w:cs="Times New Roman"/>
      <w:sz w:val="24"/>
      <w:szCs w:val="24"/>
      <w:lang w:eastAsia="es-ES"/>
    </w:rPr>
  </w:style>
  <w:style w:type="character" w:customStyle="1" w:styleId="FooterChar">
    <w:name w:val="Footer Char"/>
    <w:basedOn w:val="DefaultParagraphFont"/>
    <w:link w:val="Footer"/>
    <w:uiPriority w:val="99"/>
    <w:rsid w:val="006718F5"/>
    <w:rPr>
      <w:lang w:eastAsia="es-ES"/>
    </w:rPr>
  </w:style>
  <w:style w:type="character" w:customStyle="1" w:styleId="Heading2Char">
    <w:name w:val="Heading 2 Char"/>
    <w:aliases w:val="Section Char"/>
    <w:basedOn w:val="DefaultParagraphFont"/>
    <w:link w:val="Heading2"/>
    <w:rsid w:val="00635CBE"/>
    <w:rPr>
      <w:sz w:val="22"/>
      <w:u w:val="single"/>
      <w:lang w:eastAsia="es-ES"/>
    </w:rPr>
  </w:style>
  <w:style w:type="paragraph" w:customStyle="1" w:styleId="Time">
    <w:name w:val="Time"/>
    <w:basedOn w:val="Normal"/>
    <w:rsid w:val="00635CBE"/>
    <w:pPr>
      <w:spacing w:before="80"/>
    </w:pPr>
    <w:rPr>
      <w:rFonts w:ascii="Trebuchet MS" w:hAnsi="Trebuchet MS"/>
      <w:spacing w:val="10"/>
      <w:sz w:val="16"/>
      <w:szCs w:val="16"/>
      <w:lang w:eastAsia="en-US"/>
    </w:rPr>
  </w:style>
  <w:style w:type="paragraph" w:customStyle="1" w:styleId="Session">
    <w:name w:val="Session"/>
    <w:basedOn w:val="Normal"/>
    <w:rsid w:val="00635CBE"/>
    <w:pPr>
      <w:jc w:val="center"/>
    </w:pPr>
    <w:rPr>
      <w:rFonts w:ascii="Trebuchet MS" w:hAnsi="Trebuchet MS"/>
      <w:sz w:val="18"/>
      <w:szCs w:val="18"/>
      <w:lang w:eastAsia="en-US"/>
    </w:rPr>
  </w:style>
  <w:style w:type="paragraph" w:customStyle="1" w:styleId="Presentation">
    <w:name w:val="Presentation"/>
    <w:basedOn w:val="Normal"/>
    <w:rsid w:val="00635CBE"/>
    <w:rPr>
      <w:rFonts w:ascii="Trebuchet MS" w:hAnsi="Trebuchet MS"/>
      <w:b/>
      <w:sz w:val="18"/>
      <w:lang w:eastAsia="en-US"/>
    </w:rPr>
  </w:style>
  <w:style w:type="character" w:customStyle="1" w:styleId="HeaderChar">
    <w:name w:val="Header Char"/>
    <w:basedOn w:val="DefaultParagraphFont"/>
    <w:link w:val="Header"/>
    <w:uiPriority w:val="99"/>
    <w:rsid w:val="007F11DD"/>
    <w:rPr>
      <w:sz w:val="24"/>
      <w:lang w:eastAsia="es-ES"/>
    </w:rPr>
  </w:style>
  <w:style w:type="paragraph" w:styleId="Title">
    <w:name w:val="Title"/>
    <w:basedOn w:val="Normal"/>
    <w:link w:val="TitleChar"/>
    <w:qFormat/>
    <w:rsid w:val="007F11DD"/>
    <w:pPr>
      <w:spacing w:line="480" w:lineRule="auto"/>
      <w:jc w:val="center"/>
      <w:outlineLvl w:val="0"/>
    </w:pPr>
    <w:rPr>
      <w:b/>
      <w:sz w:val="28"/>
      <w:lang w:eastAsia="en-US"/>
    </w:rPr>
  </w:style>
  <w:style w:type="character" w:customStyle="1" w:styleId="TitleChar">
    <w:name w:val="Title Char"/>
    <w:basedOn w:val="DefaultParagraphFont"/>
    <w:link w:val="Title"/>
    <w:uiPriority w:val="99"/>
    <w:rsid w:val="007F11DD"/>
    <w:rPr>
      <w:b/>
      <w:sz w:val="28"/>
    </w:rPr>
  </w:style>
  <w:style w:type="character" w:styleId="FollowedHyperlink">
    <w:name w:val="FollowedHyperlink"/>
    <w:basedOn w:val="DefaultParagraphFont"/>
    <w:rsid w:val="00787AA0"/>
    <w:rPr>
      <w:color w:val="800080"/>
      <w:u w:val="single"/>
    </w:rPr>
  </w:style>
  <w:style w:type="paragraph" w:customStyle="1" w:styleId="Bullet">
    <w:name w:val="Bullet"/>
    <w:basedOn w:val="Normal"/>
    <w:link w:val="BulletChar"/>
    <w:rsid w:val="00D01A9F"/>
    <w:pPr>
      <w:numPr>
        <w:numId w:val="6"/>
      </w:numPr>
      <w:spacing w:after="240"/>
    </w:pPr>
    <w:rPr>
      <w:rFonts w:asciiTheme="minorHAnsi" w:eastAsiaTheme="minorHAnsi" w:hAnsiTheme="minorHAnsi" w:cstheme="minorBidi"/>
      <w:sz w:val="22"/>
      <w:szCs w:val="22"/>
      <w:lang w:val="en-AU" w:eastAsia="en-US"/>
    </w:rPr>
  </w:style>
  <w:style w:type="character" w:customStyle="1" w:styleId="BulletChar">
    <w:name w:val="Bullet Char"/>
    <w:basedOn w:val="DefaultParagraphFont"/>
    <w:link w:val="Bullet"/>
    <w:rsid w:val="00D01A9F"/>
    <w:rPr>
      <w:rFonts w:asciiTheme="minorHAnsi" w:eastAsiaTheme="minorHAnsi" w:hAnsiTheme="minorHAnsi" w:cstheme="minorBidi"/>
      <w:sz w:val="22"/>
      <w:szCs w:val="22"/>
      <w:lang w:val="en-AU"/>
    </w:rPr>
  </w:style>
  <w:style w:type="paragraph" w:customStyle="1" w:styleId="Dash">
    <w:name w:val="Dash"/>
    <w:basedOn w:val="Normal"/>
    <w:rsid w:val="00D01A9F"/>
    <w:pPr>
      <w:numPr>
        <w:ilvl w:val="1"/>
        <w:numId w:val="6"/>
      </w:numPr>
      <w:spacing w:after="240"/>
    </w:pPr>
    <w:rPr>
      <w:rFonts w:asciiTheme="minorHAnsi" w:eastAsiaTheme="minorHAnsi" w:hAnsiTheme="minorHAnsi" w:cstheme="minorBidi"/>
      <w:sz w:val="22"/>
      <w:szCs w:val="22"/>
      <w:lang w:val="en-AU" w:eastAsia="en-US"/>
    </w:rPr>
  </w:style>
  <w:style w:type="paragraph" w:customStyle="1" w:styleId="DoubleDot">
    <w:name w:val="Double Dot"/>
    <w:basedOn w:val="Normal"/>
    <w:rsid w:val="00D01A9F"/>
    <w:pPr>
      <w:numPr>
        <w:ilvl w:val="2"/>
        <w:numId w:val="6"/>
      </w:numPr>
      <w:spacing w:after="240"/>
    </w:pPr>
    <w:rPr>
      <w:rFonts w:asciiTheme="minorHAnsi" w:eastAsiaTheme="minorHAnsi" w:hAnsiTheme="minorHAnsi" w:cstheme="minorBidi"/>
      <w:sz w:val="22"/>
      <w:szCs w:val="22"/>
      <w:lang w:val="en-AU" w:eastAsia="en-US"/>
    </w:rPr>
  </w:style>
  <w:style w:type="paragraph" w:styleId="NoSpacing">
    <w:name w:val="No Spacing"/>
    <w:uiPriority w:val="1"/>
    <w:qFormat/>
    <w:rsid w:val="0015062E"/>
    <w:rPr>
      <w:rFonts w:asciiTheme="minorHAnsi" w:eastAsiaTheme="minorHAnsi" w:hAnsiTheme="minorHAnsi" w:cstheme="minorBidi"/>
      <w:sz w:val="22"/>
      <w:szCs w:val="22"/>
      <w:lang w:val="en-AU"/>
    </w:rPr>
  </w:style>
  <w:style w:type="paragraph" w:customStyle="1" w:styleId="Pa2">
    <w:name w:val="Pa2"/>
    <w:basedOn w:val="Default"/>
    <w:next w:val="Default"/>
    <w:uiPriority w:val="99"/>
    <w:rsid w:val="00695D40"/>
    <w:pPr>
      <w:spacing w:line="241" w:lineRule="atLeast"/>
    </w:pPr>
    <w:rPr>
      <w:rFonts w:ascii="HelveticaNeueLT Pro 45 Lt" w:hAnsi="HelveticaNeueLT Pro 45 Lt" w:cs="Times New Roman"/>
      <w:color w:val="auto"/>
      <w:lang w:val="en-US" w:eastAsia="en-US"/>
    </w:rPr>
  </w:style>
  <w:style w:type="character" w:customStyle="1" w:styleId="A7">
    <w:name w:val="A7"/>
    <w:uiPriority w:val="99"/>
    <w:rsid w:val="00695D40"/>
    <w:rPr>
      <w:rFonts w:cs="HelveticaNeueLT Pro 45 Lt"/>
      <w:color w:val="000000"/>
      <w:sz w:val="20"/>
      <w:szCs w:val="20"/>
    </w:rPr>
  </w:style>
  <w:style w:type="character" w:customStyle="1" w:styleId="A1">
    <w:name w:val="A1"/>
    <w:uiPriority w:val="99"/>
    <w:rsid w:val="00695D40"/>
    <w:rPr>
      <w:rFonts w:ascii="HelveticaNeueLT Pro 55 Roman" w:hAnsi="HelveticaNeueLT Pro 55 Roman" w:cs="HelveticaNeueLT Pro 55 Roman"/>
      <w:color w:val="000000"/>
      <w:sz w:val="22"/>
      <w:szCs w:val="22"/>
    </w:rPr>
  </w:style>
  <w:style w:type="paragraph" w:customStyle="1" w:styleId="Pa3">
    <w:name w:val="Pa3"/>
    <w:basedOn w:val="Default"/>
    <w:next w:val="Default"/>
    <w:uiPriority w:val="99"/>
    <w:rsid w:val="00695D40"/>
    <w:pPr>
      <w:spacing w:line="241" w:lineRule="atLeast"/>
    </w:pPr>
    <w:rPr>
      <w:rFonts w:ascii="HelveticaNeueLT Pro 45 Lt" w:hAnsi="HelveticaNeueLT Pro 45 Lt" w:cs="Times New Roman"/>
      <w:color w:val="auto"/>
      <w:lang w:val="en-US" w:eastAsia="en-US"/>
    </w:rPr>
  </w:style>
  <w:style w:type="paragraph" w:customStyle="1" w:styleId="ParagraphNumbering">
    <w:name w:val="Paragraph Numbering"/>
    <w:basedOn w:val="Normal"/>
    <w:link w:val="ParagraphNumberingChar"/>
    <w:qFormat/>
    <w:rsid w:val="004C0FEE"/>
    <w:pPr>
      <w:numPr>
        <w:numId w:val="7"/>
      </w:numPr>
      <w:spacing w:after="240" w:line="264" w:lineRule="auto"/>
    </w:pPr>
    <w:rPr>
      <w:szCs w:val="24"/>
      <w:lang w:eastAsia="en-US"/>
    </w:rPr>
  </w:style>
  <w:style w:type="character" w:customStyle="1" w:styleId="ParagraphNumberingChar">
    <w:name w:val="Paragraph Numbering Char"/>
    <w:basedOn w:val="DefaultParagraphFont"/>
    <w:link w:val="ParagraphNumbering"/>
    <w:rsid w:val="004C0FEE"/>
    <w:rPr>
      <w:sz w:val="24"/>
      <w:szCs w:val="24"/>
    </w:rPr>
  </w:style>
  <w:style w:type="paragraph" w:styleId="ListBullet">
    <w:name w:val="List Bullet"/>
    <w:basedOn w:val="Normal"/>
    <w:rsid w:val="004C0FEE"/>
    <w:pPr>
      <w:numPr>
        <w:numId w:val="8"/>
      </w:numPr>
      <w:spacing w:after="240"/>
    </w:pPr>
    <w:rPr>
      <w:szCs w:val="24"/>
      <w:lang w:eastAsia="en-US"/>
    </w:rPr>
  </w:style>
  <w:style w:type="character" w:customStyle="1" w:styleId="apple-converted-space">
    <w:name w:val="apple-converted-space"/>
    <w:basedOn w:val="DefaultParagraphFont"/>
    <w:rsid w:val="001F6882"/>
  </w:style>
  <w:style w:type="character" w:customStyle="1" w:styleId="st">
    <w:name w:val="st"/>
    <w:basedOn w:val="DefaultParagraphFont"/>
    <w:rsid w:val="00F3650D"/>
  </w:style>
  <w:style w:type="character" w:customStyle="1" w:styleId="ms-rtefontsize-21">
    <w:name w:val="ms-rtefontsize-21"/>
    <w:basedOn w:val="DefaultParagraphFont"/>
    <w:rsid w:val="008D7596"/>
    <w:rPr>
      <w:sz w:val="20"/>
      <w:szCs w:val="20"/>
    </w:rPr>
  </w:style>
  <w:style w:type="character" w:customStyle="1" w:styleId="A4">
    <w:name w:val="A4"/>
    <w:uiPriority w:val="99"/>
    <w:rsid w:val="00012620"/>
    <w:rPr>
      <w:rFonts w:cs="Bliss 2 Regular"/>
      <w:color w:val="000000"/>
      <w:sz w:val="20"/>
      <w:szCs w:val="20"/>
    </w:rPr>
  </w:style>
  <w:style w:type="paragraph" w:customStyle="1" w:styleId="Body1">
    <w:name w:val="Body 1"/>
    <w:rsid w:val="00DD4115"/>
    <w:pPr>
      <w:spacing w:before="120" w:after="120"/>
      <w:jc w:val="both"/>
      <w:outlineLvl w:val="0"/>
    </w:pPr>
    <w:rPr>
      <w:rFonts w:eastAsia="Arial Unicode MS"/>
      <w:color w:val="000000"/>
      <w:sz w:val="22"/>
      <w:u w:color="000000"/>
    </w:rPr>
  </w:style>
  <w:style w:type="paragraph" w:styleId="TOCHeading">
    <w:name w:val="TOC Heading"/>
    <w:basedOn w:val="Heading1"/>
    <w:next w:val="Normal"/>
    <w:uiPriority w:val="39"/>
    <w:unhideWhenUsed/>
    <w:qFormat/>
    <w:rsid w:val="003C3490"/>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en-US"/>
    </w:rPr>
  </w:style>
  <w:style w:type="character" w:customStyle="1" w:styleId="singlespaceChar1">
    <w:name w:val="single space Char1"/>
    <w:aliases w:val="FOOTNOTES Char1,fn Char1,ADB Char1,WB-Fuﬂnotentext Char1,Footnote Char1,Fuﬂnote Char1,footnote text Char1,WB-Fußnotentext Char1,Fußnote Char1,ALTS FOOTNOTE Char1,Footnote Text Char2 Char Char1,ft Char1,stile 1 Char"/>
    <w:basedOn w:val="DefaultParagraphFont"/>
    <w:semiHidden/>
    <w:rsid w:val="000643D6"/>
    <w:rPr>
      <w:sz w:val="20"/>
      <w:szCs w:val="20"/>
    </w:rPr>
  </w:style>
  <w:style w:type="character" w:customStyle="1" w:styleId="ListParagraphChar">
    <w:name w:val="List Paragraph Char"/>
    <w:aliases w:val="List Paragraph (numbered (a)) Char,Use Case List Paragraph Char"/>
    <w:basedOn w:val="DefaultParagraphFont"/>
    <w:link w:val="ListParagraph"/>
    <w:uiPriority w:val="34"/>
    <w:locked/>
    <w:rsid w:val="00D80589"/>
    <w:rPr>
      <w:sz w:val="24"/>
      <w:szCs w:val="24"/>
    </w:rPr>
  </w:style>
  <w:style w:type="table" w:customStyle="1" w:styleId="GridTable1Light-Accent11">
    <w:name w:val="Grid Table 1 Light - Accent 11"/>
    <w:basedOn w:val="TableNormal"/>
    <w:uiPriority w:val="46"/>
    <w:rsid w:val="002C4050"/>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witch-black">
    <w:name w:val="switch-black"/>
    <w:basedOn w:val="Normal"/>
    <w:rsid w:val="00331345"/>
    <w:pPr>
      <w:spacing w:before="100" w:beforeAutospacing="1" w:after="100" w:afterAutospacing="1"/>
    </w:pPr>
    <w:rPr>
      <w:szCs w:val="24"/>
      <w:lang w:eastAsia="en-US"/>
    </w:rPr>
  </w:style>
  <w:style w:type="character" w:customStyle="1" w:styleId="A3">
    <w:name w:val="A3"/>
    <w:uiPriority w:val="99"/>
    <w:rsid w:val="002D6245"/>
    <w:rPr>
      <w:color w:val="000000"/>
      <w:sz w:val="18"/>
      <w:szCs w:val="18"/>
    </w:rPr>
  </w:style>
  <w:style w:type="paragraph" w:customStyle="1" w:styleId="LongBullet">
    <w:name w:val="Long Bullet"/>
    <w:basedOn w:val="ListBullet"/>
    <w:uiPriority w:val="99"/>
    <w:qFormat/>
    <w:rsid w:val="00AC07FA"/>
    <w:pPr>
      <w:numPr>
        <w:numId w:val="13"/>
      </w:numPr>
      <w:spacing w:after="120" w:line="260" w:lineRule="atLeast"/>
      <w:jc w:val="both"/>
    </w:pPr>
    <w:rPr>
      <w:sz w:val="21"/>
      <w:szCs w:val="20"/>
      <w:lang w:val="en-GB"/>
    </w:rPr>
  </w:style>
  <w:style w:type="paragraph" w:customStyle="1" w:styleId="Bulletpoint">
    <w:name w:val="Bullet point"/>
    <w:basedOn w:val="Paragraph"/>
    <w:qFormat/>
    <w:rsid w:val="007554C7"/>
    <w:pPr>
      <w:tabs>
        <w:tab w:val="left" w:pos="794"/>
        <w:tab w:val="left" w:pos="1191"/>
      </w:tabs>
      <w:ind w:left="794" w:hanging="794"/>
    </w:pPr>
    <w:rPr>
      <w:rFonts w:ascii="Segoe UI" w:hAnsi="Segoe UI"/>
      <w:noProof/>
      <w:sz w:val="20"/>
      <w:lang w:eastAsia="en-GB"/>
    </w:rPr>
  </w:style>
  <w:style w:type="paragraph" w:customStyle="1" w:styleId="FirstParagraph">
    <w:name w:val="FirstParagraph"/>
    <w:basedOn w:val="Normal"/>
    <w:next w:val="Normal"/>
    <w:qFormat/>
    <w:rsid w:val="00577838"/>
    <w:pPr>
      <w:tabs>
        <w:tab w:val="left" w:pos="794"/>
      </w:tabs>
      <w:spacing w:before="120" w:after="120"/>
      <w:jc w:val="both"/>
    </w:pPr>
    <w:rPr>
      <w:rFonts w:ascii="Segoe UI" w:hAnsi="Segoe UI"/>
      <w:sz w:val="20"/>
      <w:lang w:val="en-GB" w:eastAsia="en-GB"/>
    </w:rPr>
  </w:style>
  <w:style w:type="character" w:customStyle="1" w:styleId="WW-Saisiedelutilisateur">
    <w:name w:val="WW-Saisie de l'utilisateur"/>
    <w:rsid w:val="00577838"/>
    <w:rPr>
      <w:rFonts w:ascii="Arial" w:eastAsia="Courier New" w:hAnsi="Arial" w:cs="Courier New" w:hint="default"/>
      <w:sz w:val="21"/>
    </w:rPr>
  </w:style>
  <w:style w:type="character" w:customStyle="1" w:styleId="CaptionChar">
    <w:name w:val="Caption Char"/>
    <w:link w:val="Caption"/>
    <w:uiPriority w:val="99"/>
    <w:locked/>
    <w:rsid w:val="006F758A"/>
    <w:rPr>
      <w:b/>
      <w:bCs/>
      <w:lang w:eastAsia="es-ES"/>
    </w:rPr>
  </w:style>
  <w:style w:type="table" w:customStyle="1" w:styleId="GridTable4-Accent51">
    <w:name w:val="Grid Table 4 - Accent 51"/>
    <w:basedOn w:val="TableNormal"/>
    <w:uiPriority w:val="49"/>
    <w:rsid w:val="006F758A"/>
    <w:rPr>
      <w:rFonts w:ascii="Calibri" w:eastAsia="Calibri" w:hAnsi="Calibri"/>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
    <w:name w:val="Standard"/>
    <w:rsid w:val="000836AA"/>
    <w:pPr>
      <w:widowControl w:val="0"/>
      <w:suppressAutoHyphens/>
      <w:autoSpaceDN w:val="0"/>
    </w:pPr>
    <w:rPr>
      <w:rFonts w:eastAsia="SimSun"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0131">
      <w:bodyDiv w:val="1"/>
      <w:marLeft w:val="0"/>
      <w:marRight w:val="0"/>
      <w:marTop w:val="0"/>
      <w:marBottom w:val="0"/>
      <w:divBdr>
        <w:top w:val="none" w:sz="0" w:space="0" w:color="auto"/>
        <w:left w:val="none" w:sz="0" w:space="0" w:color="auto"/>
        <w:bottom w:val="none" w:sz="0" w:space="0" w:color="auto"/>
        <w:right w:val="none" w:sz="0" w:space="0" w:color="auto"/>
      </w:divBdr>
      <w:divsChild>
        <w:div w:id="1832524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42880">
      <w:bodyDiv w:val="1"/>
      <w:marLeft w:val="0"/>
      <w:marRight w:val="0"/>
      <w:marTop w:val="0"/>
      <w:marBottom w:val="0"/>
      <w:divBdr>
        <w:top w:val="none" w:sz="0" w:space="0" w:color="auto"/>
        <w:left w:val="none" w:sz="0" w:space="0" w:color="auto"/>
        <w:bottom w:val="none" w:sz="0" w:space="0" w:color="auto"/>
        <w:right w:val="none" w:sz="0" w:space="0" w:color="auto"/>
      </w:divBdr>
      <w:divsChild>
        <w:div w:id="1729841437">
          <w:marLeft w:val="0"/>
          <w:marRight w:val="0"/>
          <w:marTop w:val="0"/>
          <w:marBottom w:val="0"/>
          <w:divBdr>
            <w:top w:val="none" w:sz="0" w:space="0" w:color="auto"/>
            <w:left w:val="none" w:sz="0" w:space="0" w:color="auto"/>
            <w:bottom w:val="none" w:sz="0" w:space="0" w:color="auto"/>
            <w:right w:val="none" w:sz="0" w:space="0" w:color="auto"/>
          </w:divBdr>
        </w:div>
      </w:divsChild>
    </w:div>
    <w:div w:id="96218355">
      <w:bodyDiv w:val="1"/>
      <w:marLeft w:val="0"/>
      <w:marRight w:val="0"/>
      <w:marTop w:val="0"/>
      <w:marBottom w:val="0"/>
      <w:divBdr>
        <w:top w:val="none" w:sz="0" w:space="0" w:color="auto"/>
        <w:left w:val="none" w:sz="0" w:space="0" w:color="auto"/>
        <w:bottom w:val="none" w:sz="0" w:space="0" w:color="auto"/>
        <w:right w:val="none" w:sz="0" w:space="0" w:color="auto"/>
      </w:divBdr>
      <w:divsChild>
        <w:div w:id="1544442993">
          <w:marLeft w:val="0"/>
          <w:marRight w:val="0"/>
          <w:marTop w:val="0"/>
          <w:marBottom w:val="0"/>
          <w:divBdr>
            <w:top w:val="none" w:sz="0" w:space="0" w:color="auto"/>
            <w:left w:val="none" w:sz="0" w:space="0" w:color="auto"/>
            <w:bottom w:val="none" w:sz="0" w:space="0" w:color="auto"/>
            <w:right w:val="none" w:sz="0" w:space="0" w:color="auto"/>
          </w:divBdr>
          <w:divsChild>
            <w:div w:id="1805922286">
              <w:marLeft w:val="0"/>
              <w:marRight w:val="0"/>
              <w:marTop w:val="0"/>
              <w:marBottom w:val="0"/>
              <w:divBdr>
                <w:top w:val="none" w:sz="0" w:space="0" w:color="auto"/>
                <w:left w:val="none" w:sz="0" w:space="0" w:color="auto"/>
                <w:bottom w:val="none" w:sz="0" w:space="0" w:color="auto"/>
                <w:right w:val="none" w:sz="0" w:space="0" w:color="auto"/>
              </w:divBdr>
              <w:divsChild>
                <w:div w:id="1347898910">
                  <w:marLeft w:val="0"/>
                  <w:marRight w:val="0"/>
                  <w:marTop w:val="0"/>
                  <w:marBottom w:val="0"/>
                  <w:divBdr>
                    <w:top w:val="none" w:sz="0" w:space="0" w:color="auto"/>
                    <w:left w:val="none" w:sz="0" w:space="0" w:color="auto"/>
                    <w:bottom w:val="none" w:sz="0" w:space="0" w:color="auto"/>
                    <w:right w:val="none" w:sz="0" w:space="0" w:color="auto"/>
                  </w:divBdr>
                  <w:divsChild>
                    <w:div w:id="1916276836">
                      <w:marLeft w:val="0"/>
                      <w:marRight w:val="0"/>
                      <w:marTop w:val="0"/>
                      <w:marBottom w:val="0"/>
                      <w:divBdr>
                        <w:top w:val="none" w:sz="0" w:space="0" w:color="auto"/>
                        <w:left w:val="none" w:sz="0" w:space="0" w:color="auto"/>
                        <w:bottom w:val="none" w:sz="0" w:space="0" w:color="auto"/>
                        <w:right w:val="none" w:sz="0" w:space="0" w:color="auto"/>
                      </w:divBdr>
                      <w:divsChild>
                        <w:div w:id="1388844033">
                          <w:marLeft w:val="0"/>
                          <w:marRight w:val="0"/>
                          <w:marTop w:val="0"/>
                          <w:marBottom w:val="0"/>
                          <w:divBdr>
                            <w:top w:val="none" w:sz="0" w:space="0" w:color="auto"/>
                            <w:left w:val="none" w:sz="0" w:space="0" w:color="auto"/>
                            <w:bottom w:val="none" w:sz="0" w:space="0" w:color="auto"/>
                            <w:right w:val="none" w:sz="0" w:space="0" w:color="auto"/>
                          </w:divBdr>
                          <w:divsChild>
                            <w:div w:id="1075863230">
                              <w:marLeft w:val="0"/>
                              <w:marRight w:val="0"/>
                              <w:marTop w:val="0"/>
                              <w:marBottom w:val="0"/>
                              <w:divBdr>
                                <w:top w:val="none" w:sz="0" w:space="0" w:color="auto"/>
                                <w:left w:val="none" w:sz="0" w:space="0" w:color="auto"/>
                                <w:bottom w:val="none" w:sz="0" w:space="0" w:color="auto"/>
                                <w:right w:val="none" w:sz="0" w:space="0" w:color="auto"/>
                              </w:divBdr>
                              <w:divsChild>
                                <w:div w:id="1617061260">
                                  <w:marLeft w:val="0"/>
                                  <w:marRight w:val="0"/>
                                  <w:marTop w:val="0"/>
                                  <w:marBottom w:val="0"/>
                                  <w:divBdr>
                                    <w:top w:val="none" w:sz="0" w:space="0" w:color="auto"/>
                                    <w:left w:val="none" w:sz="0" w:space="0" w:color="auto"/>
                                    <w:bottom w:val="none" w:sz="0" w:space="0" w:color="auto"/>
                                    <w:right w:val="none" w:sz="0" w:space="0" w:color="auto"/>
                                  </w:divBdr>
                                  <w:divsChild>
                                    <w:div w:id="1876695194">
                                      <w:marLeft w:val="0"/>
                                      <w:marRight w:val="0"/>
                                      <w:marTop w:val="0"/>
                                      <w:marBottom w:val="0"/>
                                      <w:divBdr>
                                        <w:top w:val="none" w:sz="0" w:space="0" w:color="auto"/>
                                        <w:left w:val="none" w:sz="0" w:space="0" w:color="auto"/>
                                        <w:bottom w:val="none" w:sz="0" w:space="0" w:color="auto"/>
                                        <w:right w:val="none" w:sz="0" w:space="0" w:color="auto"/>
                                      </w:divBdr>
                                      <w:divsChild>
                                        <w:div w:id="8567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33363">
      <w:bodyDiv w:val="1"/>
      <w:marLeft w:val="0"/>
      <w:marRight w:val="0"/>
      <w:marTop w:val="0"/>
      <w:marBottom w:val="0"/>
      <w:divBdr>
        <w:top w:val="none" w:sz="0" w:space="0" w:color="auto"/>
        <w:left w:val="none" w:sz="0" w:space="0" w:color="auto"/>
        <w:bottom w:val="none" w:sz="0" w:space="0" w:color="auto"/>
        <w:right w:val="none" w:sz="0" w:space="0" w:color="auto"/>
      </w:divBdr>
    </w:div>
    <w:div w:id="135344289">
      <w:bodyDiv w:val="1"/>
      <w:marLeft w:val="0"/>
      <w:marRight w:val="0"/>
      <w:marTop w:val="0"/>
      <w:marBottom w:val="0"/>
      <w:divBdr>
        <w:top w:val="none" w:sz="0" w:space="0" w:color="auto"/>
        <w:left w:val="none" w:sz="0" w:space="0" w:color="auto"/>
        <w:bottom w:val="none" w:sz="0" w:space="0" w:color="auto"/>
        <w:right w:val="none" w:sz="0" w:space="0" w:color="auto"/>
      </w:divBdr>
      <w:divsChild>
        <w:div w:id="1077940582">
          <w:marLeft w:val="0"/>
          <w:marRight w:val="0"/>
          <w:marTop w:val="0"/>
          <w:marBottom w:val="0"/>
          <w:divBdr>
            <w:top w:val="none" w:sz="0" w:space="0" w:color="auto"/>
            <w:left w:val="none" w:sz="0" w:space="0" w:color="auto"/>
            <w:bottom w:val="none" w:sz="0" w:space="0" w:color="auto"/>
            <w:right w:val="none" w:sz="0" w:space="0" w:color="auto"/>
          </w:divBdr>
          <w:divsChild>
            <w:div w:id="1725833567">
              <w:marLeft w:val="0"/>
              <w:marRight w:val="0"/>
              <w:marTop w:val="0"/>
              <w:marBottom w:val="0"/>
              <w:divBdr>
                <w:top w:val="none" w:sz="0" w:space="0" w:color="auto"/>
                <w:left w:val="none" w:sz="0" w:space="0" w:color="auto"/>
                <w:bottom w:val="none" w:sz="0" w:space="0" w:color="auto"/>
                <w:right w:val="none" w:sz="0" w:space="0" w:color="auto"/>
              </w:divBdr>
              <w:divsChild>
                <w:div w:id="182675489">
                  <w:marLeft w:val="0"/>
                  <w:marRight w:val="0"/>
                  <w:marTop w:val="0"/>
                  <w:marBottom w:val="0"/>
                  <w:divBdr>
                    <w:top w:val="none" w:sz="0" w:space="0" w:color="auto"/>
                    <w:left w:val="none" w:sz="0" w:space="0" w:color="auto"/>
                    <w:bottom w:val="none" w:sz="0" w:space="0" w:color="auto"/>
                    <w:right w:val="none" w:sz="0" w:space="0" w:color="auto"/>
                  </w:divBdr>
                  <w:divsChild>
                    <w:div w:id="1082221165">
                      <w:marLeft w:val="0"/>
                      <w:marRight w:val="0"/>
                      <w:marTop w:val="0"/>
                      <w:marBottom w:val="0"/>
                      <w:divBdr>
                        <w:top w:val="none" w:sz="0" w:space="0" w:color="auto"/>
                        <w:left w:val="none" w:sz="0" w:space="0" w:color="auto"/>
                        <w:bottom w:val="none" w:sz="0" w:space="0" w:color="auto"/>
                        <w:right w:val="none" w:sz="0" w:space="0" w:color="auto"/>
                      </w:divBdr>
                      <w:divsChild>
                        <w:div w:id="656425493">
                          <w:marLeft w:val="0"/>
                          <w:marRight w:val="0"/>
                          <w:marTop w:val="0"/>
                          <w:marBottom w:val="0"/>
                          <w:divBdr>
                            <w:top w:val="none" w:sz="0" w:space="0" w:color="auto"/>
                            <w:left w:val="none" w:sz="0" w:space="0" w:color="auto"/>
                            <w:bottom w:val="none" w:sz="0" w:space="0" w:color="auto"/>
                            <w:right w:val="none" w:sz="0" w:space="0" w:color="auto"/>
                          </w:divBdr>
                          <w:divsChild>
                            <w:div w:id="633369916">
                              <w:marLeft w:val="0"/>
                              <w:marRight w:val="0"/>
                              <w:marTop w:val="0"/>
                              <w:marBottom w:val="0"/>
                              <w:divBdr>
                                <w:top w:val="none" w:sz="0" w:space="0" w:color="auto"/>
                                <w:left w:val="none" w:sz="0" w:space="0" w:color="auto"/>
                                <w:bottom w:val="none" w:sz="0" w:space="0" w:color="auto"/>
                                <w:right w:val="none" w:sz="0" w:space="0" w:color="auto"/>
                              </w:divBdr>
                              <w:divsChild>
                                <w:div w:id="432676760">
                                  <w:marLeft w:val="0"/>
                                  <w:marRight w:val="0"/>
                                  <w:marTop w:val="0"/>
                                  <w:marBottom w:val="0"/>
                                  <w:divBdr>
                                    <w:top w:val="none" w:sz="0" w:space="0" w:color="auto"/>
                                    <w:left w:val="none" w:sz="0" w:space="0" w:color="auto"/>
                                    <w:bottom w:val="none" w:sz="0" w:space="0" w:color="auto"/>
                                    <w:right w:val="none" w:sz="0" w:space="0" w:color="auto"/>
                                  </w:divBdr>
                                  <w:divsChild>
                                    <w:div w:id="18593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62495">
      <w:bodyDiv w:val="1"/>
      <w:marLeft w:val="0"/>
      <w:marRight w:val="0"/>
      <w:marTop w:val="0"/>
      <w:marBottom w:val="0"/>
      <w:divBdr>
        <w:top w:val="none" w:sz="0" w:space="0" w:color="auto"/>
        <w:left w:val="none" w:sz="0" w:space="0" w:color="auto"/>
        <w:bottom w:val="none" w:sz="0" w:space="0" w:color="auto"/>
        <w:right w:val="none" w:sz="0" w:space="0" w:color="auto"/>
      </w:divBdr>
    </w:div>
    <w:div w:id="160849967">
      <w:bodyDiv w:val="1"/>
      <w:marLeft w:val="0"/>
      <w:marRight w:val="0"/>
      <w:marTop w:val="0"/>
      <w:marBottom w:val="0"/>
      <w:divBdr>
        <w:top w:val="none" w:sz="0" w:space="0" w:color="auto"/>
        <w:left w:val="none" w:sz="0" w:space="0" w:color="auto"/>
        <w:bottom w:val="none" w:sz="0" w:space="0" w:color="auto"/>
        <w:right w:val="none" w:sz="0" w:space="0" w:color="auto"/>
      </w:divBdr>
      <w:divsChild>
        <w:div w:id="1253583885">
          <w:marLeft w:val="0"/>
          <w:marRight w:val="0"/>
          <w:marTop w:val="0"/>
          <w:marBottom w:val="0"/>
          <w:divBdr>
            <w:top w:val="none" w:sz="0" w:space="0" w:color="auto"/>
            <w:left w:val="none" w:sz="0" w:space="0" w:color="auto"/>
            <w:bottom w:val="none" w:sz="0" w:space="0" w:color="auto"/>
            <w:right w:val="none" w:sz="0" w:space="0" w:color="auto"/>
          </w:divBdr>
          <w:divsChild>
            <w:div w:id="1533883181">
              <w:marLeft w:val="0"/>
              <w:marRight w:val="0"/>
              <w:marTop w:val="0"/>
              <w:marBottom w:val="0"/>
              <w:divBdr>
                <w:top w:val="none" w:sz="0" w:space="0" w:color="auto"/>
                <w:left w:val="none" w:sz="0" w:space="0" w:color="auto"/>
                <w:bottom w:val="none" w:sz="0" w:space="0" w:color="auto"/>
                <w:right w:val="none" w:sz="0" w:space="0" w:color="auto"/>
              </w:divBdr>
              <w:divsChild>
                <w:div w:id="1729917465">
                  <w:marLeft w:val="0"/>
                  <w:marRight w:val="0"/>
                  <w:marTop w:val="0"/>
                  <w:marBottom w:val="0"/>
                  <w:divBdr>
                    <w:top w:val="none" w:sz="0" w:space="0" w:color="auto"/>
                    <w:left w:val="none" w:sz="0" w:space="0" w:color="auto"/>
                    <w:bottom w:val="none" w:sz="0" w:space="0" w:color="auto"/>
                    <w:right w:val="none" w:sz="0" w:space="0" w:color="auto"/>
                  </w:divBdr>
                  <w:divsChild>
                    <w:div w:id="1678264468">
                      <w:marLeft w:val="0"/>
                      <w:marRight w:val="0"/>
                      <w:marTop w:val="0"/>
                      <w:marBottom w:val="0"/>
                      <w:divBdr>
                        <w:top w:val="none" w:sz="0" w:space="0" w:color="auto"/>
                        <w:left w:val="none" w:sz="0" w:space="0" w:color="auto"/>
                        <w:bottom w:val="none" w:sz="0" w:space="0" w:color="auto"/>
                        <w:right w:val="none" w:sz="0" w:space="0" w:color="auto"/>
                      </w:divBdr>
                      <w:divsChild>
                        <w:div w:id="1588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7330">
      <w:bodyDiv w:val="1"/>
      <w:marLeft w:val="0"/>
      <w:marRight w:val="0"/>
      <w:marTop w:val="0"/>
      <w:marBottom w:val="0"/>
      <w:divBdr>
        <w:top w:val="none" w:sz="0" w:space="0" w:color="auto"/>
        <w:left w:val="none" w:sz="0" w:space="0" w:color="auto"/>
        <w:bottom w:val="none" w:sz="0" w:space="0" w:color="auto"/>
        <w:right w:val="none" w:sz="0" w:space="0" w:color="auto"/>
      </w:divBdr>
      <w:divsChild>
        <w:div w:id="2090886725">
          <w:marLeft w:val="0"/>
          <w:marRight w:val="0"/>
          <w:marTop w:val="0"/>
          <w:marBottom w:val="0"/>
          <w:divBdr>
            <w:top w:val="none" w:sz="0" w:space="0" w:color="auto"/>
            <w:left w:val="none" w:sz="0" w:space="0" w:color="auto"/>
            <w:bottom w:val="none" w:sz="0" w:space="0" w:color="auto"/>
            <w:right w:val="none" w:sz="0" w:space="0" w:color="auto"/>
          </w:divBdr>
          <w:divsChild>
            <w:div w:id="389304579">
              <w:marLeft w:val="0"/>
              <w:marRight w:val="0"/>
              <w:marTop w:val="0"/>
              <w:marBottom w:val="0"/>
              <w:divBdr>
                <w:top w:val="none" w:sz="0" w:space="0" w:color="auto"/>
                <w:left w:val="none" w:sz="0" w:space="0" w:color="auto"/>
                <w:bottom w:val="none" w:sz="0" w:space="0" w:color="auto"/>
                <w:right w:val="none" w:sz="0" w:space="0" w:color="auto"/>
              </w:divBdr>
              <w:divsChild>
                <w:div w:id="358169138">
                  <w:marLeft w:val="0"/>
                  <w:marRight w:val="0"/>
                  <w:marTop w:val="225"/>
                  <w:marBottom w:val="0"/>
                  <w:divBdr>
                    <w:top w:val="none" w:sz="0" w:space="0" w:color="auto"/>
                    <w:left w:val="none" w:sz="0" w:space="0" w:color="auto"/>
                    <w:bottom w:val="none" w:sz="0" w:space="0" w:color="auto"/>
                    <w:right w:val="single" w:sz="6" w:space="14" w:color="DDDDDD"/>
                  </w:divBdr>
                  <w:divsChild>
                    <w:div w:id="1066950810">
                      <w:marLeft w:val="0"/>
                      <w:marRight w:val="0"/>
                      <w:marTop w:val="0"/>
                      <w:marBottom w:val="0"/>
                      <w:divBdr>
                        <w:top w:val="none" w:sz="0" w:space="0" w:color="auto"/>
                        <w:left w:val="none" w:sz="0" w:space="0" w:color="auto"/>
                        <w:bottom w:val="none" w:sz="0" w:space="0" w:color="auto"/>
                        <w:right w:val="none" w:sz="0" w:space="0" w:color="auto"/>
                      </w:divBdr>
                      <w:divsChild>
                        <w:div w:id="8797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94474">
      <w:bodyDiv w:val="1"/>
      <w:marLeft w:val="0"/>
      <w:marRight w:val="0"/>
      <w:marTop w:val="0"/>
      <w:marBottom w:val="0"/>
      <w:divBdr>
        <w:top w:val="none" w:sz="0" w:space="0" w:color="auto"/>
        <w:left w:val="none" w:sz="0" w:space="0" w:color="auto"/>
        <w:bottom w:val="none" w:sz="0" w:space="0" w:color="auto"/>
        <w:right w:val="none" w:sz="0" w:space="0" w:color="auto"/>
      </w:divBdr>
    </w:div>
    <w:div w:id="173613497">
      <w:bodyDiv w:val="1"/>
      <w:marLeft w:val="0"/>
      <w:marRight w:val="0"/>
      <w:marTop w:val="0"/>
      <w:marBottom w:val="0"/>
      <w:divBdr>
        <w:top w:val="none" w:sz="0" w:space="0" w:color="auto"/>
        <w:left w:val="none" w:sz="0" w:space="0" w:color="auto"/>
        <w:bottom w:val="none" w:sz="0" w:space="0" w:color="auto"/>
        <w:right w:val="none" w:sz="0" w:space="0" w:color="auto"/>
      </w:divBdr>
      <w:divsChild>
        <w:div w:id="1846507729">
          <w:marLeft w:val="0"/>
          <w:marRight w:val="0"/>
          <w:marTop w:val="0"/>
          <w:marBottom w:val="0"/>
          <w:divBdr>
            <w:top w:val="none" w:sz="0" w:space="0" w:color="auto"/>
            <w:left w:val="none" w:sz="0" w:space="0" w:color="auto"/>
            <w:bottom w:val="none" w:sz="0" w:space="0" w:color="auto"/>
            <w:right w:val="none" w:sz="0" w:space="0" w:color="auto"/>
          </w:divBdr>
        </w:div>
      </w:divsChild>
    </w:div>
    <w:div w:id="193423175">
      <w:bodyDiv w:val="1"/>
      <w:marLeft w:val="0"/>
      <w:marRight w:val="0"/>
      <w:marTop w:val="0"/>
      <w:marBottom w:val="0"/>
      <w:divBdr>
        <w:top w:val="none" w:sz="0" w:space="0" w:color="auto"/>
        <w:left w:val="none" w:sz="0" w:space="0" w:color="auto"/>
        <w:bottom w:val="none" w:sz="0" w:space="0" w:color="auto"/>
        <w:right w:val="none" w:sz="0" w:space="0" w:color="auto"/>
      </w:divBdr>
      <w:divsChild>
        <w:div w:id="1128864146">
          <w:marLeft w:val="0"/>
          <w:marRight w:val="0"/>
          <w:marTop w:val="150"/>
          <w:marBottom w:val="150"/>
          <w:divBdr>
            <w:top w:val="single" w:sz="6" w:space="0" w:color="787F80"/>
            <w:left w:val="single" w:sz="6" w:space="0" w:color="787F80"/>
            <w:bottom w:val="single" w:sz="6" w:space="0" w:color="787F80"/>
            <w:right w:val="single" w:sz="6" w:space="0" w:color="787F80"/>
          </w:divBdr>
          <w:divsChild>
            <w:div w:id="1410342702">
              <w:marLeft w:val="0"/>
              <w:marRight w:val="0"/>
              <w:marTop w:val="0"/>
              <w:marBottom w:val="0"/>
              <w:divBdr>
                <w:top w:val="none" w:sz="0" w:space="0" w:color="auto"/>
                <w:left w:val="none" w:sz="0" w:space="0" w:color="auto"/>
                <w:bottom w:val="none" w:sz="0" w:space="0" w:color="auto"/>
                <w:right w:val="none" w:sz="0" w:space="0" w:color="auto"/>
              </w:divBdr>
              <w:divsChild>
                <w:div w:id="976298839">
                  <w:marLeft w:val="0"/>
                  <w:marRight w:val="0"/>
                  <w:marTop w:val="0"/>
                  <w:marBottom w:val="0"/>
                  <w:divBdr>
                    <w:top w:val="none" w:sz="0" w:space="0" w:color="auto"/>
                    <w:left w:val="none" w:sz="0" w:space="0" w:color="auto"/>
                    <w:bottom w:val="none" w:sz="0" w:space="0" w:color="auto"/>
                    <w:right w:val="none" w:sz="0" w:space="0" w:color="auto"/>
                  </w:divBdr>
                  <w:divsChild>
                    <w:div w:id="205408002">
                      <w:marLeft w:val="0"/>
                      <w:marRight w:val="0"/>
                      <w:marTop w:val="0"/>
                      <w:marBottom w:val="0"/>
                      <w:divBdr>
                        <w:top w:val="none" w:sz="0" w:space="0" w:color="auto"/>
                        <w:left w:val="none" w:sz="0" w:space="0" w:color="auto"/>
                        <w:bottom w:val="none" w:sz="0" w:space="0" w:color="auto"/>
                        <w:right w:val="none" w:sz="0" w:space="0" w:color="auto"/>
                      </w:divBdr>
                      <w:divsChild>
                        <w:div w:id="172645256">
                          <w:marLeft w:val="0"/>
                          <w:marRight w:val="0"/>
                          <w:marTop w:val="0"/>
                          <w:marBottom w:val="0"/>
                          <w:divBdr>
                            <w:top w:val="none" w:sz="0" w:space="0" w:color="auto"/>
                            <w:left w:val="none" w:sz="0" w:space="0" w:color="auto"/>
                            <w:bottom w:val="none" w:sz="0" w:space="0" w:color="auto"/>
                            <w:right w:val="none" w:sz="0" w:space="0" w:color="auto"/>
                          </w:divBdr>
                          <w:divsChild>
                            <w:div w:id="1508136973">
                              <w:marLeft w:val="0"/>
                              <w:marRight w:val="0"/>
                              <w:marTop w:val="0"/>
                              <w:marBottom w:val="0"/>
                              <w:divBdr>
                                <w:top w:val="none" w:sz="0" w:space="0" w:color="auto"/>
                                <w:left w:val="none" w:sz="0" w:space="0" w:color="auto"/>
                                <w:bottom w:val="none" w:sz="0" w:space="0" w:color="auto"/>
                                <w:right w:val="none" w:sz="0" w:space="0" w:color="auto"/>
                              </w:divBdr>
                              <w:divsChild>
                                <w:div w:id="80419684">
                                  <w:marLeft w:val="0"/>
                                  <w:marRight w:val="0"/>
                                  <w:marTop w:val="0"/>
                                  <w:marBottom w:val="0"/>
                                  <w:divBdr>
                                    <w:top w:val="none" w:sz="0" w:space="0" w:color="auto"/>
                                    <w:left w:val="none" w:sz="0" w:space="0" w:color="auto"/>
                                    <w:bottom w:val="none" w:sz="0" w:space="0" w:color="auto"/>
                                    <w:right w:val="none" w:sz="0" w:space="0" w:color="auto"/>
                                  </w:divBdr>
                                  <w:divsChild>
                                    <w:div w:id="11688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3896">
      <w:bodyDiv w:val="1"/>
      <w:marLeft w:val="0"/>
      <w:marRight w:val="0"/>
      <w:marTop w:val="0"/>
      <w:marBottom w:val="0"/>
      <w:divBdr>
        <w:top w:val="none" w:sz="0" w:space="0" w:color="auto"/>
        <w:left w:val="none" w:sz="0" w:space="0" w:color="auto"/>
        <w:bottom w:val="none" w:sz="0" w:space="0" w:color="auto"/>
        <w:right w:val="none" w:sz="0" w:space="0" w:color="auto"/>
      </w:divBdr>
    </w:div>
    <w:div w:id="214660171">
      <w:bodyDiv w:val="1"/>
      <w:marLeft w:val="0"/>
      <w:marRight w:val="0"/>
      <w:marTop w:val="0"/>
      <w:marBottom w:val="0"/>
      <w:divBdr>
        <w:top w:val="none" w:sz="0" w:space="0" w:color="auto"/>
        <w:left w:val="none" w:sz="0" w:space="0" w:color="auto"/>
        <w:bottom w:val="none" w:sz="0" w:space="0" w:color="auto"/>
        <w:right w:val="none" w:sz="0" w:space="0" w:color="auto"/>
      </w:divBdr>
    </w:div>
    <w:div w:id="224803107">
      <w:bodyDiv w:val="1"/>
      <w:marLeft w:val="0"/>
      <w:marRight w:val="0"/>
      <w:marTop w:val="0"/>
      <w:marBottom w:val="0"/>
      <w:divBdr>
        <w:top w:val="none" w:sz="0" w:space="0" w:color="auto"/>
        <w:left w:val="none" w:sz="0" w:space="0" w:color="auto"/>
        <w:bottom w:val="none" w:sz="0" w:space="0" w:color="auto"/>
        <w:right w:val="none" w:sz="0" w:space="0" w:color="auto"/>
      </w:divBdr>
      <w:divsChild>
        <w:div w:id="1576234279">
          <w:marLeft w:val="0"/>
          <w:marRight w:val="0"/>
          <w:marTop w:val="0"/>
          <w:marBottom w:val="0"/>
          <w:divBdr>
            <w:top w:val="none" w:sz="0" w:space="0" w:color="auto"/>
            <w:left w:val="none" w:sz="0" w:space="0" w:color="auto"/>
            <w:bottom w:val="none" w:sz="0" w:space="0" w:color="auto"/>
            <w:right w:val="none" w:sz="0" w:space="0" w:color="auto"/>
          </w:divBdr>
        </w:div>
      </w:divsChild>
    </w:div>
    <w:div w:id="233904126">
      <w:bodyDiv w:val="1"/>
      <w:marLeft w:val="0"/>
      <w:marRight w:val="0"/>
      <w:marTop w:val="0"/>
      <w:marBottom w:val="0"/>
      <w:divBdr>
        <w:top w:val="none" w:sz="0" w:space="0" w:color="auto"/>
        <w:left w:val="none" w:sz="0" w:space="0" w:color="auto"/>
        <w:bottom w:val="none" w:sz="0" w:space="0" w:color="auto"/>
        <w:right w:val="none" w:sz="0" w:space="0" w:color="auto"/>
      </w:divBdr>
    </w:div>
    <w:div w:id="252008707">
      <w:bodyDiv w:val="1"/>
      <w:marLeft w:val="0"/>
      <w:marRight w:val="0"/>
      <w:marTop w:val="0"/>
      <w:marBottom w:val="0"/>
      <w:divBdr>
        <w:top w:val="none" w:sz="0" w:space="0" w:color="auto"/>
        <w:left w:val="none" w:sz="0" w:space="0" w:color="auto"/>
        <w:bottom w:val="none" w:sz="0" w:space="0" w:color="auto"/>
        <w:right w:val="none" w:sz="0" w:space="0" w:color="auto"/>
      </w:divBdr>
    </w:div>
    <w:div w:id="253247998">
      <w:bodyDiv w:val="1"/>
      <w:marLeft w:val="0"/>
      <w:marRight w:val="0"/>
      <w:marTop w:val="0"/>
      <w:marBottom w:val="0"/>
      <w:divBdr>
        <w:top w:val="none" w:sz="0" w:space="0" w:color="auto"/>
        <w:left w:val="none" w:sz="0" w:space="0" w:color="auto"/>
        <w:bottom w:val="none" w:sz="0" w:space="0" w:color="auto"/>
        <w:right w:val="none" w:sz="0" w:space="0" w:color="auto"/>
      </w:divBdr>
      <w:divsChild>
        <w:div w:id="2047565217">
          <w:marLeft w:val="0"/>
          <w:marRight w:val="0"/>
          <w:marTop w:val="0"/>
          <w:marBottom w:val="0"/>
          <w:divBdr>
            <w:top w:val="none" w:sz="0" w:space="0" w:color="auto"/>
            <w:left w:val="none" w:sz="0" w:space="0" w:color="auto"/>
            <w:bottom w:val="none" w:sz="0" w:space="0" w:color="auto"/>
            <w:right w:val="none" w:sz="0" w:space="0" w:color="auto"/>
          </w:divBdr>
          <w:divsChild>
            <w:div w:id="597907565">
              <w:marLeft w:val="0"/>
              <w:marRight w:val="0"/>
              <w:marTop w:val="0"/>
              <w:marBottom w:val="0"/>
              <w:divBdr>
                <w:top w:val="none" w:sz="0" w:space="0" w:color="auto"/>
                <w:left w:val="none" w:sz="0" w:space="0" w:color="auto"/>
                <w:bottom w:val="none" w:sz="0" w:space="0" w:color="auto"/>
                <w:right w:val="none" w:sz="0" w:space="0" w:color="auto"/>
              </w:divBdr>
              <w:divsChild>
                <w:div w:id="505174286">
                  <w:marLeft w:val="0"/>
                  <w:marRight w:val="0"/>
                  <w:marTop w:val="0"/>
                  <w:marBottom w:val="0"/>
                  <w:divBdr>
                    <w:top w:val="none" w:sz="0" w:space="0" w:color="auto"/>
                    <w:left w:val="none" w:sz="0" w:space="0" w:color="auto"/>
                    <w:bottom w:val="none" w:sz="0" w:space="0" w:color="auto"/>
                    <w:right w:val="none" w:sz="0" w:space="0" w:color="auto"/>
                  </w:divBdr>
                  <w:divsChild>
                    <w:div w:id="379940402">
                      <w:marLeft w:val="0"/>
                      <w:marRight w:val="0"/>
                      <w:marTop w:val="0"/>
                      <w:marBottom w:val="0"/>
                      <w:divBdr>
                        <w:top w:val="none" w:sz="0" w:space="0" w:color="auto"/>
                        <w:left w:val="none" w:sz="0" w:space="0" w:color="auto"/>
                        <w:bottom w:val="none" w:sz="0" w:space="0" w:color="auto"/>
                        <w:right w:val="none" w:sz="0" w:space="0" w:color="auto"/>
                      </w:divBdr>
                      <w:divsChild>
                        <w:div w:id="2113820151">
                          <w:marLeft w:val="0"/>
                          <w:marRight w:val="0"/>
                          <w:marTop w:val="0"/>
                          <w:marBottom w:val="0"/>
                          <w:divBdr>
                            <w:top w:val="none" w:sz="0" w:space="0" w:color="auto"/>
                            <w:left w:val="none" w:sz="0" w:space="0" w:color="auto"/>
                            <w:bottom w:val="none" w:sz="0" w:space="0" w:color="auto"/>
                            <w:right w:val="none" w:sz="0" w:space="0" w:color="auto"/>
                          </w:divBdr>
                          <w:divsChild>
                            <w:div w:id="1650554995">
                              <w:marLeft w:val="0"/>
                              <w:marRight w:val="0"/>
                              <w:marTop w:val="0"/>
                              <w:marBottom w:val="0"/>
                              <w:divBdr>
                                <w:top w:val="none" w:sz="0" w:space="0" w:color="auto"/>
                                <w:left w:val="none" w:sz="0" w:space="0" w:color="auto"/>
                                <w:bottom w:val="none" w:sz="0" w:space="0" w:color="auto"/>
                                <w:right w:val="none" w:sz="0" w:space="0" w:color="auto"/>
                              </w:divBdr>
                              <w:divsChild>
                                <w:div w:id="147016145">
                                  <w:marLeft w:val="0"/>
                                  <w:marRight w:val="0"/>
                                  <w:marTop w:val="0"/>
                                  <w:marBottom w:val="0"/>
                                  <w:divBdr>
                                    <w:top w:val="none" w:sz="0" w:space="0" w:color="auto"/>
                                    <w:left w:val="none" w:sz="0" w:space="0" w:color="auto"/>
                                    <w:bottom w:val="none" w:sz="0" w:space="0" w:color="auto"/>
                                    <w:right w:val="none" w:sz="0" w:space="0" w:color="auto"/>
                                  </w:divBdr>
                                  <w:divsChild>
                                    <w:div w:id="8034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822905">
      <w:bodyDiv w:val="1"/>
      <w:marLeft w:val="0"/>
      <w:marRight w:val="0"/>
      <w:marTop w:val="0"/>
      <w:marBottom w:val="0"/>
      <w:divBdr>
        <w:top w:val="none" w:sz="0" w:space="0" w:color="auto"/>
        <w:left w:val="none" w:sz="0" w:space="0" w:color="auto"/>
        <w:bottom w:val="none" w:sz="0" w:space="0" w:color="auto"/>
        <w:right w:val="none" w:sz="0" w:space="0" w:color="auto"/>
      </w:divBdr>
      <w:divsChild>
        <w:div w:id="1031297754">
          <w:marLeft w:val="0"/>
          <w:marRight w:val="0"/>
          <w:marTop w:val="0"/>
          <w:marBottom w:val="0"/>
          <w:divBdr>
            <w:top w:val="none" w:sz="0" w:space="0" w:color="auto"/>
            <w:left w:val="none" w:sz="0" w:space="0" w:color="auto"/>
            <w:bottom w:val="none" w:sz="0" w:space="0" w:color="auto"/>
            <w:right w:val="none" w:sz="0" w:space="0" w:color="auto"/>
          </w:divBdr>
          <w:divsChild>
            <w:div w:id="10422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0370">
      <w:bodyDiv w:val="1"/>
      <w:marLeft w:val="0"/>
      <w:marRight w:val="0"/>
      <w:marTop w:val="0"/>
      <w:marBottom w:val="0"/>
      <w:divBdr>
        <w:top w:val="none" w:sz="0" w:space="0" w:color="auto"/>
        <w:left w:val="none" w:sz="0" w:space="0" w:color="auto"/>
        <w:bottom w:val="none" w:sz="0" w:space="0" w:color="auto"/>
        <w:right w:val="none" w:sz="0" w:space="0" w:color="auto"/>
      </w:divBdr>
      <w:divsChild>
        <w:div w:id="1217619415">
          <w:marLeft w:val="0"/>
          <w:marRight w:val="0"/>
          <w:marTop w:val="0"/>
          <w:marBottom w:val="0"/>
          <w:divBdr>
            <w:top w:val="none" w:sz="0" w:space="0" w:color="auto"/>
            <w:left w:val="none" w:sz="0" w:space="0" w:color="auto"/>
            <w:bottom w:val="none" w:sz="0" w:space="0" w:color="auto"/>
            <w:right w:val="none" w:sz="0" w:space="0" w:color="auto"/>
          </w:divBdr>
        </w:div>
      </w:divsChild>
    </w:div>
    <w:div w:id="281420826">
      <w:bodyDiv w:val="1"/>
      <w:marLeft w:val="0"/>
      <w:marRight w:val="0"/>
      <w:marTop w:val="0"/>
      <w:marBottom w:val="0"/>
      <w:divBdr>
        <w:top w:val="none" w:sz="0" w:space="0" w:color="auto"/>
        <w:left w:val="none" w:sz="0" w:space="0" w:color="auto"/>
        <w:bottom w:val="none" w:sz="0" w:space="0" w:color="auto"/>
        <w:right w:val="none" w:sz="0" w:space="0" w:color="auto"/>
      </w:divBdr>
      <w:divsChild>
        <w:div w:id="1508058512">
          <w:marLeft w:val="0"/>
          <w:marRight w:val="0"/>
          <w:marTop w:val="0"/>
          <w:marBottom w:val="0"/>
          <w:divBdr>
            <w:top w:val="none" w:sz="0" w:space="0" w:color="auto"/>
            <w:left w:val="none" w:sz="0" w:space="0" w:color="auto"/>
            <w:bottom w:val="none" w:sz="0" w:space="0" w:color="auto"/>
            <w:right w:val="none" w:sz="0" w:space="0" w:color="auto"/>
          </w:divBdr>
          <w:divsChild>
            <w:div w:id="1805192305">
              <w:marLeft w:val="0"/>
              <w:marRight w:val="0"/>
              <w:marTop w:val="0"/>
              <w:marBottom w:val="0"/>
              <w:divBdr>
                <w:top w:val="none" w:sz="0" w:space="0" w:color="auto"/>
                <w:left w:val="none" w:sz="0" w:space="0" w:color="auto"/>
                <w:bottom w:val="none" w:sz="0" w:space="0" w:color="auto"/>
                <w:right w:val="none" w:sz="0" w:space="0" w:color="auto"/>
              </w:divBdr>
              <w:divsChild>
                <w:div w:id="1811677313">
                  <w:marLeft w:val="0"/>
                  <w:marRight w:val="0"/>
                  <w:marTop w:val="0"/>
                  <w:marBottom w:val="0"/>
                  <w:divBdr>
                    <w:top w:val="none" w:sz="0" w:space="0" w:color="auto"/>
                    <w:left w:val="none" w:sz="0" w:space="0" w:color="auto"/>
                    <w:bottom w:val="none" w:sz="0" w:space="0" w:color="auto"/>
                    <w:right w:val="none" w:sz="0" w:space="0" w:color="auto"/>
                  </w:divBdr>
                  <w:divsChild>
                    <w:div w:id="638341712">
                      <w:marLeft w:val="0"/>
                      <w:marRight w:val="0"/>
                      <w:marTop w:val="0"/>
                      <w:marBottom w:val="0"/>
                      <w:divBdr>
                        <w:top w:val="none" w:sz="0" w:space="0" w:color="auto"/>
                        <w:left w:val="none" w:sz="0" w:space="0" w:color="auto"/>
                        <w:bottom w:val="none" w:sz="0" w:space="0" w:color="auto"/>
                        <w:right w:val="none" w:sz="0" w:space="0" w:color="auto"/>
                      </w:divBdr>
                      <w:divsChild>
                        <w:div w:id="614138564">
                          <w:marLeft w:val="0"/>
                          <w:marRight w:val="0"/>
                          <w:marTop w:val="0"/>
                          <w:marBottom w:val="0"/>
                          <w:divBdr>
                            <w:top w:val="none" w:sz="0" w:space="0" w:color="auto"/>
                            <w:left w:val="none" w:sz="0" w:space="0" w:color="auto"/>
                            <w:bottom w:val="none" w:sz="0" w:space="0" w:color="auto"/>
                            <w:right w:val="none" w:sz="0" w:space="0" w:color="auto"/>
                          </w:divBdr>
                          <w:divsChild>
                            <w:div w:id="1290477191">
                              <w:marLeft w:val="0"/>
                              <w:marRight w:val="0"/>
                              <w:marTop w:val="0"/>
                              <w:marBottom w:val="0"/>
                              <w:divBdr>
                                <w:top w:val="none" w:sz="0" w:space="0" w:color="auto"/>
                                <w:left w:val="none" w:sz="0" w:space="0" w:color="auto"/>
                                <w:bottom w:val="none" w:sz="0" w:space="0" w:color="auto"/>
                                <w:right w:val="none" w:sz="0" w:space="0" w:color="auto"/>
                              </w:divBdr>
                              <w:divsChild>
                                <w:div w:id="1878273022">
                                  <w:marLeft w:val="0"/>
                                  <w:marRight w:val="0"/>
                                  <w:marTop w:val="0"/>
                                  <w:marBottom w:val="0"/>
                                  <w:divBdr>
                                    <w:top w:val="none" w:sz="0" w:space="0" w:color="auto"/>
                                    <w:left w:val="none" w:sz="0" w:space="0" w:color="auto"/>
                                    <w:bottom w:val="none" w:sz="0" w:space="0" w:color="auto"/>
                                    <w:right w:val="none" w:sz="0" w:space="0" w:color="auto"/>
                                  </w:divBdr>
                                  <w:divsChild>
                                    <w:div w:id="2455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728442">
      <w:bodyDiv w:val="1"/>
      <w:marLeft w:val="0"/>
      <w:marRight w:val="0"/>
      <w:marTop w:val="0"/>
      <w:marBottom w:val="0"/>
      <w:divBdr>
        <w:top w:val="none" w:sz="0" w:space="0" w:color="auto"/>
        <w:left w:val="none" w:sz="0" w:space="0" w:color="auto"/>
        <w:bottom w:val="none" w:sz="0" w:space="0" w:color="auto"/>
        <w:right w:val="none" w:sz="0" w:space="0" w:color="auto"/>
      </w:divBdr>
      <w:divsChild>
        <w:div w:id="657533572">
          <w:marLeft w:val="0"/>
          <w:marRight w:val="0"/>
          <w:marTop w:val="0"/>
          <w:marBottom w:val="0"/>
          <w:divBdr>
            <w:top w:val="none" w:sz="0" w:space="0" w:color="auto"/>
            <w:left w:val="none" w:sz="0" w:space="0" w:color="auto"/>
            <w:bottom w:val="none" w:sz="0" w:space="0" w:color="auto"/>
            <w:right w:val="none" w:sz="0" w:space="0" w:color="auto"/>
          </w:divBdr>
          <w:divsChild>
            <w:div w:id="383410687">
              <w:marLeft w:val="0"/>
              <w:marRight w:val="0"/>
              <w:marTop w:val="0"/>
              <w:marBottom w:val="0"/>
              <w:divBdr>
                <w:top w:val="none" w:sz="0" w:space="0" w:color="auto"/>
                <w:left w:val="none" w:sz="0" w:space="0" w:color="auto"/>
                <w:bottom w:val="none" w:sz="0" w:space="0" w:color="auto"/>
                <w:right w:val="none" w:sz="0" w:space="0" w:color="auto"/>
              </w:divBdr>
              <w:divsChild>
                <w:div w:id="722751541">
                  <w:marLeft w:val="0"/>
                  <w:marRight w:val="0"/>
                  <w:marTop w:val="0"/>
                  <w:marBottom w:val="0"/>
                  <w:divBdr>
                    <w:top w:val="none" w:sz="0" w:space="0" w:color="auto"/>
                    <w:left w:val="none" w:sz="0" w:space="0" w:color="auto"/>
                    <w:bottom w:val="none" w:sz="0" w:space="0" w:color="auto"/>
                    <w:right w:val="none" w:sz="0" w:space="0" w:color="auto"/>
                  </w:divBdr>
                  <w:divsChild>
                    <w:div w:id="12532901">
                      <w:marLeft w:val="0"/>
                      <w:marRight w:val="0"/>
                      <w:marTop w:val="0"/>
                      <w:marBottom w:val="0"/>
                      <w:divBdr>
                        <w:top w:val="none" w:sz="0" w:space="0" w:color="auto"/>
                        <w:left w:val="none" w:sz="0" w:space="0" w:color="auto"/>
                        <w:bottom w:val="none" w:sz="0" w:space="0" w:color="auto"/>
                        <w:right w:val="none" w:sz="0" w:space="0" w:color="auto"/>
                      </w:divBdr>
                      <w:divsChild>
                        <w:div w:id="1150170886">
                          <w:marLeft w:val="0"/>
                          <w:marRight w:val="0"/>
                          <w:marTop w:val="0"/>
                          <w:marBottom w:val="0"/>
                          <w:divBdr>
                            <w:top w:val="none" w:sz="0" w:space="0" w:color="auto"/>
                            <w:left w:val="none" w:sz="0" w:space="0" w:color="auto"/>
                            <w:bottom w:val="none" w:sz="0" w:space="0" w:color="auto"/>
                            <w:right w:val="none" w:sz="0" w:space="0" w:color="auto"/>
                          </w:divBdr>
                          <w:divsChild>
                            <w:div w:id="334891251">
                              <w:marLeft w:val="0"/>
                              <w:marRight w:val="0"/>
                              <w:marTop w:val="0"/>
                              <w:marBottom w:val="0"/>
                              <w:divBdr>
                                <w:top w:val="none" w:sz="0" w:space="0" w:color="auto"/>
                                <w:left w:val="none" w:sz="0" w:space="0" w:color="auto"/>
                                <w:bottom w:val="none" w:sz="0" w:space="0" w:color="auto"/>
                                <w:right w:val="none" w:sz="0" w:space="0" w:color="auto"/>
                              </w:divBdr>
                            </w:div>
                            <w:div w:id="1955090539">
                              <w:marLeft w:val="0"/>
                              <w:marRight w:val="0"/>
                              <w:marTop w:val="0"/>
                              <w:marBottom w:val="0"/>
                              <w:divBdr>
                                <w:top w:val="none" w:sz="0" w:space="0" w:color="auto"/>
                                <w:left w:val="none" w:sz="0" w:space="0" w:color="auto"/>
                                <w:bottom w:val="none" w:sz="0" w:space="0" w:color="auto"/>
                                <w:right w:val="none" w:sz="0" w:space="0" w:color="auto"/>
                              </w:divBdr>
                              <w:divsChild>
                                <w:div w:id="963270115">
                                  <w:marLeft w:val="0"/>
                                  <w:marRight w:val="0"/>
                                  <w:marTop w:val="0"/>
                                  <w:marBottom w:val="0"/>
                                  <w:divBdr>
                                    <w:top w:val="none" w:sz="0" w:space="0" w:color="auto"/>
                                    <w:left w:val="none" w:sz="0" w:space="0" w:color="auto"/>
                                    <w:bottom w:val="none" w:sz="0" w:space="0" w:color="auto"/>
                                    <w:right w:val="none" w:sz="0" w:space="0" w:color="auto"/>
                                  </w:divBdr>
                                  <w:divsChild>
                                    <w:div w:id="16276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243274">
      <w:bodyDiv w:val="1"/>
      <w:marLeft w:val="0"/>
      <w:marRight w:val="0"/>
      <w:marTop w:val="0"/>
      <w:marBottom w:val="0"/>
      <w:divBdr>
        <w:top w:val="none" w:sz="0" w:space="0" w:color="auto"/>
        <w:left w:val="none" w:sz="0" w:space="0" w:color="auto"/>
        <w:bottom w:val="none" w:sz="0" w:space="0" w:color="auto"/>
        <w:right w:val="none" w:sz="0" w:space="0" w:color="auto"/>
      </w:divBdr>
      <w:divsChild>
        <w:div w:id="444543480">
          <w:marLeft w:val="1166"/>
          <w:marRight w:val="0"/>
          <w:marTop w:val="360"/>
          <w:marBottom w:val="0"/>
          <w:divBdr>
            <w:top w:val="none" w:sz="0" w:space="0" w:color="auto"/>
            <w:left w:val="none" w:sz="0" w:space="0" w:color="auto"/>
            <w:bottom w:val="none" w:sz="0" w:space="0" w:color="auto"/>
            <w:right w:val="none" w:sz="0" w:space="0" w:color="auto"/>
          </w:divBdr>
        </w:div>
        <w:div w:id="461772149">
          <w:marLeft w:val="547"/>
          <w:marRight w:val="0"/>
          <w:marTop w:val="360"/>
          <w:marBottom w:val="0"/>
          <w:divBdr>
            <w:top w:val="none" w:sz="0" w:space="0" w:color="auto"/>
            <w:left w:val="none" w:sz="0" w:space="0" w:color="auto"/>
            <w:bottom w:val="none" w:sz="0" w:space="0" w:color="auto"/>
            <w:right w:val="none" w:sz="0" w:space="0" w:color="auto"/>
          </w:divBdr>
        </w:div>
        <w:div w:id="489759336">
          <w:marLeft w:val="547"/>
          <w:marRight w:val="0"/>
          <w:marTop w:val="360"/>
          <w:marBottom w:val="0"/>
          <w:divBdr>
            <w:top w:val="none" w:sz="0" w:space="0" w:color="auto"/>
            <w:left w:val="none" w:sz="0" w:space="0" w:color="auto"/>
            <w:bottom w:val="none" w:sz="0" w:space="0" w:color="auto"/>
            <w:right w:val="none" w:sz="0" w:space="0" w:color="auto"/>
          </w:divBdr>
        </w:div>
        <w:div w:id="782503934">
          <w:marLeft w:val="1166"/>
          <w:marRight w:val="0"/>
          <w:marTop w:val="360"/>
          <w:marBottom w:val="0"/>
          <w:divBdr>
            <w:top w:val="none" w:sz="0" w:space="0" w:color="auto"/>
            <w:left w:val="none" w:sz="0" w:space="0" w:color="auto"/>
            <w:bottom w:val="none" w:sz="0" w:space="0" w:color="auto"/>
            <w:right w:val="none" w:sz="0" w:space="0" w:color="auto"/>
          </w:divBdr>
        </w:div>
        <w:div w:id="1163621320">
          <w:marLeft w:val="1166"/>
          <w:marRight w:val="0"/>
          <w:marTop w:val="360"/>
          <w:marBottom w:val="0"/>
          <w:divBdr>
            <w:top w:val="none" w:sz="0" w:space="0" w:color="auto"/>
            <w:left w:val="none" w:sz="0" w:space="0" w:color="auto"/>
            <w:bottom w:val="none" w:sz="0" w:space="0" w:color="auto"/>
            <w:right w:val="none" w:sz="0" w:space="0" w:color="auto"/>
          </w:divBdr>
        </w:div>
        <w:div w:id="2118597797">
          <w:marLeft w:val="547"/>
          <w:marRight w:val="0"/>
          <w:marTop w:val="360"/>
          <w:marBottom w:val="0"/>
          <w:divBdr>
            <w:top w:val="none" w:sz="0" w:space="0" w:color="auto"/>
            <w:left w:val="none" w:sz="0" w:space="0" w:color="auto"/>
            <w:bottom w:val="none" w:sz="0" w:space="0" w:color="auto"/>
            <w:right w:val="none" w:sz="0" w:space="0" w:color="auto"/>
          </w:divBdr>
        </w:div>
      </w:divsChild>
    </w:div>
    <w:div w:id="432438624">
      <w:bodyDiv w:val="1"/>
      <w:marLeft w:val="0"/>
      <w:marRight w:val="0"/>
      <w:marTop w:val="0"/>
      <w:marBottom w:val="0"/>
      <w:divBdr>
        <w:top w:val="none" w:sz="0" w:space="0" w:color="auto"/>
        <w:left w:val="none" w:sz="0" w:space="0" w:color="auto"/>
        <w:bottom w:val="none" w:sz="0" w:space="0" w:color="auto"/>
        <w:right w:val="none" w:sz="0" w:space="0" w:color="auto"/>
      </w:divBdr>
      <w:divsChild>
        <w:div w:id="434256743">
          <w:marLeft w:val="547"/>
          <w:marRight w:val="0"/>
          <w:marTop w:val="360"/>
          <w:marBottom w:val="0"/>
          <w:divBdr>
            <w:top w:val="none" w:sz="0" w:space="0" w:color="auto"/>
            <w:left w:val="none" w:sz="0" w:space="0" w:color="auto"/>
            <w:bottom w:val="none" w:sz="0" w:space="0" w:color="auto"/>
            <w:right w:val="none" w:sz="0" w:space="0" w:color="auto"/>
          </w:divBdr>
        </w:div>
        <w:div w:id="896208721">
          <w:marLeft w:val="1166"/>
          <w:marRight w:val="0"/>
          <w:marTop w:val="360"/>
          <w:marBottom w:val="0"/>
          <w:divBdr>
            <w:top w:val="none" w:sz="0" w:space="0" w:color="auto"/>
            <w:left w:val="none" w:sz="0" w:space="0" w:color="auto"/>
            <w:bottom w:val="none" w:sz="0" w:space="0" w:color="auto"/>
            <w:right w:val="none" w:sz="0" w:space="0" w:color="auto"/>
          </w:divBdr>
        </w:div>
        <w:div w:id="1244953599">
          <w:marLeft w:val="1166"/>
          <w:marRight w:val="0"/>
          <w:marTop w:val="360"/>
          <w:marBottom w:val="0"/>
          <w:divBdr>
            <w:top w:val="none" w:sz="0" w:space="0" w:color="auto"/>
            <w:left w:val="none" w:sz="0" w:space="0" w:color="auto"/>
            <w:bottom w:val="none" w:sz="0" w:space="0" w:color="auto"/>
            <w:right w:val="none" w:sz="0" w:space="0" w:color="auto"/>
          </w:divBdr>
        </w:div>
        <w:div w:id="1690255486">
          <w:marLeft w:val="1166"/>
          <w:marRight w:val="0"/>
          <w:marTop w:val="360"/>
          <w:marBottom w:val="0"/>
          <w:divBdr>
            <w:top w:val="none" w:sz="0" w:space="0" w:color="auto"/>
            <w:left w:val="none" w:sz="0" w:space="0" w:color="auto"/>
            <w:bottom w:val="none" w:sz="0" w:space="0" w:color="auto"/>
            <w:right w:val="none" w:sz="0" w:space="0" w:color="auto"/>
          </w:divBdr>
        </w:div>
        <w:div w:id="1987540637">
          <w:marLeft w:val="547"/>
          <w:marRight w:val="0"/>
          <w:marTop w:val="360"/>
          <w:marBottom w:val="0"/>
          <w:divBdr>
            <w:top w:val="none" w:sz="0" w:space="0" w:color="auto"/>
            <w:left w:val="none" w:sz="0" w:space="0" w:color="auto"/>
            <w:bottom w:val="none" w:sz="0" w:space="0" w:color="auto"/>
            <w:right w:val="none" w:sz="0" w:space="0" w:color="auto"/>
          </w:divBdr>
        </w:div>
      </w:divsChild>
    </w:div>
    <w:div w:id="467861815">
      <w:bodyDiv w:val="1"/>
      <w:marLeft w:val="0"/>
      <w:marRight w:val="0"/>
      <w:marTop w:val="0"/>
      <w:marBottom w:val="0"/>
      <w:divBdr>
        <w:top w:val="none" w:sz="0" w:space="0" w:color="auto"/>
        <w:left w:val="none" w:sz="0" w:space="0" w:color="auto"/>
        <w:bottom w:val="none" w:sz="0" w:space="0" w:color="auto"/>
        <w:right w:val="none" w:sz="0" w:space="0" w:color="auto"/>
      </w:divBdr>
    </w:div>
    <w:div w:id="469716014">
      <w:bodyDiv w:val="1"/>
      <w:marLeft w:val="0"/>
      <w:marRight w:val="0"/>
      <w:marTop w:val="0"/>
      <w:marBottom w:val="0"/>
      <w:divBdr>
        <w:top w:val="none" w:sz="0" w:space="0" w:color="auto"/>
        <w:left w:val="none" w:sz="0" w:space="0" w:color="auto"/>
        <w:bottom w:val="none" w:sz="0" w:space="0" w:color="auto"/>
        <w:right w:val="none" w:sz="0" w:space="0" w:color="auto"/>
      </w:divBdr>
      <w:divsChild>
        <w:div w:id="1869831585">
          <w:marLeft w:val="0"/>
          <w:marRight w:val="0"/>
          <w:marTop w:val="0"/>
          <w:marBottom w:val="0"/>
          <w:divBdr>
            <w:top w:val="none" w:sz="0" w:space="0" w:color="auto"/>
            <w:left w:val="none" w:sz="0" w:space="0" w:color="auto"/>
            <w:bottom w:val="none" w:sz="0" w:space="0" w:color="auto"/>
            <w:right w:val="none" w:sz="0" w:space="0" w:color="auto"/>
          </w:divBdr>
          <w:divsChild>
            <w:div w:id="1205868582">
              <w:marLeft w:val="0"/>
              <w:marRight w:val="0"/>
              <w:marTop w:val="0"/>
              <w:marBottom w:val="0"/>
              <w:divBdr>
                <w:top w:val="none" w:sz="0" w:space="0" w:color="auto"/>
                <w:left w:val="none" w:sz="0" w:space="0" w:color="auto"/>
                <w:bottom w:val="none" w:sz="0" w:space="0" w:color="auto"/>
                <w:right w:val="none" w:sz="0" w:space="0" w:color="auto"/>
              </w:divBdr>
              <w:divsChild>
                <w:div w:id="891160268">
                  <w:marLeft w:val="0"/>
                  <w:marRight w:val="0"/>
                  <w:marTop w:val="0"/>
                  <w:marBottom w:val="0"/>
                  <w:divBdr>
                    <w:top w:val="none" w:sz="0" w:space="0" w:color="auto"/>
                    <w:left w:val="none" w:sz="0" w:space="0" w:color="auto"/>
                    <w:bottom w:val="none" w:sz="0" w:space="0" w:color="auto"/>
                    <w:right w:val="none" w:sz="0" w:space="0" w:color="auto"/>
                  </w:divBdr>
                  <w:divsChild>
                    <w:div w:id="1844314383">
                      <w:marLeft w:val="0"/>
                      <w:marRight w:val="0"/>
                      <w:marTop w:val="0"/>
                      <w:marBottom w:val="0"/>
                      <w:divBdr>
                        <w:top w:val="none" w:sz="0" w:space="0" w:color="auto"/>
                        <w:left w:val="none" w:sz="0" w:space="0" w:color="auto"/>
                        <w:bottom w:val="none" w:sz="0" w:space="0" w:color="auto"/>
                        <w:right w:val="none" w:sz="0" w:space="0" w:color="auto"/>
                      </w:divBdr>
                      <w:divsChild>
                        <w:div w:id="407192767">
                          <w:marLeft w:val="0"/>
                          <w:marRight w:val="0"/>
                          <w:marTop w:val="0"/>
                          <w:marBottom w:val="0"/>
                          <w:divBdr>
                            <w:top w:val="none" w:sz="0" w:space="0" w:color="auto"/>
                            <w:left w:val="none" w:sz="0" w:space="0" w:color="auto"/>
                            <w:bottom w:val="none" w:sz="0" w:space="0" w:color="auto"/>
                            <w:right w:val="none" w:sz="0" w:space="0" w:color="auto"/>
                          </w:divBdr>
                          <w:divsChild>
                            <w:div w:id="1115948039">
                              <w:marLeft w:val="0"/>
                              <w:marRight w:val="0"/>
                              <w:marTop w:val="0"/>
                              <w:marBottom w:val="0"/>
                              <w:divBdr>
                                <w:top w:val="none" w:sz="0" w:space="0" w:color="auto"/>
                                <w:left w:val="none" w:sz="0" w:space="0" w:color="auto"/>
                                <w:bottom w:val="none" w:sz="0" w:space="0" w:color="auto"/>
                                <w:right w:val="none" w:sz="0" w:space="0" w:color="auto"/>
                              </w:divBdr>
                              <w:divsChild>
                                <w:div w:id="19259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562043">
      <w:bodyDiv w:val="1"/>
      <w:marLeft w:val="0"/>
      <w:marRight w:val="0"/>
      <w:marTop w:val="0"/>
      <w:marBottom w:val="0"/>
      <w:divBdr>
        <w:top w:val="none" w:sz="0" w:space="0" w:color="auto"/>
        <w:left w:val="none" w:sz="0" w:space="0" w:color="auto"/>
        <w:bottom w:val="none" w:sz="0" w:space="0" w:color="auto"/>
        <w:right w:val="none" w:sz="0" w:space="0" w:color="auto"/>
      </w:divBdr>
      <w:divsChild>
        <w:div w:id="1671061742">
          <w:marLeft w:val="0"/>
          <w:marRight w:val="0"/>
          <w:marTop w:val="0"/>
          <w:marBottom w:val="0"/>
          <w:divBdr>
            <w:top w:val="none" w:sz="0" w:space="0" w:color="auto"/>
            <w:left w:val="none" w:sz="0" w:space="0" w:color="auto"/>
            <w:bottom w:val="none" w:sz="0" w:space="0" w:color="auto"/>
            <w:right w:val="none" w:sz="0" w:space="0" w:color="auto"/>
          </w:divBdr>
        </w:div>
      </w:divsChild>
    </w:div>
    <w:div w:id="532573419">
      <w:bodyDiv w:val="1"/>
      <w:marLeft w:val="0"/>
      <w:marRight w:val="0"/>
      <w:marTop w:val="0"/>
      <w:marBottom w:val="0"/>
      <w:divBdr>
        <w:top w:val="none" w:sz="0" w:space="0" w:color="auto"/>
        <w:left w:val="none" w:sz="0" w:space="0" w:color="auto"/>
        <w:bottom w:val="none" w:sz="0" w:space="0" w:color="auto"/>
        <w:right w:val="none" w:sz="0" w:space="0" w:color="auto"/>
      </w:divBdr>
      <w:divsChild>
        <w:div w:id="918756571">
          <w:marLeft w:val="0"/>
          <w:marRight w:val="0"/>
          <w:marTop w:val="0"/>
          <w:marBottom w:val="0"/>
          <w:divBdr>
            <w:top w:val="none" w:sz="0" w:space="0" w:color="auto"/>
            <w:left w:val="none" w:sz="0" w:space="0" w:color="auto"/>
            <w:bottom w:val="none" w:sz="0" w:space="0" w:color="auto"/>
            <w:right w:val="none" w:sz="0" w:space="0" w:color="auto"/>
          </w:divBdr>
          <w:divsChild>
            <w:div w:id="300313035">
              <w:marLeft w:val="0"/>
              <w:marRight w:val="0"/>
              <w:marTop w:val="0"/>
              <w:marBottom w:val="0"/>
              <w:divBdr>
                <w:top w:val="none" w:sz="0" w:space="0" w:color="auto"/>
                <w:left w:val="none" w:sz="0" w:space="0" w:color="auto"/>
                <w:bottom w:val="none" w:sz="0" w:space="0" w:color="auto"/>
                <w:right w:val="none" w:sz="0" w:space="0" w:color="auto"/>
              </w:divBdr>
              <w:divsChild>
                <w:div w:id="1940484535">
                  <w:marLeft w:val="0"/>
                  <w:marRight w:val="0"/>
                  <w:marTop w:val="0"/>
                  <w:marBottom w:val="0"/>
                  <w:divBdr>
                    <w:top w:val="none" w:sz="0" w:space="0" w:color="auto"/>
                    <w:left w:val="none" w:sz="0" w:space="0" w:color="auto"/>
                    <w:bottom w:val="none" w:sz="0" w:space="0" w:color="auto"/>
                    <w:right w:val="none" w:sz="0" w:space="0" w:color="auto"/>
                  </w:divBdr>
                  <w:divsChild>
                    <w:div w:id="201599565">
                      <w:marLeft w:val="0"/>
                      <w:marRight w:val="0"/>
                      <w:marTop w:val="0"/>
                      <w:marBottom w:val="0"/>
                      <w:divBdr>
                        <w:top w:val="none" w:sz="0" w:space="0" w:color="auto"/>
                        <w:left w:val="none" w:sz="0" w:space="0" w:color="auto"/>
                        <w:bottom w:val="none" w:sz="0" w:space="0" w:color="auto"/>
                        <w:right w:val="none" w:sz="0" w:space="0" w:color="auto"/>
                      </w:divBdr>
                      <w:divsChild>
                        <w:div w:id="1663771337">
                          <w:marLeft w:val="0"/>
                          <w:marRight w:val="0"/>
                          <w:marTop w:val="0"/>
                          <w:marBottom w:val="0"/>
                          <w:divBdr>
                            <w:top w:val="none" w:sz="0" w:space="0" w:color="auto"/>
                            <w:left w:val="none" w:sz="0" w:space="0" w:color="auto"/>
                            <w:bottom w:val="none" w:sz="0" w:space="0" w:color="auto"/>
                            <w:right w:val="none" w:sz="0" w:space="0" w:color="auto"/>
                          </w:divBdr>
                          <w:divsChild>
                            <w:div w:id="1619994272">
                              <w:marLeft w:val="0"/>
                              <w:marRight w:val="0"/>
                              <w:marTop w:val="0"/>
                              <w:marBottom w:val="0"/>
                              <w:divBdr>
                                <w:top w:val="single" w:sz="6" w:space="0" w:color="D7E7F4"/>
                                <w:left w:val="none" w:sz="0" w:space="0" w:color="auto"/>
                                <w:bottom w:val="none" w:sz="0" w:space="0" w:color="auto"/>
                                <w:right w:val="none" w:sz="0" w:space="0" w:color="auto"/>
                              </w:divBdr>
                              <w:divsChild>
                                <w:div w:id="85268004">
                                  <w:marLeft w:val="0"/>
                                  <w:marRight w:val="0"/>
                                  <w:marTop w:val="0"/>
                                  <w:marBottom w:val="0"/>
                                  <w:divBdr>
                                    <w:top w:val="none" w:sz="0" w:space="0" w:color="auto"/>
                                    <w:left w:val="none" w:sz="0" w:space="0" w:color="auto"/>
                                    <w:bottom w:val="none" w:sz="0" w:space="0" w:color="auto"/>
                                    <w:right w:val="none" w:sz="0" w:space="0" w:color="auto"/>
                                  </w:divBdr>
                                  <w:divsChild>
                                    <w:div w:id="70585812">
                                      <w:marLeft w:val="0"/>
                                      <w:marRight w:val="0"/>
                                      <w:marTop w:val="0"/>
                                      <w:marBottom w:val="0"/>
                                      <w:divBdr>
                                        <w:top w:val="none" w:sz="0" w:space="0" w:color="auto"/>
                                        <w:left w:val="none" w:sz="0" w:space="0" w:color="auto"/>
                                        <w:bottom w:val="none" w:sz="0" w:space="0" w:color="auto"/>
                                        <w:right w:val="none" w:sz="0" w:space="0" w:color="auto"/>
                                      </w:divBdr>
                                      <w:divsChild>
                                        <w:div w:id="237136930">
                                          <w:marLeft w:val="0"/>
                                          <w:marRight w:val="0"/>
                                          <w:marTop w:val="0"/>
                                          <w:marBottom w:val="0"/>
                                          <w:divBdr>
                                            <w:top w:val="none" w:sz="0" w:space="0" w:color="auto"/>
                                            <w:left w:val="none" w:sz="0" w:space="0" w:color="auto"/>
                                            <w:bottom w:val="none" w:sz="0" w:space="0" w:color="auto"/>
                                            <w:right w:val="none" w:sz="0" w:space="0" w:color="auto"/>
                                          </w:divBdr>
                                          <w:divsChild>
                                            <w:div w:id="1202086948">
                                              <w:marLeft w:val="0"/>
                                              <w:marRight w:val="0"/>
                                              <w:marTop w:val="0"/>
                                              <w:marBottom w:val="0"/>
                                              <w:divBdr>
                                                <w:top w:val="none" w:sz="0" w:space="0" w:color="auto"/>
                                                <w:left w:val="none" w:sz="0" w:space="0" w:color="auto"/>
                                                <w:bottom w:val="none" w:sz="0" w:space="0" w:color="auto"/>
                                                <w:right w:val="none" w:sz="0" w:space="0" w:color="auto"/>
                                              </w:divBdr>
                                              <w:divsChild>
                                                <w:div w:id="23871851">
                                                  <w:marLeft w:val="0"/>
                                                  <w:marRight w:val="0"/>
                                                  <w:marTop w:val="0"/>
                                                  <w:marBottom w:val="0"/>
                                                  <w:divBdr>
                                                    <w:top w:val="none" w:sz="0" w:space="0" w:color="auto"/>
                                                    <w:left w:val="none" w:sz="0" w:space="0" w:color="auto"/>
                                                    <w:bottom w:val="none" w:sz="0" w:space="0" w:color="auto"/>
                                                    <w:right w:val="none" w:sz="0" w:space="0" w:color="auto"/>
                                                  </w:divBdr>
                                                  <w:divsChild>
                                                    <w:div w:id="1131166357">
                                                      <w:marLeft w:val="0"/>
                                                      <w:marRight w:val="0"/>
                                                      <w:marTop w:val="0"/>
                                                      <w:marBottom w:val="0"/>
                                                      <w:divBdr>
                                                        <w:top w:val="none" w:sz="0" w:space="0" w:color="auto"/>
                                                        <w:left w:val="none" w:sz="0" w:space="0" w:color="auto"/>
                                                        <w:bottom w:val="none" w:sz="0" w:space="0" w:color="auto"/>
                                                        <w:right w:val="none" w:sz="0" w:space="0" w:color="auto"/>
                                                      </w:divBdr>
                                                    </w:div>
                                                    <w:div w:id="1978295642">
                                                      <w:marLeft w:val="0"/>
                                                      <w:marRight w:val="0"/>
                                                      <w:marTop w:val="0"/>
                                                      <w:marBottom w:val="0"/>
                                                      <w:divBdr>
                                                        <w:top w:val="none" w:sz="0" w:space="0" w:color="auto"/>
                                                        <w:left w:val="none" w:sz="0" w:space="0" w:color="auto"/>
                                                        <w:bottom w:val="none" w:sz="0" w:space="0" w:color="auto"/>
                                                        <w:right w:val="none" w:sz="0" w:space="0" w:color="auto"/>
                                                      </w:divBdr>
                                                      <w:divsChild>
                                                        <w:div w:id="36131578">
                                                          <w:marLeft w:val="0"/>
                                                          <w:marRight w:val="0"/>
                                                          <w:marTop w:val="0"/>
                                                          <w:marBottom w:val="0"/>
                                                          <w:divBdr>
                                                            <w:top w:val="none" w:sz="0" w:space="0" w:color="auto"/>
                                                            <w:left w:val="none" w:sz="0" w:space="0" w:color="auto"/>
                                                            <w:bottom w:val="none" w:sz="0" w:space="0" w:color="auto"/>
                                                            <w:right w:val="none" w:sz="0" w:space="0" w:color="auto"/>
                                                          </w:divBdr>
                                                        </w:div>
                                                        <w:div w:id="74515642">
                                                          <w:marLeft w:val="0"/>
                                                          <w:marRight w:val="0"/>
                                                          <w:marTop w:val="0"/>
                                                          <w:marBottom w:val="0"/>
                                                          <w:divBdr>
                                                            <w:top w:val="none" w:sz="0" w:space="0" w:color="auto"/>
                                                            <w:left w:val="none" w:sz="0" w:space="0" w:color="auto"/>
                                                            <w:bottom w:val="none" w:sz="0" w:space="0" w:color="auto"/>
                                                            <w:right w:val="none" w:sz="0" w:space="0" w:color="auto"/>
                                                          </w:divBdr>
                                                        </w:div>
                                                        <w:div w:id="81531029">
                                                          <w:marLeft w:val="0"/>
                                                          <w:marRight w:val="0"/>
                                                          <w:marTop w:val="0"/>
                                                          <w:marBottom w:val="0"/>
                                                          <w:divBdr>
                                                            <w:top w:val="none" w:sz="0" w:space="0" w:color="auto"/>
                                                            <w:left w:val="none" w:sz="0" w:space="0" w:color="auto"/>
                                                            <w:bottom w:val="none" w:sz="0" w:space="0" w:color="auto"/>
                                                            <w:right w:val="none" w:sz="0" w:space="0" w:color="auto"/>
                                                          </w:divBdr>
                                                        </w:div>
                                                        <w:div w:id="86314146">
                                                          <w:marLeft w:val="0"/>
                                                          <w:marRight w:val="0"/>
                                                          <w:marTop w:val="0"/>
                                                          <w:marBottom w:val="0"/>
                                                          <w:divBdr>
                                                            <w:top w:val="none" w:sz="0" w:space="0" w:color="auto"/>
                                                            <w:left w:val="none" w:sz="0" w:space="0" w:color="auto"/>
                                                            <w:bottom w:val="none" w:sz="0" w:space="0" w:color="auto"/>
                                                            <w:right w:val="none" w:sz="0" w:space="0" w:color="auto"/>
                                                          </w:divBdr>
                                                        </w:div>
                                                        <w:div w:id="94643347">
                                                          <w:marLeft w:val="0"/>
                                                          <w:marRight w:val="0"/>
                                                          <w:marTop w:val="0"/>
                                                          <w:marBottom w:val="0"/>
                                                          <w:divBdr>
                                                            <w:top w:val="none" w:sz="0" w:space="0" w:color="auto"/>
                                                            <w:left w:val="none" w:sz="0" w:space="0" w:color="auto"/>
                                                            <w:bottom w:val="none" w:sz="0" w:space="0" w:color="auto"/>
                                                            <w:right w:val="none" w:sz="0" w:space="0" w:color="auto"/>
                                                          </w:divBdr>
                                                        </w:div>
                                                        <w:div w:id="97406271">
                                                          <w:marLeft w:val="0"/>
                                                          <w:marRight w:val="0"/>
                                                          <w:marTop w:val="0"/>
                                                          <w:marBottom w:val="0"/>
                                                          <w:divBdr>
                                                            <w:top w:val="none" w:sz="0" w:space="0" w:color="auto"/>
                                                            <w:left w:val="none" w:sz="0" w:space="0" w:color="auto"/>
                                                            <w:bottom w:val="none" w:sz="0" w:space="0" w:color="auto"/>
                                                            <w:right w:val="none" w:sz="0" w:space="0" w:color="auto"/>
                                                          </w:divBdr>
                                                        </w:div>
                                                        <w:div w:id="125200848">
                                                          <w:marLeft w:val="0"/>
                                                          <w:marRight w:val="0"/>
                                                          <w:marTop w:val="0"/>
                                                          <w:marBottom w:val="0"/>
                                                          <w:divBdr>
                                                            <w:top w:val="none" w:sz="0" w:space="0" w:color="auto"/>
                                                            <w:left w:val="none" w:sz="0" w:space="0" w:color="auto"/>
                                                            <w:bottom w:val="none" w:sz="0" w:space="0" w:color="auto"/>
                                                            <w:right w:val="none" w:sz="0" w:space="0" w:color="auto"/>
                                                          </w:divBdr>
                                                        </w:div>
                                                        <w:div w:id="147063209">
                                                          <w:marLeft w:val="0"/>
                                                          <w:marRight w:val="0"/>
                                                          <w:marTop w:val="0"/>
                                                          <w:marBottom w:val="0"/>
                                                          <w:divBdr>
                                                            <w:top w:val="none" w:sz="0" w:space="0" w:color="auto"/>
                                                            <w:left w:val="none" w:sz="0" w:space="0" w:color="auto"/>
                                                            <w:bottom w:val="none" w:sz="0" w:space="0" w:color="auto"/>
                                                            <w:right w:val="none" w:sz="0" w:space="0" w:color="auto"/>
                                                          </w:divBdr>
                                                        </w:div>
                                                        <w:div w:id="212037568">
                                                          <w:marLeft w:val="0"/>
                                                          <w:marRight w:val="0"/>
                                                          <w:marTop w:val="0"/>
                                                          <w:marBottom w:val="0"/>
                                                          <w:divBdr>
                                                            <w:top w:val="none" w:sz="0" w:space="0" w:color="auto"/>
                                                            <w:left w:val="none" w:sz="0" w:space="0" w:color="auto"/>
                                                            <w:bottom w:val="none" w:sz="0" w:space="0" w:color="auto"/>
                                                            <w:right w:val="none" w:sz="0" w:space="0" w:color="auto"/>
                                                          </w:divBdr>
                                                        </w:div>
                                                        <w:div w:id="241259006">
                                                          <w:marLeft w:val="0"/>
                                                          <w:marRight w:val="0"/>
                                                          <w:marTop w:val="0"/>
                                                          <w:marBottom w:val="0"/>
                                                          <w:divBdr>
                                                            <w:top w:val="none" w:sz="0" w:space="0" w:color="auto"/>
                                                            <w:left w:val="none" w:sz="0" w:space="0" w:color="auto"/>
                                                            <w:bottom w:val="none" w:sz="0" w:space="0" w:color="auto"/>
                                                            <w:right w:val="none" w:sz="0" w:space="0" w:color="auto"/>
                                                          </w:divBdr>
                                                        </w:div>
                                                        <w:div w:id="249314808">
                                                          <w:marLeft w:val="0"/>
                                                          <w:marRight w:val="0"/>
                                                          <w:marTop w:val="0"/>
                                                          <w:marBottom w:val="0"/>
                                                          <w:divBdr>
                                                            <w:top w:val="none" w:sz="0" w:space="0" w:color="auto"/>
                                                            <w:left w:val="none" w:sz="0" w:space="0" w:color="auto"/>
                                                            <w:bottom w:val="none" w:sz="0" w:space="0" w:color="auto"/>
                                                            <w:right w:val="none" w:sz="0" w:space="0" w:color="auto"/>
                                                          </w:divBdr>
                                                        </w:div>
                                                        <w:div w:id="249974426">
                                                          <w:marLeft w:val="0"/>
                                                          <w:marRight w:val="0"/>
                                                          <w:marTop w:val="0"/>
                                                          <w:marBottom w:val="0"/>
                                                          <w:divBdr>
                                                            <w:top w:val="none" w:sz="0" w:space="0" w:color="auto"/>
                                                            <w:left w:val="none" w:sz="0" w:space="0" w:color="auto"/>
                                                            <w:bottom w:val="none" w:sz="0" w:space="0" w:color="auto"/>
                                                            <w:right w:val="none" w:sz="0" w:space="0" w:color="auto"/>
                                                          </w:divBdr>
                                                        </w:div>
                                                        <w:div w:id="327245692">
                                                          <w:marLeft w:val="0"/>
                                                          <w:marRight w:val="0"/>
                                                          <w:marTop w:val="0"/>
                                                          <w:marBottom w:val="0"/>
                                                          <w:divBdr>
                                                            <w:top w:val="none" w:sz="0" w:space="0" w:color="auto"/>
                                                            <w:left w:val="none" w:sz="0" w:space="0" w:color="auto"/>
                                                            <w:bottom w:val="none" w:sz="0" w:space="0" w:color="auto"/>
                                                            <w:right w:val="none" w:sz="0" w:space="0" w:color="auto"/>
                                                          </w:divBdr>
                                                        </w:div>
                                                        <w:div w:id="361782946">
                                                          <w:marLeft w:val="0"/>
                                                          <w:marRight w:val="0"/>
                                                          <w:marTop w:val="0"/>
                                                          <w:marBottom w:val="0"/>
                                                          <w:divBdr>
                                                            <w:top w:val="none" w:sz="0" w:space="0" w:color="auto"/>
                                                            <w:left w:val="none" w:sz="0" w:space="0" w:color="auto"/>
                                                            <w:bottom w:val="none" w:sz="0" w:space="0" w:color="auto"/>
                                                            <w:right w:val="none" w:sz="0" w:space="0" w:color="auto"/>
                                                          </w:divBdr>
                                                        </w:div>
                                                        <w:div w:id="394086154">
                                                          <w:marLeft w:val="0"/>
                                                          <w:marRight w:val="0"/>
                                                          <w:marTop w:val="0"/>
                                                          <w:marBottom w:val="0"/>
                                                          <w:divBdr>
                                                            <w:top w:val="none" w:sz="0" w:space="0" w:color="auto"/>
                                                            <w:left w:val="none" w:sz="0" w:space="0" w:color="auto"/>
                                                            <w:bottom w:val="none" w:sz="0" w:space="0" w:color="auto"/>
                                                            <w:right w:val="none" w:sz="0" w:space="0" w:color="auto"/>
                                                          </w:divBdr>
                                                        </w:div>
                                                        <w:div w:id="398947531">
                                                          <w:marLeft w:val="0"/>
                                                          <w:marRight w:val="0"/>
                                                          <w:marTop w:val="0"/>
                                                          <w:marBottom w:val="0"/>
                                                          <w:divBdr>
                                                            <w:top w:val="none" w:sz="0" w:space="0" w:color="auto"/>
                                                            <w:left w:val="none" w:sz="0" w:space="0" w:color="auto"/>
                                                            <w:bottom w:val="none" w:sz="0" w:space="0" w:color="auto"/>
                                                            <w:right w:val="none" w:sz="0" w:space="0" w:color="auto"/>
                                                          </w:divBdr>
                                                        </w:div>
                                                        <w:div w:id="404570530">
                                                          <w:marLeft w:val="0"/>
                                                          <w:marRight w:val="0"/>
                                                          <w:marTop w:val="0"/>
                                                          <w:marBottom w:val="0"/>
                                                          <w:divBdr>
                                                            <w:top w:val="none" w:sz="0" w:space="0" w:color="auto"/>
                                                            <w:left w:val="none" w:sz="0" w:space="0" w:color="auto"/>
                                                            <w:bottom w:val="none" w:sz="0" w:space="0" w:color="auto"/>
                                                            <w:right w:val="none" w:sz="0" w:space="0" w:color="auto"/>
                                                          </w:divBdr>
                                                        </w:div>
                                                        <w:div w:id="421071379">
                                                          <w:marLeft w:val="0"/>
                                                          <w:marRight w:val="0"/>
                                                          <w:marTop w:val="0"/>
                                                          <w:marBottom w:val="0"/>
                                                          <w:divBdr>
                                                            <w:top w:val="none" w:sz="0" w:space="0" w:color="auto"/>
                                                            <w:left w:val="none" w:sz="0" w:space="0" w:color="auto"/>
                                                            <w:bottom w:val="none" w:sz="0" w:space="0" w:color="auto"/>
                                                            <w:right w:val="none" w:sz="0" w:space="0" w:color="auto"/>
                                                          </w:divBdr>
                                                        </w:div>
                                                        <w:div w:id="458456000">
                                                          <w:marLeft w:val="0"/>
                                                          <w:marRight w:val="0"/>
                                                          <w:marTop w:val="0"/>
                                                          <w:marBottom w:val="0"/>
                                                          <w:divBdr>
                                                            <w:top w:val="none" w:sz="0" w:space="0" w:color="auto"/>
                                                            <w:left w:val="none" w:sz="0" w:space="0" w:color="auto"/>
                                                            <w:bottom w:val="none" w:sz="0" w:space="0" w:color="auto"/>
                                                            <w:right w:val="none" w:sz="0" w:space="0" w:color="auto"/>
                                                          </w:divBdr>
                                                        </w:div>
                                                        <w:div w:id="460538931">
                                                          <w:marLeft w:val="0"/>
                                                          <w:marRight w:val="0"/>
                                                          <w:marTop w:val="0"/>
                                                          <w:marBottom w:val="0"/>
                                                          <w:divBdr>
                                                            <w:top w:val="none" w:sz="0" w:space="0" w:color="auto"/>
                                                            <w:left w:val="none" w:sz="0" w:space="0" w:color="auto"/>
                                                            <w:bottom w:val="none" w:sz="0" w:space="0" w:color="auto"/>
                                                            <w:right w:val="none" w:sz="0" w:space="0" w:color="auto"/>
                                                          </w:divBdr>
                                                        </w:div>
                                                        <w:div w:id="480270141">
                                                          <w:marLeft w:val="0"/>
                                                          <w:marRight w:val="0"/>
                                                          <w:marTop w:val="0"/>
                                                          <w:marBottom w:val="0"/>
                                                          <w:divBdr>
                                                            <w:top w:val="none" w:sz="0" w:space="0" w:color="auto"/>
                                                            <w:left w:val="none" w:sz="0" w:space="0" w:color="auto"/>
                                                            <w:bottom w:val="none" w:sz="0" w:space="0" w:color="auto"/>
                                                            <w:right w:val="none" w:sz="0" w:space="0" w:color="auto"/>
                                                          </w:divBdr>
                                                        </w:div>
                                                        <w:div w:id="504252350">
                                                          <w:marLeft w:val="0"/>
                                                          <w:marRight w:val="0"/>
                                                          <w:marTop w:val="0"/>
                                                          <w:marBottom w:val="0"/>
                                                          <w:divBdr>
                                                            <w:top w:val="none" w:sz="0" w:space="0" w:color="auto"/>
                                                            <w:left w:val="none" w:sz="0" w:space="0" w:color="auto"/>
                                                            <w:bottom w:val="none" w:sz="0" w:space="0" w:color="auto"/>
                                                            <w:right w:val="none" w:sz="0" w:space="0" w:color="auto"/>
                                                          </w:divBdr>
                                                        </w:div>
                                                        <w:div w:id="513885708">
                                                          <w:marLeft w:val="0"/>
                                                          <w:marRight w:val="0"/>
                                                          <w:marTop w:val="0"/>
                                                          <w:marBottom w:val="0"/>
                                                          <w:divBdr>
                                                            <w:top w:val="none" w:sz="0" w:space="0" w:color="auto"/>
                                                            <w:left w:val="none" w:sz="0" w:space="0" w:color="auto"/>
                                                            <w:bottom w:val="none" w:sz="0" w:space="0" w:color="auto"/>
                                                            <w:right w:val="none" w:sz="0" w:space="0" w:color="auto"/>
                                                          </w:divBdr>
                                                        </w:div>
                                                        <w:div w:id="516164304">
                                                          <w:marLeft w:val="0"/>
                                                          <w:marRight w:val="0"/>
                                                          <w:marTop w:val="0"/>
                                                          <w:marBottom w:val="0"/>
                                                          <w:divBdr>
                                                            <w:top w:val="none" w:sz="0" w:space="0" w:color="auto"/>
                                                            <w:left w:val="none" w:sz="0" w:space="0" w:color="auto"/>
                                                            <w:bottom w:val="none" w:sz="0" w:space="0" w:color="auto"/>
                                                            <w:right w:val="none" w:sz="0" w:space="0" w:color="auto"/>
                                                          </w:divBdr>
                                                        </w:div>
                                                        <w:div w:id="533034767">
                                                          <w:marLeft w:val="0"/>
                                                          <w:marRight w:val="0"/>
                                                          <w:marTop w:val="0"/>
                                                          <w:marBottom w:val="0"/>
                                                          <w:divBdr>
                                                            <w:top w:val="none" w:sz="0" w:space="0" w:color="auto"/>
                                                            <w:left w:val="none" w:sz="0" w:space="0" w:color="auto"/>
                                                            <w:bottom w:val="none" w:sz="0" w:space="0" w:color="auto"/>
                                                            <w:right w:val="none" w:sz="0" w:space="0" w:color="auto"/>
                                                          </w:divBdr>
                                                        </w:div>
                                                        <w:div w:id="534582075">
                                                          <w:marLeft w:val="0"/>
                                                          <w:marRight w:val="0"/>
                                                          <w:marTop w:val="0"/>
                                                          <w:marBottom w:val="0"/>
                                                          <w:divBdr>
                                                            <w:top w:val="none" w:sz="0" w:space="0" w:color="auto"/>
                                                            <w:left w:val="none" w:sz="0" w:space="0" w:color="auto"/>
                                                            <w:bottom w:val="none" w:sz="0" w:space="0" w:color="auto"/>
                                                            <w:right w:val="none" w:sz="0" w:space="0" w:color="auto"/>
                                                          </w:divBdr>
                                                        </w:div>
                                                        <w:div w:id="578952004">
                                                          <w:marLeft w:val="0"/>
                                                          <w:marRight w:val="0"/>
                                                          <w:marTop w:val="0"/>
                                                          <w:marBottom w:val="0"/>
                                                          <w:divBdr>
                                                            <w:top w:val="none" w:sz="0" w:space="0" w:color="auto"/>
                                                            <w:left w:val="none" w:sz="0" w:space="0" w:color="auto"/>
                                                            <w:bottom w:val="none" w:sz="0" w:space="0" w:color="auto"/>
                                                            <w:right w:val="none" w:sz="0" w:space="0" w:color="auto"/>
                                                          </w:divBdr>
                                                        </w:div>
                                                        <w:div w:id="593973455">
                                                          <w:marLeft w:val="0"/>
                                                          <w:marRight w:val="0"/>
                                                          <w:marTop w:val="0"/>
                                                          <w:marBottom w:val="0"/>
                                                          <w:divBdr>
                                                            <w:top w:val="none" w:sz="0" w:space="0" w:color="auto"/>
                                                            <w:left w:val="none" w:sz="0" w:space="0" w:color="auto"/>
                                                            <w:bottom w:val="none" w:sz="0" w:space="0" w:color="auto"/>
                                                            <w:right w:val="none" w:sz="0" w:space="0" w:color="auto"/>
                                                          </w:divBdr>
                                                        </w:div>
                                                        <w:div w:id="596450185">
                                                          <w:marLeft w:val="0"/>
                                                          <w:marRight w:val="0"/>
                                                          <w:marTop w:val="0"/>
                                                          <w:marBottom w:val="0"/>
                                                          <w:divBdr>
                                                            <w:top w:val="none" w:sz="0" w:space="0" w:color="auto"/>
                                                            <w:left w:val="none" w:sz="0" w:space="0" w:color="auto"/>
                                                            <w:bottom w:val="none" w:sz="0" w:space="0" w:color="auto"/>
                                                            <w:right w:val="none" w:sz="0" w:space="0" w:color="auto"/>
                                                          </w:divBdr>
                                                        </w:div>
                                                        <w:div w:id="648629545">
                                                          <w:marLeft w:val="0"/>
                                                          <w:marRight w:val="0"/>
                                                          <w:marTop w:val="0"/>
                                                          <w:marBottom w:val="0"/>
                                                          <w:divBdr>
                                                            <w:top w:val="none" w:sz="0" w:space="0" w:color="auto"/>
                                                            <w:left w:val="none" w:sz="0" w:space="0" w:color="auto"/>
                                                            <w:bottom w:val="none" w:sz="0" w:space="0" w:color="auto"/>
                                                            <w:right w:val="none" w:sz="0" w:space="0" w:color="auto"/>
                                                          </w:divBdr>
                                                        </w:div>
                                                        <w:div w:id="656343686">
                                                          <w:marLeft w:val="0"/>
                                                          <w:marRight w:val="0"/>
                                                          <w:marTop w:val="0"/>
                                                          <w:marBottom w:val="0"/>
                                                          <w:divBdr>
                                                            <w:top w:val="none" w:sz="0" w:space="0" w:color="auto"/>
                                                            <w:left w:val="none" w:sz="0" w:space="0" w:color="auto"/>
                                                            <w:bottom w:val="none" w:sz="0" w:space="0" w:color="auto"/>
                                                            <w:right w:val="none" w:sz="0" w:space="0" w:color="auto"/>
                                                          </w:divBdr>
                                                        </w:div>
                                                        <w:div w:id="657535178">
                                                          <w:marLeft w:val="0"/>
                                                          <w:marRight w:val="0"/>
                                                          <w:marTop w:val="0"/>
                                                          <w:marBottom w:val="0"/>
                                                          <w:divBdr>
                                                            <w:top w:val="none" w:sz="0" w:space="0" w:color="auto"/>
                                                            <w:left w:val="none" w:sz="0" w:space="0" w:color="auto"/>
                                                            <w:bottom w:val="none" w:sz="0" w:space="0" w:color="auto"/>
                                                            <w:right w:val="none" w:sz="0" w:space="0" w:color="auto"/>
                                                          </w:divBdr>
                                                        </w:div>
                                                        <w:div w:id="658272564">
                                                          <w:marLeft w:val="0"/>
                                                          <w:marRight w:val="0"/>
                                                          <w:marTop w:val="0"/>
                                                          <w:marBottom w:val="0"/>
                                                          <w:divBdr>
                                                            <w:top w:val="none" w:sz="0" w:space="0" w:color="auto"/>
                                                            <w:left w:val="none" w:sz="0" w:space="0" w:color="auto"/>
                                                            <w:bottom w:val="none" w:sz="0" w:space="0" w:color="auto"/>
                                                            <w:right w:val="none" w:sz="0" w:space="0" w:color="auto"/>
                                                          </w:divBdr>
                                                        </w:div>
                                                        <w:div w:id="673580353">
                                                          <w:marLeft w:val="0"/>
                                                          <w:marRight w:val="0"/>
                                                          <w:marTop w:val="0"/>
                                                          <w:marBottom w:val="0"/>
                                                          <w:divBdr>
                                                            <w:top w:val="none" w:sz="0" w:space="0" w:color="auto"/>
                                                            <w:left w:val="none" w:sz="0" w:space="0" w:color="auto"/>
                                                            <w:bottom w:val="none" w:sz="0" w:space="0" w:color="auto"/>
                                                            <w:right w:val="none" w:sz="0" w:space="0" w:color="auto"/>
                                                          </w:divBdr>
                                                        </w:div>
                                                        <w:div w:id="674067264">
                                                          <w:marLeft w:val="0"/>
                                                          <w:marRight w:val="0"/>
                                                          <w:marTop w:val="0"/>
                                                          <w:marBottom w:val="0"/>
                                                          <w:divBdr>
                                                            <w:top w:val="none" w:sz="0" w:space="0" w:color="auto"/>
                                                            <w:left w:val="none" w:sz="0" w:space="0" w:color="auto"/>
                                                            <w:bottom w:val="none" w:sz="0" w:space="0" w:color="auto"/>
                                                            <w:right w:val="none" w:sz="0" w:space="0" w:color="auto"/>
                                                          </w:divBdr>
                                                        </w:div>
                                                        <w:div w:id="679696597">
                                                          <w:marLeft w:val="0"/>
                                                          <w:marRight w:val="0"/>
                                                          <w:marTop w:val="0"/>
                                                          <w:marBottom w:val="0"/>
                                                          <w:divBdr>
                                                            <w:top w:val="none" w:sz="0" w:space="0" w:color="auto"/>
                                                            <w:left w:val="none" w:sz="0" w:space="0" w:color="auto"/>
                                                            <w:bottom w:val="none" w:sz="0" w:space="0" w:color="auto"/>
                                                            <w:right w:val="none" w:sz="0" w:space="0" w:color="auto"/>
                                                          </w:divBdr>
                                                        </w:div>
                                                        <w:div w:id="683941400">
                                                          <w:marLeft w:val="0"/>
                                                          <w:marRight w:val="0"/>
                                                          <w:marTop w:val="0"/>
                                                          <w:marBottom w:val="0"/>
                                                          <w:divBdr>
                                                            <w:top w:val="none" w:sz="0" w:space="0" w:color="auto"/>
                                                            <w:left w:val="none" w:sz="0" w:space="0" w:color="auto"/>
                                                            <w:bottom w:val="none" w:sz="0" w:space="0" w:color="auto"/>
                                                            <w:right w:val="none" w:sz="0" w:space="0" w:color="auto"/>
                                                          </w:divBdr>
                                                        </w:div>
                                                        <w:div w:id="692848322">
                                                          <w:marLeft w:val="0"/>
                                                          <w:marRight w:val="0"/>
                                                          <w:marTop w:val="0"/>
                                                          <w:marBottom w:val="0"/>
                                                          <w:divBdr>
                                                            <w:top w:val="none" w:sz="0" w:space="0" w:color="auto"/>
                                                            <w:left w:val="none" w:sz="0" w:space="0" w:color="auto"/>
                                                            <w:bottom w:val="none" w:sz="0" w:space="0" w:color="auto"/>
                                                            <w:right w:val="none" w:sz="0" w:space="0" w:color="auto"/>
                                                          </w:divBdr>
                                                        </w:div>
                                                        <w:div w:id="696346649">
                                                          <w:marLeft w:val="0"/>
                                                          <w:marRight w:val="0"/>
                                                          <w:marTop w:val="0"/>
                                                          <w:marBottom w:val="0"/>
                                                          <w:divBdr>
                                                            <w:top w:val="none" w:sz="0" w:space="0" w:color="auto"/>
                                                            <w:left w:val="none" w:sz="0" w:space="0" w:color="auto"/>
                                                            <w:bottom w:val="none" w:sz="0" w:space="0" w:color="auto"/>
                                                            <w:right w:val="none" w:sz="0" w:space="0" w:color="auto"/>
                                                          </w:divBdr>
                                                        </w:div>
                                                        <w:div w:id="730926755">
                                                          <w:marLeft w:val="0"/>
                                                          <w:marRight w:val="0"/>
                                                          <w:marTop w:val="0"/>
                                                          <w:marBottom w:val="0"/>
                                                          <w:divBdr>
                                                            <w:top w:val="none" w:sz="0" w:space="0" w:color="auto"/>
                                                            <w:left w:val="none" w:sz="0" w:space="0" w:color="auto"/>
                                                            <w:bottom w:val="none" w:sz="0" w:space="0" w:color="auto"/>
                                                            <w:right w:val="none" w:sz="0" w:space="0" w:color="auto"/>
                                                          </w:divBdr>
                                                        </w:div>
                                                        <w:div w:id="739905630">
                                                          <w:marLeft w:val="0"/>
                                                          <w:marRight w:val="0"/>
                                                          <w:marTop w:val="0"/>
                                                          <w:marBottom w:val="0"/>
                                                          <w:divBdr>
                                                            <w:top w:val="none" w:sz="0" w:space="0" w:color="auto"/>
                                                            <w:left w:val="none" w:sz="0" w:space="0" w:color="auto"/>
                                                            <w:bottom w:val="none" w:sz="0" w:space="0" w:color="auto"/>
                                                            <w:right w:val="none" w:sz="0" w:space="0" w:color="auto"/>
                                                          </w:divBdr>
                                                        </w:div>
                                                        <w:div w:id="740176592">
                                                          <w:marLeft w:val="0"/>
                                                          <w:marRight w:val="0"/>
                                                          <w:marTop w:val="0"/>
                                                          <w:marBottom w:val="0"/>
                                                          <w:divBdr>
                                                            <w:top w:val="none" w:sz="0" w:space="0" w:color="auto"/>
                                                            <w:left w:val="none" w:sz="0" w:space="0" w:color="auto"/>
                                                            <w:bottom w:val="none" w:sz="0" w:space="0" w:color="auto"/>
                                                            <w:right w:val="none" w:sz="0" w:space="0" w:color="auto"/>
                                                          </w:divBdr>
                                                        </w:div>
                                                        <w:div w:id="749039114">
                                                          <w:marLeft w:val="0"/>
                                                          <w:marRight w:val="0"/>
                                                          <w:marTop w:val="0"/>
                                                          <w:marBottom w:val="0"/>
                                                          <w:divBdr>
                                                            <w:top w:val="none" w:sz="0" w:space="0" w:color="auto"/>
                                                            <w:left w:val="none" w:sz="0" w:space="0" w:color="auto"/>
                                                            <w:bottom w:val="none" w:sz="0" w:space="0" w:color="auto"/>
                                                            <w:right w:val="none" w:sz="0" w:space="0" w:color="auto"/>
                                                          </w:divBdr>
                                                        </w:div>
                                                        <w:div w:id="862979658">
                                                          <w:marLeft w:val="0"/>
                                                          <w:marRight w:val="0"/>
                                                          <w:marTop w:val="0"/>
                                                          <w:marBottom w:val="0"/>
                                                          <w:divBdr>
                                                            <w:top w:val="none" w:sz="0" w:space="0" w:color="auto"/>
                                                            <w:left w:val="none" w:sz="0" w:space="0" w:color="auto"/>
                                                            <w:bottom w:val="none" w:sz="0" w:space="0" w:color="auto"/>
                                                            <w:right w:val="none" w:sz="0" w:space="0" w:color="auto"/>
                                                          </w:divBdr>
                                                        </w:div>
                                                        <w:div w:id="885801745">
                                                          <w:marLeft w:val="0"/>
                                                          <w:marRight w:val="0"/>
                                                          <w:marTop w:val="0"/>
                                                          <w:marBottom w:val="0"/>
                                                          <w:divBdr>
                                                            <w:top w:val="none" w:sz="0" w:space="0" w:color="auto"/>
                                                            <w:left w:val="none" w:sz="0" w:space="0" w:color="auto"/>
                                                            <w:bottom w:val="none" w:sz="0" w:space="0" w:color="auto"/>
                                                            <w:right w:val="none" w:sz="0" w:space="0" w:color="auto"/>
                                                          </w:divBdr>
                                                        </w:div>
                                                        <w:div w:id="939220444">
                                                          <w:marLeft w:val="0"/>
                                                          <w:marRight w:val="0"/>
                                                          <w:marTop w:val="0"/>
                                                          <w:marBottom w:val="0"/>
                                                          <w:divBdr>
                                                            <w:top w:val="none" w:sz="0" w:space="0" w:color="auto"/>
                                                            <w:left w:val="none" w:sz="0" w:space="0" w:color="auto"/>
                                                            <w:bottom w:val="none" w:sz="0" w:space="0" w:color="auto"/>
                                                            <w:right w:val="none" w:sz="0" w:space="0" w:color="auto"/>
                                                          </w:divBdr>
                                                        </w:div>
                                                        <w:div w:id="1010303228">
                                                          <w:marLeft w:val="0"/>
                                                          <w:marRight w:val="0"/>
                                                          <w:marTop w:val="0"/>
                                                          <w:marBottom w:val="0"/>
                                                          <w:divBdr>
                                                            <w:top w:val="none" w:sz="0" w:space="0" w:color="auto"/>
                                                            <w:left w:val="none" w:sz="0" w:space="0" w:color="auto"/>
                                                            <w:bottom w:val="none" w:sz="0" w:space="0" w:color="auto"/>
                                                            <w:right w:val="none" w:sz="0" w:space="0" w:color="auto"/>
                                                          </w:divBdr>
                                                        </w:div>
                                                        <w:div w:id="1028339484">
                                                          <w:marLeft w:val="0"/>
                                                          <w:marRight w:val="0"/>
                                                          <w:marTop w:val="0"/>
                                                          <w:marBottom w:val="0"/>
                                                          <w:divBdr>
                                                            <w:top w:val="none" w:sz="0" w:space="0" w:color="auto"/>
                                                            <w:left w:val="none" w:sz="0" w:space="0" w:color="auto"/>
                                                            <w:bottom w:val="none" w:sz="0" w:space="0" w:color="auto"/>
                                                            <w:right w:val="none" w:sz="0" w:space="0" w:color="auto"/>
                                                          </w:divBdr>
                                                        </w:div>
                                                        <w:div w:id="1033774998">
                                                          <w:marLeft w:val="0"/>
                                                          <w:marRight w:val="0"/>
                                                          <w:marTop w:val="0"/>
                                                          <w:marBottom w:val="0"/>
                                                          <w:divBdr>
                                                            <w:top w:val="none" w:sz="0" w:space="0" w:color="auto"/>
                                                            <w:left w:val="none" w:sz="0" w:space="0" w:color="auto"/>
                                                            <w:bottom w:val="none" w:sz="0" w:space="0" w:color="auto"/>
                                                            <w:right w:val="none" w:sz="0" w:space="0" w:color="auto"/>
                                                          </w:divBdr>
                                                        </w:div>
                                                        <w:div w:id="1057897073">
                                                          <w:marLeft w:val="0"/>
                                                          <w:marRight w:val="0"/>
                                                          <w:marTop w:val="0"/>
                                                          <w:marBottom w:val="0"/>
                                                          <w:divBdr>
                                                            <w:top w:val="none" w:sz="0" w:space="0" w:color="auto"/>
                                                            <w:left w:val="none" w:sz="0" w:space="0" w:color="auto"/>
                                                            <w:bottom w:val="none" w:sz="0" w:space="0" w:color="auto"/>
                                                            <w:right w:val="none" w:sz="0" w:space="0" w:color="auto"/>
                                                          </w:divBdr>
                                                        </w:div>
                                                        <w:div w:id="1084837498">
                                                          <w:marLeft w:val="0"/>
                                                          <w:marRight w:val="0"/>
                                                          <w:marTop w:val="0"/>
                                                          <w:marBottom w:val="0"/>
                                                          <w:divBdr>
                                                            <w:top w:val="none" w:sz="0" w:space="0" w:color="auto"/>
                                                            <w:left w:val="none" w:sz="0" w:space="0" w:color="auto"/>
                                                            <w:bottom w:val="none" w:sz="0" w:space="0" w:color="auto"/>
                                                            <w:right w:val="none" w:sz="0" w:space="0" w:color="auto"/>
                                                          </w:divBdr>
                                                        </w:div>
                                                        <w:div w:id="1104416976">
                                                          <w:marLeft w:val="0"/>
                                                          <w:marRight w:val="0"/>
                                                          <w:marTop w:val="0"/>
                                                          <w:marBottom w:val="0"/>
                                                          <w:divBdr>
                                                            <w:top w:val="none" w:sz="0" w:space="0" w:color="auto"/>
                                                            <w:left w:val="none" w:sz="0" w:space="0" w:color="auto"/>
                                                            <w:bottom w:val="none" w:sz="0" w:space="0" w:color="auto"/>
                                                            <w:right w:val="none" w:sz="0" w:space="0" w:color="auto"/>
                                                          </w:divBdr>
                                                        </w:div>
                                                        <w:div w:id="1112819224">
                                                          <w:marLeft w:val="0"/>
                                                          <w:marRight w:val="0"/>
                                                          <w:marTop w:val="0"/>
                                                          <w:marBottom w:val="0"/>
                                                          <w:divBdr>
                                                            <w:top w:val="none" w:sz="0" w:space="0" w:color="auto"/>
                                                            <w:left w:val="none" w:sz="0" w:space="0" w:color="auto"/>
                                                            <w:bottom w:val="none" w:sz="0" w:space="0" w:color="auto"/>
                                                            <w:right w:val="none" w:sz="0" w:space="0" w:color="auto"/>
                                                          </w:divBdr>
                                                        </w:div>
                                                        <w:div w:id="1117407309">
                                                          <w:marLeft w:val="0"/>
                                                          <w:marRight w:val="0"/>
                                                          <w:marTop w:val="0"/>
                                                          <w:marBottom w:val="0"/>
                                                          <w:divBdr>
                                                            <w:top w:val="none" w:sz="0" w:space="0" w:color="auto"/>
                                                            <w:left w:val="none" w:sz="0" w:space="0" w:color="auto"/>
                                                            <w:bottom w:val="none" w:sz="0" w:space="0" w:color="auto"/>
                                                            <w:right w:val="none" w:sz="0" w:space="0" w:color="auto"/>
                                                          </w:divBdr>
                                                        </w:div>
                                                        <w:div w:id="1122573099">
                                                          <w:marLeft w:val="0"/>
                                                          <w:marRight w:val="0"/>
                                                          <w:marTop w:val="0"/>
                                                          <w:marBottom w:val="0"/>
                                                          <w:divBdr>
                                                            <w:top w:val="none" w:sz="0" w:space="0" w:color="auto"/>
                                                            <w:left w:val="none" w:sz="0" w:space="0" w:color="auto"/>
                                                            <w:bottom w:val="none" w:sz="0" w:space="0" w:color="auto"/>
                                                            <w:right w:val="none" w:sz="0" w:space="0" w:color="auto"/>
                                                          </w:divBdr>
                                                        </w:div>
                                                        <w:div w:id="1145201976">
                                                          <w:marLeft w:val="0"/>
                                                          <w:marRight w:val="0"/>
                                                          <w:marTop w:val="0"/>
                                                          <w:marBottom w:val="0"/>
                                                          <w:divBdr>
                                                            <w:top w:val="none" w:sz="0" w:space="0" w:color="auto"/>
                                                            <w:left w:val="none" w:sz="0" w:space="0" w:color="auto"/>
                                                            <w:bottom w:val="none" w:sz="0" w:space="0" w:color="auto"/>
                                                            <w:right w:val="none" w:sz="0" w:space="0" w:color="auto"/>
                                                          </w:divBdr>
                                                        </w:div>
                                                        <w:div w:id="1170410800">
                                                          <w:marLeft w:val="0"/>
                                                          <w:marRight w:val="0"/>
                                                          <w:marTop w:val="0"/>
                                                          <w:marBottom w:val="0"/>
                                                          <w:divBdr>
                                                            <w:top w:val="none" w:sz="0" w:space="0" w:color="auto"/>
                                                            <w:left w:val="none" w:sz="0" w:space="0" w:color="auto"/>
                                                            <w:bottom w:val="none" w:sz="0" w:space="0" w:color="auto"/>
                                                            <w:right w:val="none" w:sz="0" w:space="0" w:color="auto"/>
                                                          </w:divBdr>
                                                        </w:div>
                                                        <w:div w:id="1202590428">
                                                          <w:marLeft w:val="0"/>
                                                          <w:marRight w:val="0"/>
                                                          <w:marTop w:val="0"/>
                                                          <w:marBottom w:val="0"/>
                                                          <w:divBdr>
                                                            <w:top w:val="none" w:sz="0" w:space="0" w:color="auto"/>
                                                            <w:left w:val="none" w:sz="0" w:space="0" w:color="auto"/>
                                                            <w:bottom w:val="none" w:sz="0" w:space="0" w:color="auto"/>
                                                            <w:right w:val="none" w:sz="0" w:space="0" w:color="auto"/>
                                                          </w:divBdr>
                                                        </w:div>
                                                        <w:div w:id="1256865955">
                                                          <w:marLeft w:val="0"/>
                                                          <w:marRight w:val="0"/>
                                                          <w:marTop w:val="0"/>
                                                          <w:marBottom w:val="0"/>
                                                          <w:divBdr>
                                                            <w:top w:val="none" w:sz="0" w:space="0" w:color="auto"/>
                                                            <w:left w:val="none" w:sz="0" w:space="0" w:color="auto"/>
                                                            <w:bottom w:val="none" w:sz="0" w:space="0" w:color="auto"/>
                                                            <w:right w:val="none" w:sz="0" w:space="0" w:color="auto"/>
                                                          </w:divBdr>
                                                        </w:div>
                                                        <w:div w:id="1296064044">
                                                          <w:marLeft w:val="0"/>
                                                          <w:marRight w:val="0"/>
                                                          <w:marTop w:val="0"/>
                                                          <w:marBottom w:val="0"/>
                                                          <w:divBdr>
                                                            <w:top w:val="none" w:sz="0" w:space="0" w:color="auto"/>
                                                            <w:left w:val="none" w:sz="0" w:space="0" w:color="auto"/>
                                                            <w:bottom w:val="none" w:sz="0" w:space="0" w:color="auto"/>
                                                            <w:right w:val="none" w:sz="0" w:space="0" w:color="auto"/>
                                                          </w:divBdr>
                                                        </w:div>
                                                        <w:div w:id="1297951980">
                                                          <w:marLeft w:val="0"/>
                                                          <w:marRight w:val="0"/>
                                                          <w:marTop w:val="0"/>
                                                          <w:marBottom w:val="0"/>
                                                          <w:divBdr>
                                                            <w:top w:val="none" w:sz="0" w:space="0" w:color="auto"/>
                                                            <w:left w:val="none" w:sz="0" w:space="0" w:color="auto"/>
                                                            <w:bottom w:val="none" w:sz="0" w:space="0" w:color="auto"/>
                                                            <w:right w:val="none" w:sz="0" w:space="0" w:color="auto"/>
                                                          </w:divBdr>
                                                        </w:div>
                                                        <w:div w:id="1300259911">
                                                          <w:marLeft w:val="0"/>
                                                          <w:marRight w:val="0"/>
                                                          <w:marTop w:val="0"/>
                                                          <w:marBottom w:val="0"/>
                                                          <w:divBdr>
                                                            <w:top w:val="none" w:sz="0" w:space="0" w:color="auto"/>
                                                            <w:left w:val="none" w:sz="0" w:space="0" w:color="auto"/>
                                                            <w:bottom w:val="none" w:sz="0" w:space="0" w:color="auto"/>
                                                            <w:right w:val="none" w:sz="0" w:space="0" w:color="auto"/>
                                                          </w:divBdr>
                                                        </w:div>
                                                        <w:div w:id="1329595021">
                                                          <w:marLeft w:val="0"/>
                                                          <w:marRight w:val="0"/>
                                                          <w:marTop w:val="0"/>
                                                          <w:marBottom w:val="0"/>
                                                          <w:divBdr>
                                                            <w:top w:val="none" w:sz="0" w:space="0" w:color="auto"/>
                                                            <w:left w:val="none" w:sz="0" w:space="0" w:color="auto"/>
                                                            <w:bottom w:val="none" w:sz="0" w:space="0" w:color="auto"/>
                                                            <w:right w:val="none" w:sz="0" w:space="0" w:color="auto"/>
                                                          </w:divBdr>
                                                        </w:div>
                                                        <w:div w:id="1365789079">
                                                          <w:marLeft w:val="0"/>
                                                          <w:marRight w:val="0"/>
                                                          <w:marTop w:val="0"/>
                                                          <w:marBottom w:val="0"/>
                                                          <w:divBdr>
                                                            <w:top w:val="none" w:sz="0" w:space="0" w:color="auto"/>
                                                            <w:left w:val="none" w:sz="0" w:space="0" w:color="auto"/>
                                                            <w:bottom w:val="none" w:sz="0" w:space="0" w:color="auto"/>
                                                            <w:right w:val="none" w:sz="0" w:space="0" w:color="auto"/>
                                                          </w:divBdr>
                                                        </w:div>
                                                        <w:div w:id="1382244512">
                                                          <w:marLeft w:val="0"/>
                                                          <w:marRight w:val="0"/>
                                                          <w:marTop w:val="0"/>
                                                          <w:marBottom w:val="0"/>
                                                          <w:divBdr>
                                                            <w:top w:val="none" w:sz="0" w:space="0" w:color="auto"/>
                                                            <w:left w:val="none" w:sz="0" w:space="0" w:color="auto"/>
                                                            <w:bottom w:val="none" w:sz="0" w:space="0" w:color="auto"/>
                                                            <w:right w:val="none" w:sz="0" w:space="0" w:color="auto"/>
                                                          </w:divBdr>
                                                        </w:div>
                                                        <w:div w:id="1407995144">
                                                          <w:marLeft w:val="0"/>
                                                          <w:marRight w:val="0"/>
                                                          <w:marTop w:val="0"/>
                                                          <w:marBottom w:val="0"/>
                                                          <w:divBdr>
                                                            <w:top w:val="none" w:sz="0" w:space="0" w:color="auto"/>
                                                            <w:left w:val="none" w:sz="0" w:space="0" w:color="auto"/>
                                                            <w:bottom w:val="none" w:sz="0" w:space="0" w:color="auto"/>
                                                            <w:right w:val="none" w:sz="0" w:space="0" w:color="auto"/>
                                                          </w:divBdr>
                                                        </w:div>
                                                        <w:div w:id="1447195321">
                                                          <w:marLeft w:val="0"/>
                                                          <w:marRight w:val="0"/>
                                                          <w:marTop w:val="0"/>
                                                          <w:marBottom w:val="0"/>
                                                          <w:divBdr>
                                                            <w:top w:val="none" w:sz="0" w:space="0" w:color="auto"/>
                                                            <w:left w:val="none" w:sz="0" w:space="0" w:color="auto"/>
                                                            <w:bottom w:val="none" w:sz="0" w:space="0" w:color="auto"/>
                                                            <w:right w:val="none" w:sz="0" w:space="0" w:color="auto"/>
                                                          </w:divBdr>
                                                        </w:div>
                                                        <w:div w:id="1471245768">
                                                          <w:marLeft w:val="0"/>
                                                          <w:marRight w:val="0"/>
                                                          <w:marTop w:val="0"/>
                                                          <w:marBottom w:val="0"/>
                                                          <w:divBdr>
                                                            <w:top w:val="none" w:sz="0" w:space="0" w:color="auto"/>
                                                            <w:left w:val="none" w:sz="0" w:space="0" w:color="auto"/>
                                                            <w:bottom w:val="none" w:sz="0" w:space="0" w:color="auto"/>
                                                            <w:right w:val="none" w:sz="0" w:space="0" w:color="auto"/>
                                                          </w:divBdr>
                                                        </w:div>
                                                        <w:div w:id="1486049417">
                                                          <w:marLeft w:val="0"/>
                                                          <w:marRight w:val="0"/>
                                                          <w:marTop w:val="0"/>
                                                          <w:marBottom w:val="0"/>
                                                          <w:divBdr>
                                                            <w:top w:val="none" w:sz="0" w:space="0" w:color="auto"/>
                                                            <w:left w:val="none" w:sz="0" w:space="0" w:color="auto"/>
                                                            <w:bottom w:val="none" w:sz="0" w:space="0" w:color="auto"/>
                                                            <w:right w:val="none" w:sz="0" w:space="0" w:color="auto"/>
                                                          </w:divBdr>
                                                        </w:div>
                                                        <w:div w:id="1551846121">
                                                          <w:marLeft w:val="0"/>
                                                          <w:marRight w:val="0"/>
                                                          <w:marTop w:val="0"/>
                                                          <w:marBottom w:val="0"/>
                                                          <w:divBdr>
                                                            <w:top w:val="none" w:sz="0" w:space="0" w:color="auto"/>
                                                            <w:left w:val="none" w:sz="0" w:space="0" w:color="auto"/>
                                                            <w:bottom w:val="none" w:sz="0" w:space="0" w:color="auto"/>
                                                            <w:right w:val="none" w:sz="0" w:space="0" w:color="auto"/>
                                                          </w:divBdr>
                                                        </w:div>
                                                        <w:div w:id="1561788567">
                                                          <w:marLeft w:val="0"/>
                                                          <w:marRight w:val="0"/>
                                                          <w:marTop w:val="0"/>
                                                          <w:marBottom w:val="0"/>
                                                          <w:divBdr>
                                                            <w:top w:val="none" w:sz="0" w:space="0" w:color="auto"/>
                                                            <w:left w:val="none" w:sz="0" w:space="0" w:color="auto"/>
                                                            <w:bottom w:val="none" w:sz="0" w:space="0" w:color="auto"/>
                                                            <w:right w:val="none" w:sz="0" w:space="0" w:color="auto"/>
                                                          </w:divBdr>
                                                        </w:div>
                                                        <w:div w:id="1582324767">
                                                          <w:marLeft w:val="0"/>
                                                          <w:marRight w:val="0"/>
                                                          <w:marTop w:val="0"/>
                                                          <w:marBottom w:val="0"/>
                                                          <w:divBdr>
                                                            <w:top w:val="none" w:sz="0" w:space="0" w:color="auto"/>
                                                            <w:left w:val="none" w:sz="0" w:space="0" w:color="auto"/>
                                                            <w:bottom w:val="none" w:sz="0" w:space="0" w:color="auto"/>
                                                            <w:right w:val="none" w:sz="0" w:space="0" w:color="auto"/>
                                                          </w:divBdr>
                                                        </w:div>
                                                        <w:div w:id="1594388724">
                                                          <w:marLeft w:val="0"/>
                                                          <w:marRight w:val="0"/>
                                                          <w:marTop w:val="0"/>
                                                          <w:marBottom w:val="0"/>
                                                          <w:divBdr>
                                                            <w:top w:val="none" w:sz="0" w:space="0" w:color="auto"/>
                                                            <w:left w:val="none" w:sz="0" w:space="0" w:color="auto"/>
                                                            <w:bottom w:val="none" w:sz="0" w:space="0" w:color="auto"/>
                                                            <w:right w:val="none" w:sz="0" w:space="0" w:color="auto"/>
                                                          </w:divBdr>
                                                        </w:div>
                                                        <w:div w:id="1598754317">
                                                          <w:marLeft w:val="0"/>
                                                          <w:marRight w:val="0"/>
                                                          <w:marTop w:val="0"/>
                                                          <w:marBottom w:val="0"/>
                                                          <w:divBdr>
                                                            <w:top w:val="none" w:sz="0" w:space="0" w:color="auto"/>
                                                            <w:left w:val="none" w:sz="0" w:space="0" w:color="auto"/>
                                                            <w:bottom w:val="none" w:sz="0" w:space="0" w:color="auto"/>
                                                            <w:right w:val="none" w:sz="0" w:space="0" w:color="auto"/>
                                                          </w:divBdr>
                                                        </w:div>
                                                        <w:div w:id="1607040016">
                                                          <w:marLeft w:val="0"/>
                                                          <w:marRight w:val="0"/>
                                                          <w:marTop w:val="0"/>
                                                          <w:marBottom w:val="0"/>
                                                          <w:divBdr>
                                                            <w:top w:val="none" w:sz="0" w:space="0" w:color="auto"/>
                                                            <w:left w:val="none" w:sz="0" w:space="0" w:color="auto"/>
                                                            <w:bottom w:val="none" w:sz="0" w:space="0" w:color="auto"/>
                                                            <w:right w:val="none" w:sz="0" w:space="0" w:color="auto"/>
                                                          </w:divBdr>
                                                        </w:div>
                                                        <w:div w:id="1625042039">
                                                          <w:marLeft w:val="0"/>
                                                          <w:marRight w:val="0"/>
                                                          <w:marTop w:val="0"/>
                                                          <w:marBottom w:val="0"/>
                                                          <w:divBdr>
                                                            <w:top w:val="none" w:sz="0" w:space="0" w:color="auto"/>
                                                            <w:left w:val="none" w:sz="0" w:space="0" w:color="auto"/>
                                                            <w:bottom w:val="none" w:sz="0" w:space="0" w:color="auto"/>
                                                            <w:right w:val="none" w:sz="0" w:space="0" w:color="auto"/>
                                                          </w:divBdr>
                                                        </w:div>
                                                        <w:div w:id="1663701159">
                                                          <w:marLeft w:val="0"/>
                                                          <w:marRight w:val="0"/>
                                                          <w:marTop w:val="0"/>
                                                          <w:marBottom w:val="0"/>
                                                          <w:divBdr>
                                                            <w:top w:val="none" w:sz="0" w:space="0" w:color="auto"/>
                                                            <w:left w:val="none" w:sz="0" w:space="0" w:color="auto"/>
                                                            <w:bottom w:val="none" w:sz="0" w:space="0" w:color="auto"/>
                                                            <w:right w:val="none" w:sz="0" w:space="0" w:color="auto"/>
                                                          </w:divBdr>
                                                        </w:div>
                                                        <w:div w:id="1686057181">
                                                          <w:marLeft w:val="0"/>
                                                          <w:marRight w:val="0"/>
                                                          <w:marTop w:val="0"/>
                                                          <w:marBottom w:val="0"/>
                                                          <w:divBdr>
                                                            <w:top w:val="none" w:sz="0" w:space="0" w:color="auto"/>
                                                            <w:left w:val="none" w:sz="0" w:space="0" w:color="auto"/>
                                                            <w:bottom w:val="none" w:sz="0" w:space="0" w:color="auto"/>
                                                            <w:right w:val="none" w:sz="0" w:space="0" w:color="auto"/>
                                                          </w:divBdr>
                                                        </w:div>
                                                        <w:div w:id="1695039383">
                                                          <w:marLeft w:val="0"/>
                                                          <w:marRight w:val="0"/>
                                                          <w:marTop w:val="0"/>
                                                          <w:marBottom w:val="0"/>
                                                          <w:divBdr>
                                                            <w:top w:val="none" w:sz="0" w:space="0" w:color="auto"/>
                                                            <w:left w:val="none" w:sz="0" w:space="0" w:color="auto"/>
                                                            <w:bottom w:val="none" w:sz="0" w:space="0" w:color="auto"/>
                                                            <w:right w:val="none" w:sz="0" w:space="0" w:color="auto"/>
                                                          </w:divBdr>
                                                        </w:div>
                                                        <w:div w:id="1724984385">
                                                          <w:marLeft w:val="0"/>
                                                          <w:marRight w:val="0"/>
                                                          <w:marTop w:val="0"/>
                                                          <w:marBottom w:val="0"/>
                                                          <w:divBdr>
                                                            <w:top w:val="none" w:sz="0" w:space="0" w:color="auto"/>
                                                            <w:left w:val="none" w:sz="0" w:space="0" w:color="auto"/>
                                                            <w:bottom w:val="none" w:sz="0" w:space="0" w:color="auto"/>
                                                            <w:right w:val="none" w:sz="0" w:space="0" w:color="auto"/>
                                                          </w:divBdr>
                                                        </w:div>
                                                        <w:div w:id="1757509121">
                                                          <w:marLeft w:val="0"/>
                                                          <w:marRight w:val="0"/>
                                                          <w:marTop w:val="0"/>
                                                          <w:marBottom w:val="0"/>
                                                          <w:divBdr>
                                                            <w:top w:val="none" w:sz="0" w:space="0" w:color="auto"/>
                                                            <w:left w:val="none" w:sz="0" w:space="0" w:color="auto"/>
                                                            <w:bottom w:val="none" w:sz="0" w:space="0" w:color="auto"/>
                                                            <w:right w:val="none" w:sz="0" w:space="0" w:color="auto"/>
                                                          </w:divBdr>
                                                        </w:div>
                                                        <w:div w:id="1783842218">
                                                          <w:marLeft w:val="0"/>
                                                          <w:marRight w:val="0"/>
                                                          <w:marTop w:val="0"/>
                                                          <w:marBottom w:val="0"/>
                                                          <w:divBdr>
                                                            <w:top w:val="none" w:sz="0" w:space="0" w:color="auto"/>
                                                            <w:left w:val="none" w:sz="0" w:space="0" w:color="auto"/>
                                                            <w:bottom w:val="none" w:sz="0" w:space="0" w:color="auto"/>
                                                            <w:right w:val="none" w:sz="0" w:space="0" w:color="auto"/>
                                                          </w:divBdr>
                                                        </w:div>
                                                        <w:div w:id="1807115934">
                                                          <w:marLeft w:val="0"/>
                                                          <w:marRight w:val="0"/>
                                                          <w:marTop w:val="0"/>
                                                          <w:marBottom w:val="0"/>
                                                          <w:divBdr>
                                                            <w:top w:val="none" w:sz="0" w:space="0" w:color="auto"/>
                                                            <w:left w:val="none" w:sz="0" w:space="0" w:color="auto"/>
                                                            <w:bottom w:val="none" w:sz="0" w:space="0" w:color="auto"/>
                                                            <w:right w:val="none" w:sz="0" w:space="0" w:color="auto"/>
                                                          </w:divBdr>
                                                        </w:div>
                                                        <w:div w:id="1870751841">
                                                          <w:marLeft w:val="0"/>
                                                          <w:marRight w:val="0"/>
                                                          <w:marTop w:val="0"/>
                                                          <w:marBottom w:val="0"/>
                                                          <w:divBdr>
                                                            <w:top w:val="none" w:sz="0" w:space="0" w:color="auto"/>
                                                            <w:left w:val="none" w:sz="0" w:space="0" w:color="auto"/>
                                                            <w:bottom w:val="none" w:sz="0" w:space="0" w:color="auto"/>
                                                            <w:right w:val="none" w:sz="0" w:space="0" w:color="auto"/>
                                                          </w:divBdr>
                                                        </w:div>
                                                        <w:div w:id="1877497716">
                                                          <w:marLeft w:val="0"/>
                                                          <w:marRight w:val="0"/>
                                                          <w:marTop w:val="0"/>
                                                          <w:marBottom w:val="0"/>
                                                          <w:divBdr>
                                                            <w:top w:val="none" w:sz="0" w:space="0" w:color="auto"/>
                                                            <w:left w:val="none" w:sz="0" w:space="0" w:color="auto"/>
                                                            <w:bottom w:val="none" w:sz="0" w:space="0" w:color="auto"/>
                                                            <w:right w:val="none" w:sz="0" w:space="0" w:color="auto"/>
                                                          </w:divBdr>
                                                        </w:div>
                                                        <w:div w:id="1903052431">
                                                          <w:marLeft w:val="0"/>
                                                          <w:marRight w:val="0"/>
                                                          <w:marTop w:val="0"/>
                                                          <w:marBottom w:val="0"/>
                                                          <w:divBdr>
                                                            <w:top w:val="none" w:sz="0" w:space="0" w:color="auto"/>
                                                            <w:left w:val="none" w:sz="0" w:space="0" w:color="auto"/>
                                                            <w:bottom w:val="none" w:sz="0" w:space="0" w:color="auto"/>
                                                            <w:right w:val="none" w:sz="0" w:space="0" w:color="auto"/>
                                                          </w:divBdr>
                                                        </w:div>
                                                        <w:div w:id="1911426053">
                                                          <w:marLeft w:val="0"/>
                                                          <w:marRight w:val="0"/>
                                                          <w:marTop w:val="0"/>
                                                          <w:marBottom w:val="0"/>
                                                          <w:divBdr>
                                                            <w:top w:val="none" w:sz="0" w:space="0" w:color="auto"/>
                                                            <w:left w:val="none" w:sz="0" w:space="0" w:color="auto"/>
                                                            <w:bottom w:val="none" w:sz="0" w:space="0" w:color="auto"/>
                                                            <w:right w:val="none" w:sz="0" w:space="0" w:color="auto"/>
                                                          </w:divBdr>
                                                        </w:div>
                                                        <w:div w:id="1926957465">
                                                          <w:marLeft w:val="0"/>
                                                          <w:marRight w:val="0"/>
                                                          <w:marTop w:val="0"/>
                                                          <w:marBottom w:val="0"/>
                                                          <w:divBdr>
                                                            <w:top w:val="none" w:sz="0" w:space="0" w:color="auto"/>
                                                            <w:left w:val="none" w:sz="0" w:space="0" w:color="auto"/>
                                                            <w:bottom w:val="none" w:sz="0" w:space="0" w:color="auto"/>
                                                            <w:right w:val="none" w:sz="0" w:space="0" w:color="auto"/>
                                                          </w:divBdr>
                                                        </w:div>
                                                        <w:div w:id="1935090914">
                                                          <w:marLeft w:val="0"/>
                                                          <w:marRight w:val="0"/>
                                                          <w:marTop w:val="0"/>
                                                          <w:marBottom w:val="0"/>
                                                          <w:divBdr>
                                                            <w:top w:val="none" w:sz="0" w:space="0" w:color="auto"/>
                                                            <w:left w:val="none" w:sz="0" w:space="0" w:color="auto"/>
                                                            <w:bottom w:val="none" w:sz="0" w:space="0" w:color="auto"/>
                                                            <w:right w:val="none" w:sz="0" w:space="0" w:color="auto"/>
                                                          </w:divBdr>
                                                        </w:div>
                                                        <w:div w:id="1938824371">
                                                          <w:marLeft w:val="0"/>
                                                          <w:marRight w:val="0"/>
                                                          <w:marTop w:val="0"/>
                                                          <w:marBottom w:val="0"/>
                                                          <w:divBdr>
                                                            <w:top w:val="none" w:sz="0" w:space="0" w:color="auto"/>
                                                            <w:left w:val="none" w:sz="0" w:space="0" w:color="auto"/>
                                                            <w:bottom w:val="none" w:sz="0" w:space="0" w:color="auto"/>
                                                            <w:right w:val="none" w:sz="0" w:space="0" w:color="auto"/>
                                                          </w:divBdr>
                                                        </w:div>
                                                        <w:div w:id="1951930299">
                                                          <w:marLeft w:val="0"/>
                                                          <w:marRight w:val="0"/>
                                                          <w:marTop w:val="0"/>
                                                          <w:marBottom w:val="0"/>
                                                          <w:divBdr>
                                                            <w:top w:val="none" w:sz="0" w:space="0" w:color="auto"/>
                                                            <w:left w:val="none" w:sz="0" w:space="0" w:color="auto"/>
                                                            <w:bottom w:val="none" w:sz="0" w:space="0" w:color="auto"/>
                                                            <w:right w:val="none" w:sz="0" w:space="0" w:color="auto"/>
                                                          </w:divBdr>
                                                        </w:div>
                                                        <w:div w:id="1960991894">
                                                          <w:marLeft w:val="0"/>
                                                          <w:marRight w:val="0"/>
                                                          <w:marTop w:val="0"/>
                                                          <w:marBottom w:val="0"/>
                                                          <w:divBdr>
                                                            <w:top w:val="none" w:sz="0" w:space="0" w:color="auto"/>
                                                            <w:left w:val="none" w:sz="0" w:space="0" w:color="auto"/>
                                                            <w:bottom w:val="none" w:sz="0" w:space="0" w:color="auto"/>
                                                            <w:right w:val="none" w:sz="0" w:space="0" w:color="auto"/>
                                                          </w:divBdr>
                                                        </w:div>
                                                        <w:div w:id="2027902642">
                                                          <w:marLeft w:val="0"/>
                                                          <w:marRight w:val="0"/>
                                                          <w:marTop w:val="0"/>
                                                          <w:marBottom w:val="0"/>
                                                          <w:divBdr>
                                                            <w:top w:val="none" w:sz="0" w:space="0" w:color="auto"/>
                                                            <w:left w:val="none" w:sz="0" w:space="0" w:color="auto"/>
                                                            <w:bottom w:val="none" w:sz="0" w:space="0" w:color="auto"/>
                                                            <w:right w:val="none" w:sz="0" w:space="0" w:color="auto"/>
                                                          </w:divBdr>
                                                        </w:div>
                                                        <w:div w:id="2030056529">
                                                          <w:marLeft w:val="0"/>
                                                          <w:marRight w:val="0"/>
                                                          <w:marTop w:val="0"/>
                                                          <w:marBottom w:val="0"/>
                                                          <w:divBdr>
                                                            <w:top w:val="none" w:sz="0" w:space="0" w:color="auto"/>
                                                            <w:left w:val="none" w:sz="0" w:space="0" w:color="auto"/>
                                                            <w:bottom w:val="none" w:sz="0" w:space="0" w:color="auto"/>
                                                            <w:right w:val="none" w:sz="0" w:space="0" w:color="auto"/>
                                                          </w:divBdr>
                                                        </w:div>
                                                        <w:div w:id="2030370994">
                                                          <w:marLeft w:val="0"/>
                                                          <w:marRight w:val="0"/>
                                                          <w:marTop w:val="0"/>
                                                          <w:marBottom w:val="0"/>
                                                          <w:divBdr>
                                                            <w:top w:val="none" w:sz="0" w:space="0" w:color="auto"/>
                                                            <w:left w:val="none" w:sz="0" w:space="0" w:color="auto"/>
                                                            <w:bottom w:val="none" w:sz="0" w:space="0" w:color="auto"/>
                                                            <w:right w:val="none" w:sz="0" w:space="0" w:color="auto"/>
                                                          </w:divBdr>
                                                        </w:div>
                                                        <w:div w:id="2032409385">
                                                          <w:marLeft w:val="0"/>
                                                          <w:marRight w:val="0"/>
                                                          <w:marTop w:val="0"/>
                                                          <w:marBottom w:val="0"/>
                                                          <w:divBdr>
                                                            <w:top w:val="none" w:sz="0" w:space="0" w:color="auto"/>
                                                            <w:left w:val="none" w:sz="0" w:space="0" w:color="auto"/>
                                                            <w:bottom w:val="none" w:sz="0" w:space="0" w:color="auto"/>
                                                            <w:right w:val="none" w:sz="0" w:space="0" w:color="auto"/>
                                                          </w:divBdr>
                                                        </w:div>
                                                        <w:div w:id="2032803748">
                                                          <w:marLeft w:val="0"/>
                                                          <w:marRight w:val="0"/>
                                                          <w:marTop w:val="0"/>
                                                          <w:marBottom w:val="0"/>
                                                          <w:divBdr>
                                                            <w:top w:val="none" w:sz="0" w:space="0" w:color="auto"/>
                                                            <w:left w:val="none" w:sz="0" w:space="0" w:color="auto"/>
                                                            <w:bottom w:val="none" w:sz="0" w:space="0" w:color="auto"/>
                                                            <w:right w:val="none" w:sz="0" w:space="0" w:color="auto"/>
                                                          </w:divBdr>
                                                        </w:div>
                                                        <w:div w:id="2041855277">
                                                          <w:marLeft w:val="0"/>
                                                          <w:marRight w:val="0"/>
                                                          <w:marTop w:val="0"/>
                                                          <w:marBottom w:val="0"/>
                                                          <w:divBdr>
                                                            <w:top w:val="none" w:sz="0" w:space="0" w:color="auto"/>
                                                            <w:left w:val="none" w:sz="0" w:space="0" w:color="auto"/>
                                                            <w:bottom w:val="none" w:sz="0" w:space="0" w:color="auto"/>
                                                            <w:right w:val="none" w:sz="0" w:space="0" w:color="auto"/>
                                                          </w:divBdr>
                                                        </w:div>
                                                        <w:div w:id="2043894773">
                                                          <w:marLeft w:val="0"/>
                                                          <w:marRight w:val="0"/>
                                                          <w:marTop w:val="0"/>
                                                          <w:marBottom w:val="0"/>
                                                          <w:divBdr>
                                                            <w:top w:val="none" w:sz="0" w:space="0" w:color="auto"/>
                                                            <w:left w:val="none" w:sz="0" w:space="0" w:color="auto"/>
                                                            <w:bottom w:val="none" w:sz="0" w:space="0" w:color="auto"/>
                                                            <w:right w:val="none" w:sz="0" w:space="0" w:color="auto"/>
                                                          </w:divBdr>
                                                        </w:div>
                                                        <w:div w:id="21271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4993">
                                                  <w:marLeft w:val="0"/>
                                                  <w:marRight w:val="0"/>
                                                  <w:marTop w:val="0"/>
                                                  <w:marBottom w:val="0"/>
                                                  <w:divBdr>
                                                    <w:top w:val="none" w:sz="0" w:space="0" w:color="auto"/>
                                                    <w:left w:val="none" w:sz="0" w:space="0" w:color="auto"/>
                                                    <w:bottom w:val="none" w:sz="0" w:space="0" w:color="auto"/>
                                                    <w:right w:val="none" w:sz="0" w:space="0" w:color="auto"/>
                                                  </w:divBdr>
                                                  <w:divsChild>
                                                    <w:div w:id="543829258">
                                                      <w:marLeft w:val="0"/>
                                                      <w:marRight w:val="0"/>
                                                      <w:marTop w:val="0"/>
                                                      <w:marBottom w:val="0"/>
                                                      <w:divBdr>
                                                        <w:top w:val="none" w:sz="0" w:space="0" w:color="auto"/>
                                                        <w:left w:val="none" w:sz="0" w:space="0" w:color="auto"/>
                                                        <w:bottom w:val="none" w:sz="0" w:space="0" w:color="auto"/>
                                                        <w:right w:val="none" w:sz="0" w:space="0" w:color="auto"/>
                                                      </w:divBdr>
                                                      <w:divsChild>
                                                        <w:div w:id="122504593">
                                                          <w:marLeft w:val="0"/>
                                                          <w:marRight w:val="0"/>
                                                          <w:marTop w:val="0"/>
                                                          <w:marBottom w:val="0"/>
                                                          <w:divBdr>
                                                            <w:top w:val="none" w:sz="0" w:space="0" w:color="auto"/>
                                                            <w:left w:val="none" w:sz="0" w:space="0" w:color="auto"/>
                                                            <w:bottom w:val="none" w:sz="0" w:space="0" w:color="auto"/>
                                                            <w:right w:val="none" w:sz="0" w:space="0" w:color="auto"/>
                                                          </w:divBdr>
                                                        </w:div>
                                                        <w:div w:id="177811642">
                                                          <w:marLeft w:val="0"/>
                                                          <w:marRight w:val="0"/>
                                                          <w:marTop w:val="0"/>
                                                          <w:marBottom w:val="0"/>
                                                          <w:divBdr>
                                                            <w:top w:val="none" w:sz="0" w:space="0" w:color="auto"/>
                                                            <w:left w:val="none" w:sz="0" w:space="0" w:color="auto"/>
                                                            <w:bottom w:val="none" w:sz="0" w:space="0" w:color="auto"/>
                                                            <w:right w:val="none" w:sz="0" w:space="0" w:color="auto"/>
                                                          </w:divBdr>
                                                        </w:div>
                                                        <w:div w:id="208349081">
                                                          <w:marLeft w:val="0"/>
                                                          <w:marRight w:val="0"/>
                                                          <w:marTop w:val="0"/>
                                                          <w:marBottom w:val="0"/>
                                                          <w:divBdr>
                                                            <w:top w:val="none" w:sz="0" w:space="0" w:color="auto"/>
                                                            <w:left w:val="none" w:sz="0" w:space="0" w:color="auto"/>
                                                            <w:bottom w:val="none" w:sz="0" w:space="0" w:color="auto"/>
                                                            <w:right w:val="none" w:sz="0" w:space="0" w:color="auto"/>
                                                          </w:divBdr>
                                                        </w:div>
                                                        <w:div w:id="227960880">
                                                          <w:marLeft w:val="0"/>
                                                          <w:marRight w:val="0"/>
                                                          <w:marTop w:val="0"/>
                                                          <w:marBottom w:val="0"/>
                                                          <w:divBdr>
                                                            <w:top w:val="none" w:sz="0" w:space="0" w:color="auto"/>
                                                            <w:left w:val="none" w:sz="0" w:space="0" w:color="auto"/>
                                                            <w:bottom w:val="none" w:sz="0" w:space="0" w:color="auto"/>
                                                            <w:right w:val="none" w:sz="0" w:space="0" w:color="auto"/>
                                                          </w:divBdr>
                                                        </w:div>
                                                        <w:div w:id="253441804">
                                                          <w:marLeft w:val="0"/>
                                                          <w:marRight w:val="0"/>
                                                          <w:marTop w:val="0"/>
                                                          <w:marBottom w:val="0"/>
                                                          <w:divBdr>
                                                            <w:top w:val="none" w:sz="0" w:space="0" w:color="auto"/>
                                                            <w:left w:val="none" w:sz="0" w:space="0" w:color="auto"/>
                                                            <w:bottom w:val="none" w:sz="0" w:space="0" w:color="auto"/>
                                                            <w:right w:val="none" w:sz="0" w:space="0" w:color="auto"/>
                                                          </w:divBdr>
                                                        </w:div>
                                                        <w:div w:id="270671086">
                                                          <w:marLeft w:val="0"/>
                                                          <w:marRight w:val="0"/>
                                                          <w:marTop w:val="0"/>
                                                          <w:marBottom w:val="0"/>
                                                          <w:divBdr>
                                                            <w:top w:val="none" w:sz="0" w:space="0" w:color="auto"/>
                                                            <w:left w:val="none" w:sz="0" w:space="0" w:color="auto"/>
                                                            <w:bottom w:val="none" w:sz="0" w:space="0" w:color="auto"/>
                                                            <w:right w:val="none" w:sz="0" w:space="0" w:color="auto"/>
                                                          </w:divBdr>
                                                        </w:div>
                                                        <w:div w:id="289675884">
                                                          <w:marLeft w:val="0"/>
                                                          <w:marRight w:val="0"/>
                                                          <w:marTop w:val="0"/>
                                                          <w:marBottom w:val="0"/>
                                                          <w:divBdr>
                                                            <w:top w:val="none" w:sz="0" w:space="0" w:color="auto"/>
                                                            <w:left w:val="none" w:sz="0" w:space="0" w:color="auto"/>
                                                            <w:bottom w:val="none" w:sz="0" w:space="0" w:color="auto"/>
                                                            <w:right w:val="none" w:sz="0" w:space="0" w:color="auto"/>
                                                          </w:divBdr>
                                                        </w:div>
                                                        <w:div w:id="291641294">
                                                          <w:marLeft w:val="0"/>
                                                          <w:marRight w:val="0"/>
                                                          <w:marTop w:val="0"/>
                                                          <w:marBottom w:val="0"/>
                                                          <w:divBdr>
                                                            <w:top w:val="none" w:sz="0" w:space="0" w:color="auto"/>
                                                            <w:left w:val="none" w:sz="0" w:space="0" w:color="auto"/>
                                                            <w:bottom w:val="none" w:sz="0" w:space="0" w:color="auto"/>
                                                            <w:right w:val="none" w:sz="0" w:space="0" w:color="auto"/>
                                                          </w:divBdr>
                                                        </w:div>
                                                        <w:div w:id="297103193">
                                                          <w:marLeft w:val="0"/>
                                                          <w:marRight w:val="0"/>
                                                          <w:marTop w:val="0"/>
                                                          <w:marBottom w:val="0"/>
                                                          <w:divBdr>
                                                            <w:top w:val="none" w:sz="0" w:space="0" w:color="auto"/>
                                                            <w:left w:val="none" w:sz="0" w:space="0" w:color="auto"/>
                                                            <w:bottom w:val="none" w:sz="0" w:space="0" w:color="auto"/>
                                                            <w:right w:val="none" w:sz="0" w:space="0" w:color="auto"/>
                                                          </w:divBdr>
                                                        </w:div>
                                                        <w:div w:id="415564703">
                                                          <w:marLeft w:val="0"/>
                                                          <w:marRight w:val="0"/>
                                                          <w:marTop w:val="0"/>
                                                          <w:marBottom w:val="0"/>
                                                          <w:divBdr>
                                                            <w:top w:val="none" w:sz="0" w:space="0" w:color="auto"/>
                                                            <w:left w:val="none" w:sz="0" w:space="0" w:color="auto"/>
                                                            <w:bottom w:val="none" w:sz="0" w:space="0" w:color="auto"/>
                                                            <w:right w:val="none" w:sz="0" w:space="0" w:color="auto"/>
                                                          </w:divBdr>
                                                        </w:div>
                                                        <w:div w:id="430275123">
                                                          <w:marLeft w:val="0"/>
                                                          <w:marRight w:val="0"/>
                                                          <w:marTop w:val="0"/>
                                                          <w:marBottom w:val="0"/>
                                                          <w:divBdr>
                                                            <w:top w:val="none" w:sz="0" w:space="0" w:color="auto"/>
                                                            <w:left w:val="none" w:sz="0" w:space="0" w:color="auto"/>
                                                            <w:bottom w:val="none" w:sz="0" w:space="0" w:color="auto"/>
                                                            <w:right w:val="none" w:sz="0" w:space="0" w:color="auto"/>
                                                          </w:divBdr>
                                                        </w:div>
                                                        <w:div w:id="456218327">
                                                          <w:marLeft w:val="0"/>
                                                          <w:marRight w:val="0"/>
                                                          <w:marTop w:val="0"/>
                                                          <w:marBottom w:val="0"/>
                                                          <w:divBdr>
                                                            <w:top w:val="none" w:sz="0" w:space="0" w:color="auto"/>
                                                            <w:left w:val="none" w:sz="0" w:space="0" w:color="auto"/>
                                                            <w:bottom w:val="none" w:sz="0" w:space="0" w:color="auto"/>
                                                            <w:right w:val="none" w:sz="0" w:space="0" w:color="auto"/>
                                                          </w:divBdr>
                                                        </w:div>
                                                        <w:div w:id="464347592">
                                                          <w:marLeft w:val="0"/>
                                                          <w:marRight w:val="0"/>
                                                          <w:marTop w:val="0"/>
                                                          <w:marBottom w:val="0"/>
                                                          <w:divBdr>
                                                            <w:top w:val="none" w:sz="0" w:space="0" w:color="auto"/>
                                                            <w:left w:val="none" w:sz="0" w:space="0" w:color="auto"/>
                                                            <w:bottom w:val="none" w:sz="0" w:space="0" w:color="auto"/>
                                                            <w:right w:val="none" w:sz="0" w:space="0" w:color="auto"/>
                                                          </w:divBdr>
                                                        </w:div>
                                                        <w:div w:id="470439631">
                                                          <w:marLeft w:val="0"/>
                                                          <w:marRight w:val="0"/>
                                                          <w:marTop w:val="0"/>
                                                          <w:marBottom w:val="0"/>
                                                          <w:divBdr>
                                                            <w:top w:val="none" w:sz="0" w:space="0" w:color="auto"/>
                                                            <w:left w:val="none" w:sz="0" w:space="0" w:color="auto"/>
                                                            <w:bottom w:val="none" w:sz="0" w:space="0" w:color="auto"/>
                                                            <w:right w:val="none" w:sz="0" w:space="0" w:color="auto"/>
                                                          </w:divBdr>
                                                        </w:div>
                                                        <w:div w:id="500900339">
                                                          <w:marLeft w:val="0"/>
                                                          <w:marRight w:val="0"/>
                                                          <w:marTop w:val="0"/>
                                                          <w:marBottom w:val="0"/>
                                                          <w:divBdr>
                                                            <w:top w:val="none" w:sz="0" w:space="0" w:color="auto"/>
                                                            <w:left w:val="none" w:sz="0" w:space="0" w:color="auto"/>
                                                            <w:bottom w:val="none" w:sz="0" w:space="0" w:color="auto"/>
                                                            <w:right w:val="none" w:sz="0" w:space="0" w:color="auto"/>
                                                          </w:divBdr>
                                                        </w:div>
                                                        <w:div w:id="506553210">
                                                          <w:marLeft w:val="0"/>
                                                          <w:marRight w:val="0"/>
                                                          <w:marTop w:val="0"/>
                                                          <w:marBottom w:val="0"/>
                                                          <w:divBdr>
                                                            <w:top w:val="none" w:sz="0" w:space="0" w:color="auto"/>
                                                            <w:left w:val="none" w:sz="0" w:space="0" w:color="auto"/>
                                                            <w:bottom w:val="none" w:sz="0" w:space="0" w:color="auto"/>
                                                            <w:right w:val="none" w:sz="0" w:space="0" w:color="auto"/>
                                                          </w:divBdr>
                                                        </w:div>
                                                        <w:div w:id="508645736">
                                                          <w:marLeft w:val="0"/>
                                                          <w:marRight w:val="0"/>
                                                          <w:marTop w:val="0"/>
                                                          <w:marBottom w:val="0"/>
                                                          <w:divBdr>
                                                            <w:top w:val="none" w:sz="0" w:space="0" w:color="auto"/>
                                                            <w:left w:val="none" w:sz="0" w:space="0" w:color="auto"/>
                                                            <w:bottom w:val="none" w:sz="0" w:space="0" w:color="auto"/>
                                                            <w:right w:val="none" w:sz="0" w:space="0" w:color="auto"/>
                                                          </w:divBdr>
                                                        </w:div>
                                                        <w:div w:id="511652430">
                                                          <w:marLeft w:val="0"/>
                                                          <w:marRight w:val="0"/>
                                                          <w:marTop w:val="0"/>
                                                          <w:marBottom w:val="0"/>
                                                          <w:divBdr>
                                                            <w:top w:val="none" w:sz="0" w:space="0" w:color="auto"/>
                                                            <w:left w:val="none" w:sz="0" w:space="0" w:color="auto"/>
                                                            <w:bottom w:val="none" w:sz="0" w:space="0" w:color="auto"/>
                                                            <w:right w:val="none" w:sz="0" w:space="0" w:color="auto"/>
                                                          </w:divBdr>
                                                        </w:div>
                                                        <w:div w:id="553783429">
                                                          <w:marLeft w:val="0"/>
                                                          <w:marRight w:val="0"/>
                                                          <w:marTop w:val="0"/>
                                                          <w:marBottom w:val="0"/>
                                                          <w:divBdr>
                                                            <w:top w:val="none" w:sz="0" w:space="0" w:color="auto"/>
                                                            <w:left w:val="none" w:sz="0" w:space="0" w:color="auto"/>
                                                            <w:bottom w:val="none" w:sz="0" w:space="0" w:color="auto"/>
                                                            <w:right w:val="none" w:sz="0" w:space="0" w:color="auto"/>
                                                          </w:divBdr>
                                                        </w:div>
                                                        <w:div w:id="609437049">
                                                          <w:marLeft w:val="0"/>
                                                          <w:marRight w:val="0"/>
                                                          <w:marTop w:val="0"/>
                                                          <w:marBottom w:val="0"/>
                                                          <w:divBdr>
                                                            <w:top w:val="none" w:sz="0" w:space="0" w:color="auto"/>
                                                            <w:left w:val="none" w:sz="0" w:space="0" w:color="auto"/>
                                                            <w:bottom w:val="none" w:sz="0" w:space="0" w:color="auto"/>
                                                            <w:right w:val="none" w:sz="0" w:space="0" w:color="auto"/>
                                                          </w:divBdr>
                                                        </w:div>
                                                        <w:div w:id="614212006">
                                                          <w:marLeft w:val="0"/>
                                                          <w:marRight w:val="0"/>
                                                          <w:marTop w:val="0"/>
                                                          <w:marBottom w:val="0"/>
                                                          <w:divBdr>
                                                            <w:top w:val="none" w:sz="0" w:space="0" w:color="auto"/>
                                                            <w:left w:val="none" w:sz="0" w:space="0" w:color="auto"/>
                                                            <w:bottom w:val="none" w:sz="0" w:space="0" w:color="auto"/>
                                                            <w:right w:val="none" w:sz="0" w:space="0" w:color="auto"/>
                                                          </w:divBdr>
                                                        </w:div>
                                                        <w:div w:id="627249671">
                                                          <w:marLeft w:val="0"/>
                                                          <w:marRight w:val="0"/>
                                                          <w:marTop w:val="0"/>
                                                          <w:marBottom w:val="0"/>
                                                          <w:divBdr>
                                                            <w:top w:val="none" w:sz="0" w:space="0" w:color="auto"/>
                                                            <w:left w:val="none" w:sz="0" w:space="0" w:color="auto"/>
                                                            <w:bottom w:val="none" w:sz="0" w:space="0" w:color="auto"/>
                                                            <w:right w:val="none" w:sz="0" w:space="0" w:color="auto"/>
                                                          </w:divBdr>
                                                        </w:div>
                                                        <w:div w:id="630403591">
                                                          <w:marLeft w:val="0"/>
                                                          <w:marRight w:val="0"/>
                                                          <w:marTop w:val="0"/>
                                                          <w:marBottom w:val="0"/>
                                                          <w:divBdr>
                                                            <w:top w:val="none" w:sz="0" w:space="0" w:color="auto"/>
                                                            <w:left w:val="none" w:sz="0" w:space="0" w:color="auto"/>
                                                            <w:bottom w:val="none" w:sz="0" w:space="0" w:color="auto"/>
                                                            <w:right w:val="none" w:sz="0" w:space="0" w:color="auto"/>
                                                          </w:divBdr>
                                                        </w:div>
                                                        <w:div w:id="635379873">
                                                          <w:marLeft w:val="0"/>
                                                          <w:marRight w:val="0"/>
                                                          <w:marTop w:val="0"/>
                                                          <w:marBottom w:val="0"/>
                                                          <w:divBdr>
                                                            <w:top w:val="none" w:sz="0" w:space="0" w:color="auto"/>
                                                            <w:left w:val="none" w:sz="0" w:space="0" w:color="auto"/>
                                                            <w:bottom w:val="none" w:sz="0" w:space="0" w:color="auto"/>
                                                            <w:right w:val="none" w:sz="0" w:space="0" w:color="auto"/>
                                                          </w:divBdr>
                                                        </w:div>
                                                        <w:div w:id="649943390">
                                                          <w:marLeft w:val="0"/>
                                                          <w:marRight w:val="0"/>
                                                          <w:marTop w:val="0"/>
                                                          <w:marBottom w:val="0"/>
                                                          <w:divBdr>
                                                            <w:top w:val="none" w:sz="0" w:space="0" w:color="auto"/>
                                                            <w:left w:val="none" w:sz="0" w:space="0" w:color="auto"/>
                                                            <w:bottom w:val="none" w:sz="0" w:space="0" w:color="auto"/>
                                                            <w:right w:val="none" w:sz="0" w:space="0" w:color="auto"/>
                                                          </w:divBdr>
                                                        </w:div>
                                                        <w:div w:id="678582121">
                                                          <w:marLeft w:val="0"/>
                                                          <w:marRight w:val="0"/>
                                                          <w:marTop w:val="0"/>
                                                          <w:marBottom w:val="0"/>
                                                          <w:divBdr>
                                                            <w:top w:val="none" w:sz="0" w:space="0" w:color="auto"/>
                                                            <w:left w:val="none" w:sz="0" w:space="0" w:color="auto"/>
                                                            <w:bottom w:val="none" w:sz="0" w:space="0" w:color="auto"/>
                                                            <w:right w:val="none" w:sz="0" w:space="0" w:color="auto"/>
                                                          </w:divBdr>
                                                        </w:div>
                                                        <w:div w:id="683745328">
                                                          <w:marLeft w:val="0"/>
                                                          <w:marRight w:val="0"/>
                                                          <w:marTop w:val="0"/>
                                                          <w:marBottom w:val="0"/>
                                                          <w:divBdr>
                                                            <w:top w:val="none" w:sz="0" w:space="0" w:color="auto"/>
                                                            <w:left w:val="none" w:sz="0" w:space="0" w:color="auto"/>
                                                            <w:bottom w:val="none" w:sz="0" w:space="0" w:color="auto"/>
                                                            <w:right w:val="none" w:sz="0" w:space="0" w:color="auto"/>
                                                          </w:divBdr>
                                                        </w:div>
                                                        <w:div w:id="687634912">
                                                          <w:marLeft w:val="0"/>
                                                          <w:marRight w:val="0"/>
                                                          <w:marTop w:val="0"/>
                                                          <w:marBottom w:val="0"/>
                                                          <w:divBdr>
                                                            <w:top w:val="none" w:sz="0" w:space="0" w:color="auto"/>
                                                            <w:left w:val="none" w:sz="0" w:space="0" w:color="auto"/>
                                                            <w:bottom w:val="none" w:sz="0" w:space="0" w:color="auto"/>
                                                            <w:right w:val="none" w:sz="0" w:space="0" w:color="auto"/>
                                                          </w:divBdr>
                                                        </w:div>
                                                        <w:div w:id="739865169">
                                                          <w:marLeft w:val="0"/>
                                                          <w:marRight w:val="0"/>
                                                          <w:marTop w:val="0"/>
                                                          <w:marBottom w:val="0"/>
                                                          <w:divBdr>
                                                            <w:top w:val="none" w:sz="0" w:space="0" w:color="auto"/>
                                                            <w:left w:val="none" w:sz="0" w:space="0" w:color="auto"/>
                                                            <w:bottom w:val="none" w:sz="0" w:space="0" w:color="auto"/>
                                                            <w:right w:val="none" w:sz="0" w:space="0" w:color="auto"/>
                                                          </w:divBdr>
                                                        </w:div>
                                                        <w:div w:id="754278169">
                                                          <w:marLeft w:val="0"/>
                                                          <w:marRight w:val="0"/>
                                                          <w:marTop w:val="0"/>
                                                          <w:marBottom w:val="0"/>
                                                          <w:divBdr>
                                                            <w:top w:val="none" w:sz="0" w:space="0" w:color="auto"/>
                                                            <w:left w:val="none" w:sz="0" w:space="0" w:color="auto"/>
                                                            <w:bottom w:val="none" w:sz="0" w:space="0" w:color="auto"/>
                                                            <w:right w:val="none" w:sz="0" w:space="0" w:color="auto"/>
                                                          </w:divBdr>
                                                        </w:div>
                                                        <w:div w:id="810681849">
                                                          <w:marLeft w:val="0"/>
                                                          <w:marRight w:val="0"/>
                                                          <w:marTop w:val="0"/>
                                                          <w:marBottom w:val="0"/>
                                                          <w:divBdr>
                                                            <w:top w:val="none" w:sz="0" w:space="0" w:color="auto"/>
                                                            <w:left w:val="none" w:sz="0" w:space="0" w:color="auto"/>
                                                            <w:bottom w:val="none" w:sz="0" w:space="0" w:color="auto"/>
                                                            <w:right w:val="none" w:sz="0" w:space="0" w:color="auto"/>
                                                          </w:divBdr>
                                                        </w:div>
                                                        <w:div w:id="832912059">
                                                          <w:marLeft w:val="0"/>
                                                          <w:marRight w:val="0"/>
                                                          <w:marTop w:val="0"/>
                                                          <w:marBottom w:val="0"/>
                                                          <w:divBdr>
                                                            <w:top w:val="none" w:sz="0" w:space="0" w:color="auto"/>
                                                            <w:left w:val="none" w:sz="0" w:space="0" w:color="auto"/>
                                                            <w:bottom w:val="none" w:sz="0" w:space="0" w:color="auto"/>
                                                            <w:right w:val="none" w:sz="0" w:space="0" w:color="auto"/>
                                                          </w:divBdr>
                                                        </w:div>
                                                        <w:div w:id="867525244">
                                                          <w:marLeft w:val="0"/>
                                                          <w:marRight w:val="0"/>
                                                          <w:marTop w:val="0"/>
                                                          <w:marBottom w:val="0"/>
                                                          <w:divBdr>
                                                            <w:top w:val="none" w:sz="0" w:space="0" w:color="auto"/>
                                                            <w:left w:val="none" w:sz="0" w:space="0" w:color="auto"/>
                                                            <w:bottom w:val="none" w:sz="0" w:space="0" w:color="auto"/>
                                                            <w:right w:val="none" w:sz="0" w:space="0" w:color="auto"/>
                                                          </w:divBdr>
                                                        </w:div>
                                                        <w:div w:id="887181060">
                                                          <w:marLeft w:val="0"/>
                                                          <w:marRight w:val="0"/>
                                                          <w:marTop w:val="0"/>
                                                          <w:marBottom w:val="0"/>
                                                          <w:divBdr>
                                                            <w:top w:val="none" w:sz="0" w:space="0" w:color="auto"/>
                                                            <w:left w:val="none" w:sz="0" w:space="0" w:color="auto"/>
                                                            <w:bottom w:val="none" w:sz="0" w:space="0" w:color="auto"/>
                                                            <w:right w:val="none" w:sz="0" w:space="0" w:color="auto"/>
                                                          </w:divBdr>
                                                        </w:div>
                                                        <w:div w:id="919099898">
                                                          <w:marLeft w:val="0"/>
                                                          <w:marRight w:val="0"/>
                                                          <w:marTop w:val="0"/>
                                                          <w:marBottom w:val="0"/>
                                                          <w:divBdr>
                                                            <w:top w:val="none" w:sz="0" w:space="0" w:color="auto"/>
                                                            <w:left w:val="none" w:sz="0" w:space="0" w:color="auto"/>
                                                            <w:bottom w:val="none" w:sz="0" w:space="0" w:color="auto"/>
                                                            <w:right w:val="none" w:sz="0" w:space="0" w:color="auto"/>
                                                          </w:divBdr>
                                                        </w:div>
                                                        <w:div w:id="921908831">
                                                          <w:marLeft w:val="0"/>
                                                          <w:marRight w:val="0"/>
                                                          <w:marTop w:val="0"/>
                                                          <w:marBottom w:val="0"/>
                                                          <w:divBdr>
                                                            <w:top w:val="none" w:sz="0" w:space="0" w:color="auto"/>
                                                            <w:left w:val="none" w:sz="0" w:space="0" w:color="auto"/>
                                                            <w:bottom w:val="none" w:sz="0" w:space="0" w:color="auto"/>
                                                            <w:right w:val="none" w:sz="0" w:space="0" w:color="auto"/>
                                                          </w:divBdr>
                                                        </w:div>
                                                        <w:div w:id="1000818739">
                                                          <w:marLeft w:val="0"/>
                                                          <w:marRight w:val="0"/>
                                                          <w:marTop w:val="0"/>
                                                          <w:marBottom w:val="0"/>
                                                          <w:divBdr>
                                                            <w:top w:val="none" w:sz="0" w:space="0" w:color="auto"/>
                                                            <w:left w:val="none" w:sz="0" w:space="0" w:color="auto"/>
                                                            <w:bottom w:val="none" w:sz="0" w:space="0" w:color="auto"/>
                                                            <w:right w:val="none" w:sz="0" w:space="0" w:color="auto"/>
                                                          </w:divBdr>
                                                        </w:div>
                                                        <w:div w:id="1013610722">
                                                          <w:marLeft w:val="0"/>
                                                          <w:marRight w:val="0"/>
                                                          <w:marTop w:val="0"/>
                                                          <w:marBottom w:val="0"/>
                                                          <w:divBdr>
                                                            <w:top w:val="none" w:sz="0" w:space="0" w:color="auto"/>
                                                            <w:left w:val="none" w:sz="0" w:space="0" w:color="auto"/>
                                                            <w:bottom w:val="none" w:sz="0" w:space="0" w:color="auto"/>
                                                            <w:right w:val="none" w:sz="0" w:space="0" w:color="auto"/>
                                                          </w:divBdr>
                                                        </w:div>
                                                        <w:div w:id="1029447805">
                                                          <w:marLeft w:val="0"/>
                                                          <w:marRight w:val="0"/>
                                                          <w:marTop w:val="0"/>
                                                          <w:marBottom w:val="0"/>
                                                          <w:divBdr>
                                                            <w:top w:val="none" w:sz="0" w:space="0" w:color="auto"/>
                                                            <w:left w:val="none" w:sz="0" w:space="0" w:color="auto"/>
                                                            <w:bottom w:val="none" w:sz="0" w:space="0" w:color="auto"/>
                                                            <w:right w:val="none" w:sz="0" w:space="0" w:color="auto"/>
                                                          </w:divBdr>
                                                        </w:div>
                                                        <w:div w:id="1062294582">
                                                          <w:marLeft w:val="0"/>
                                                          <w:marRight w:val="0"/>
                                                          <w:marTop w:val="0"/>
                                                          <w:marBottom w:val="0"/>
                                                          <w:divBdr>
                                                            <w:top w:val="none" w:sz="0" w:space="0" w:color="auto"/>
                                                            <w:left w:val="none" w:sz="0" w:space="0" w:color="auto"/>
                                                            <w:bottom w:val="none" w:sz="0" w:space="0" w:color="auto"/>
                                                            <w:right w:val="none" w:sz="0" w:space="0" w:color="auto"/>
                                                          </w:divBdr>
                                                        </w:div>
                                                        <w:div w:id="1065178511">
                                                          <w:marLeft w:val="0"/>
                                                          <w:marRight w:val="0"/>
                                                          <w:marTop w:val="0"/>
                                                          <w:marBottom w:val="0"/>
                                                          <w:divBdr>
                                                            <w:top w:val="none" w:sz="0" w:space="0" w:color="auto"/>
                                                            <w:left w:val="none" w:sz="0" w:space="0" w:color="auto"/>
                                                            <w:bottom w:val="none" w:sz="0" w:space="0" w:color="auto"/>
                                                            <w:right w:val="none" w:sz="0" w:space="0" w:color="auto"/>
                                                          </w:divBdr>
                                                        </w:div>
                                                        <w:div w:id="1078944790">
                                                          <w:marLeft w:val="0"/>
                                                          <w:marRight w:val="0"/>
                                                          <w:marTop w:val="0"/>
                                                          <w:marBottom w:val="0"/>
                                                          <w:divBdr>
                                                            <w:top w:val="none" w:sz="0" w:space="0" w:color="auto"/>
                                                            <w:left w:val="none" w:sz="0" w:space="0" w:color="auto"/>
                                                            <w:bottom w:val="none" w:sz="0" w:space="0" w:color="auto"/>
                                                            <w:right w:val="none" w:sz="0" w:space="0" w:color="auto"/>
                                                          </w:divBdr>
                                                        </w:div>
                                                        <w:div w:id="1080057466">
                                                          <w:marLeft w:val="0"/>
                                                          <w:marRight w:val="0"/>
                                                          <w:marTop w:val="0"/>
                                                          <w:marBottom w:val="0"/>
                                                          <w:divBdr>
                                                            <w:top w:val="none" w:sz="0" w:space="0" w:color="auto"/>
                                                            <w:left w:val="none" w:sz="0" w:space="0" w:color="auto"/>
                                                            <w:bottom w:val="none" w:sz="0" w:space="0" w:color="auto"/>
                                                            <w:right w:val="none" w:sz="0" w:space="0" w:color="auto"/>
                                                          </w:divBdr>
                                                        </w:div>
                                                        <w:div w:id="1129056149">
                                                          <w:marLeft w:val="0"/>
                                                          <w:marRight w:val="0"/>
                                                          <w:marTop w:val="0"/>
                                                          <w:marBottom w:val="0"/>
                                                          <w:divBdr>
                                                            <w:top w:val="none" w:sz="0" w:space="0" w:color="auto"/>
                                                            <w:left w:val="none" w:sz="0" w:space="0" w:color="auto"/>
                                                            <w:bottom w:val="none" w:sz="0" w:space="0" w:color="auto"/>
                                                            <w:right w:val="none" w:sz="0" w:space="0" w:color="auto"/>
                                                          </w:divBdr>
                                                        </w:div>
                                                        <w:div w:id="1134443573">
                                                          <w:marLeft w:val="0"/>
                                                          <w:marRight w:val="0"/>
                                                          <w:marTop w:val="0"/>
                                                          <w:marBottom w:val="0"/>
                                                          <w:divBdr>
                                                            <w:top w:val="none" w:sz="0" w:space="0" w:color="auto"/>
                                                            <w:left w:val="none" w:sz="0" w:space="0" w:color="auto"/>
                                                            <w:bottom w:val="none" w:sz="0" w:space="0" w:color="auto"/>
                                                            <w:right w:val="none" w:sz="0" w:space="0" w:color="auto"/>
                                                          </w:divBdr>
                                                        </w:div>
                                                        <w:div w:id="1220827899">
                                                          <w:marLeft w:val="0"/>
                                                          <w:marRight w:val="0"/>
                                                          <w:marTop w:val="0"/>
                                                          <w:marBottom w:val="0"/>
                                                          <w:divBdr>
                                                            <w:top w:val="none" w:sz="0" w:space="0" w:color="auto"/>
                                                            <w:left w:val="none" w:sz="0" w:space="0" w:color="auto"/>
                                                            <w:bottom w:val="none" w:sz="0" w:space="0" w:color="auto"/>
                                                            <w:right w:val="none" w:sz="0" w:space="0" w:color="auto"/>
                                                          </w:divBdr>
                                                        </w:div>
                                                        <w:div w:id="1270234980">
                                                          <w:marLeft w:val="0"/>
                                                          <w:marRight w:val="0"/>
                                                          <w:marTop w:val="0"/>
                                                          <w:marBottom w:val="0"/>
                                                          <w:divBdr>
                                                            <w:top w:val="none" w:sz="0" w:space="0" w:color="auto"/>
                                                            <w:left w:val="none" w:sz="0" w:space="0" w:color="auto"/>
                                                            <w:bottom w:val="none" w:sz="0" w:space="0" w:color="auto"/>
                                                            <w:right w:val="none" w:sz="0" w:space="0" w:color="auto"/>
                                                          </w:divBdr>
                                                        </w:div>
                                                        <w:div w:id="1278565544">
                                                          <w:marLeft w:val="0"/>
                                                          <w:marRight w:val="0"/>
                                                          <w:marTop w:val="0"/>
                                                          <w:marBottom w:val="0"/>
                                                          <w:divBdr>
                                                            <w:top w:val="none" w:sz="0" w:space="0" w:color="auto"/>
                                                            <w:left w:val="none" w:sz="0" w:space="0" w:color="auto"/>
                                                            <w:bottom w:val="none" w:sz="0" w:space="0" w:color="auto"/>
                                                            <w:right w:val="none" w:sz="0" w:space="0" w:color="auto"/>
                                                          </w:divBdr>
                                                        </w:div>
                                                        <w:div w:id="1295599524">
                                                          <w:marLeft w:val="0"/>
                                                          <w:marRight w:val="0"/>
                                                          <w:marTop w:val="0"/>
                                                          <w:marBottom w:val="0"/>
                                                          <w:divBdr>
                                                            <w:top w:val="none" w:sz="0" w:space="0" w:color="auto"/>
                                                            <w:left w:val="none" w:sz="0" w:space="0" w:color="auto"/>
                                                            <w:bottom w:val="none" w:sz="0" w:space="0" w:color="auto"/>
                                                            <w:right w:val="none" w:sz="0" w:space="0" w:color="auto"/>
                                                          </w:divBdr>
                                                        </w:div>
                                                        <w:div w:id="1309363654">
                                                          <w:marLeft w:val="0"/>
                                                          <w:marRight w:val="0"/>
                                                          <w:marTop w:val="0"/>
                                                          <w:marBottom w:val="0"/>
                                                          <w:divBdr>
                                                            <w:top w:val="none" w:sz="0" w:space="0" w:color="auto"/>
                                                            <w:left w:val="none" w:sz="0" w:space="0" w:color="auto"/>
                                                            <w:bottom w:val="none" w:sz="0" w:space="0" w:color="auto"/>
                                                            <w:right w:val="none" w:sz="0" w:space="0" w:color="auto"/>
                                                          </w:divBdr>
                                                        </w:div>
                                                        <w:div w:id="1328821719">
                                                          <w:marLeft w:val="0"/>
                                                          <w:marRight w:val="0"/>
                                                          <w:marTop w:val="0"/>
                                                          <w:marBottom w:val="0"/>
                                                          <w:divBdr>
                                                            <w:top w:val="none" w:sz="0" w:space="0" w:color="auto"/>
                                                            <w:left w:val="none" w:sz="0" w:space="0" w:color="auto"/>
                                                            <w:bottom w:val="none" w:sz="0" w:space="0" w:color="auto"/>
                                                            <w:right w:val="none" w:sz="0" w:space="0" w:color="auto"/>
                                                          </w:divBdr>
                                                        </w:div>
                                                        <w:div w:id="1340816375">
                                                          <w:marLeft w:val="0"/>
                                                          <w:marRight w:val="0"/>
                                                          <w:marTop w:val="0"/>
                                                          <w:marBottom w:val="0"/>
                                                          <w:divBdr>
                                                            <w:top w:val="none" w:sz="0" w:space="0" w:color="auto"/>
                                                            <w:left w:val="none" w:sz="0" w:space="0" w:color="auto"/>
                                                            <w:bottom w:val="none" w:sz="0" w:space="0" w:color="auto"/>
                                                            <w:right w:val="none" w:sz="0" w:space="0" w:color="auto"/>
                                                          </w:divBdr>
                                                        </w:div>
                                                        <w:div w:id="1343514352">
                                                          <w:marLeft w:val="0"/>
                                                          <w:marRight w:val="0"/>
                                                          <w:marTop w:val="0"/>
                                                          <w:marBottom w:val="0"/>
                                                          <w:divBdr>
                                                            <w:top w:val="none" w:sz="0" w:space="0" w:color="auto"/>
                                                            <w:left w:val="none" w:sz="0" w:space="0" w:color="auto"/>
                                                            <w:bottom w:val="none" w:sz="0" w:space="0" w:color="auto"/>
                                                            <w:right w:val="none" w:sz="0" w:space="0" w:color="auto"/>
                                                          </w:divBdr>
                                                        </w:div>
                                                        <w:div w:id="1344358029">
                                                          <w:marLeft w:val="0"/>
                                                          <w:marRight w:val="0"/>
                                                          <w:marTop w:val="0"/>
                                                          <w:marBottom w:val="0"/>
                                                          <w:divBdr>
                                                            <w:top w:val="none" w:sz="0" w:space="0" w:color="auto"/>
                                                            <w:left w:val="none" w:sz="0" w:space="0" w:color="auto"/>
                                                            <w:bottom w:val="none" w:sz="0" w:space="0" w:color="auto"/>
                                                            <w:right w:val="none" w:sz="0" w:space="0" w:color="auto"/>
                                                          </w:divBdr>
                                                        </w:div>
                                                        <w:div w:id="1353996994">
                                                          <w:marLeft w:val="0"/>
                                                          <w:marRight w:val="0"/>
                                                          <w:marTop w:val="0"/>
                                                          <w:marBottom w:val="0"/>
                                                          <w:divBdr>
                                                            <w:top w:val="none" w:sz="0" w:space="0" w:color="auto"/>
                                                            <w:left w:val="none" w:sz="0" w:space="0" w:color="auto"/>
                                                            <w:bottom w:val="none" w:sz="0" w:space="0" w:color="auto"/>
                                                            <w:right w:val="none" w:sz="0" w:space="0" w:color="auto"/>
                                                          </w:divBdr>
                                                        </w:div>
                                                        <w:div w:id="1415013664">
                                                          <w:marLeft w:val="0"/>
                                                          <w:marRight w:val="0"/>
                                                          <w:marTop w:val="0"/>
                                                          <w:marBottom w:val="0"/>
                                                          <w:divBdr>
                                                            <w:top w:val="none" w:sz="0" w:space="0" w:color="auto"/>
                                                            <w:left w:val="none" w:sz="0" w:space="0" w:color="auto"/>
                                                            <w:bottom w:val="none" w:sz="0" w:space="0" w:color="auto"/>
                                                            <w:right w:val="none" w:sz="0" w:space="0" w:color="auto"/>
                                                          </w:divBdr>
                                                        </w:div>
                                                        <w:div w:id="1423409122">
                                                          <w:marLeft w:val="0"/>
                                                          <w:marRight w:val="0"/>
                                                          <w:marTop w:val="0"/>
                                                          <w:marBottom w:val="0"/>
                                                          <w:divBdr>
                                                            <w:top w:val="none" w:sz="0" w:space="0" w:color="auto"/>
                                                            <w:left w:val="none" w:sz="0" w:space="0" w:color="auto"/>
                                                            <w:bottom w:val="none" w:sz="0" w:space="0" w:color="auto"/>
                                                            <w:right w:val="none" w:sz="0" w:space="0" w:color="auto"/>
                                                          </w:divBdr>
                                                        </w:div>
                                                        <w:div w:id="1501656596">
                                                          <w:marLeft w:val="0"/>
                                                          <w:marRight w:val="0"/>
                                                          <w:marTop w:val="0"/>
                                                          <w:marBottom w:val="0"/>
                                                          <w:divBdr>
                                                            <w:top w:val="none" w:sz="0" w:space="0" w:color="auto"/>
                                                            <w:left w:val="none" w:sz="0" w:space="0" w:color="auto"/>
                                                            <w:bottom w:val="none" w:sz="0" w:space="0" w:color="auto"/>
                                                            <w:right w:val="none" w:sz="0" w:space="0" w:color="auto"/>
                                                          </w:divBdr>
                                                        </w:div>
                                                        <w:div w:id="1514954572">
                                                          <w:marLeft w:val="0"/>
                                                          <w:marRight w:val="0"/>
                                                          <w:marTop w:val="0"/>
                                                          <w:marBottom w:val="0"/>
                                                          <w:divBdr>
                                                            <w:top w:val="none" w:sz="0" w:space="0" w:color="auto"/>
                                                            <w:left w:val="none" w:sz="0" w:space="0" w:color="auto"/>
                                                            <w:bottom w:val="none" w:sz="0" w:space="0" w:color="auto"/>
                                                            <w:right w:val="none" w:sz="0" w:space="0" w:color="auto"/>
                                                          </w:divBdr>
                                                        </w:div>
                                                        <w:div w:id="1519393352">
                                                          <w:marLeft w:val="0"/>
                                                          <w:marRight w:val="0"/>
                                                          <w:marTop w:val="0"/>
                                                          <w:marBottom w:val="0"/>
                                                          <w:divBdr>
                                                            <w:top w:val="none" w:sz="0" w:space="0" w:color="auto"/>
                                                            <w:left w:val="none" w:sz="0" w:space="0" w:color="auto"/>
                                                            <w:bottom w:val="none" w:sz="0" w:space="0" w:color="auto"/>
                                                            <w:right w:val="none" w:sz="0" w:space="0" w:color="auto"/>
                                                          </w:divBdr>
                                                        </w:div>
                                                        <w:div w:id="1521771567">
                                                          <w:marLeft w:val="0"/>
                                                          <w:marRight w:val="0"/>
                                                          <w:marTop w:val="0"/>
                                                          <w:marBottom w:val="0"/>
                                                          <w:divBdr>
                                                            <w:top w:val="none" w:sz="0" w:space="0" w:color="auto"/>
                                                            <w:left w:val="none" w:sz="0" w:space="0" w:color="auto"/>
                                                            <w:bottom w:val="none" w:sz="0" w:space="0" w:color="auto"/>
                                                            <w:right w:val="none" w:sz="0" w:space="0" w:color="auto"/>
                                                          </w:divBdr>
                                                        </w:div>
                                                        <w:div w:id="1524439905">
                                                          <w:marLeft w:val="0"/>
                                                          <w:marRight w:val="0"/>
                                                          <w:marTop w:val="0"/>
                                                          <w:marBottom w:val="0"/>
                                                          <w:divBdr>
                                                            <w:top w:val="none" w:sz="0" w:space="0" w:color="auto"/>
                                                            <w:left w:val="none" w:sz="0" w:space="0" w:color="auto"/>
                                                            <w:bottom w:val="none" w:sz="0" w:space="0" w:color="auto"/>
                                                            <w:right w:val="none" w:sz="0" w:space="0" w:color="auto"/>
                                                          </w:divBdr>
                                                        </w:div>
                                                        <w:div w:id="1530601434">
                                                          <w:marLeft w:val="0"/>
                                                          <w:marRight w:val="0"/>
                                                          <w:marTop w:val="0"/>
                                                          <w:marBottom w:val="0"/>
                                                          <w:divBdr>
                                                            <w:top w:val="none" w:sz="0" w:space="0" w:color="auto"/>
                                                            <w:left w:val="none" w:sz="0" w:space="0" w:color="auto"/>
                                                            <w:bottom w:val="none" w:sz="0" w:space="0" w:color="auto"/>
                                                            <w:right w:val="none" w:sz="0" w:space="0" w:color="auto"/>
                                                          </w:divBdr>
                                                        </w:div>
                                                        <w:div w:id="1538154391">
                                                          <w:marLeft w:val="0"/>
                                                          <w:marRight w:val="0"/>
                                                          <w:marTop w:val="0"/>
                                                          <w:marBottom w:val="0"/>
                                                          <w:divBdr>
                                                            <w:top w:val="none" w:sz="0" w:space="0" w:color="auto"/>
                                                            <w:left w:val="none" w:sz="0" w:space="0" w:color="auto"/>
                                                            <w:bottom w:val="none" w:sz="0" w:space="0" w:color="auto"/>
                                                            <w:right w:val="none" w:sz="0" w:space="0" w:color="auto"/>
                                                          </w:divBdr>
                                                        </w:div>
                                                        <w:div w:id="1546258306">
                                                          <w:marLeft w:val="0"/>
                                                          <w:marRight w:val="0"/>
                                                          <w:marTop w:val="0"/>
                                                          <w:marBottom w:val="0"/>
                                                          <w:divBdr>
                                                            <w:top w:val="none" w:sz="0" w:space="0" w:color="auto"/>
                                                            <w:left w:val="none" w:sz="0" w:space="0" w:color="auto"/>
                                                            <w:bottom w:val="none" w:sz="0" w:space="0" w:color="auto"/>
                                                            <w:right w:val="none" w:sz="0" w:space="0" w:color="auto"/>
                                                          </w:divBdr>
                                                        </w:div>
                                                        <w:div w:id="1547058217">
                                                          <w:marLeft w:val="0"/>
                                                          <w:marRight w:val="0"/>
                                                          <w:marTop w:val="0"/>
                                                          <w:marBottom w:val="0"/>
                                                          <w:divBdr>
                                                            <w:top w:val="none" w:sz="0" w:space="0" w:color="auto"/>
                                                            <w:left w:val="none" w:sz="0" w:space="0" w:color="auto"/>
                                                            <w:bottom w:val="none" w:sz="0" w:space="0" w:color="auto"/>
                                                            <w:right w:val="none" w:sz="0" w:space="0" w:color="auto"/>
                                                          </w:divBdr>
                                                        </w:div>
                                                        <w:div w:id="1554736440">
                                                          <w:marLeft w:val="0"/>
                                                          <w:marRight w:val="0"/>
                                                          <w:marTop w:val="0"/>
                                                          <w:marBottom w:val="0"/>
                                                          <w:divBdr>
                                                            <w:top w:val="none" w:sz="0" w:space="0" w:color="auto"/>
                                                            <w:left w:val="none" w:sz="0" w:space="0" w:color="auto"/>
                                                            <w:bottom w:val="none" w:sz="0" w:space="0" w:color="auto"/>
                                                            <w:right w:val="none" w:sz="0" w:space="0" w:color="auto"/>
                                                          </w:divBdr>
                                                        </w:div>
                                                        <w:div w:id="1557084878">
                                                          <w:marLeft w:val="0"/>
                                                          <w:marRight w:val="0"/>
                                                          <w:marTop w:val="0"/>
                                                          <w:marBottom w:val="0"/>
                                                          <w:divBdr>
                                                            <w:top w:val="none" w:sz="0" w:space="0" w:color="auto"/>
                                                            <w:left w:val="none" w:sz="0" w:space="0" w:color="auto"/>
                                                            <w:bottom w:val="none" w:sz="0" w:space="0" w:color="auto"/>
                                                            <w:right w:val="none" w:sz="0" w:space="0" w:color="auto"/>
                                                          </w:divBdr>
                                                        </w:div>
                                                        <w:div w:id="1605309746">
                                                          <w:marLeft w:val="0"/>
                                                          <w:marRight w:val="0"/>
                                                          <w:marTop w:val="0"/>
                                                          <w:marBottom w:val="0"/>
                                                          <w:divBdr>
                                                            <w:top w:val="none" w:sz="0" w:space="0" w:color="auto"/>
                                                            <w:left w:val="none" w:sz="0" w:space="0" w:color="auto"/>
                                                            <w:bottom w:val="none" w:sz="0" w:space="0" w:color="auto"/>
                                                            <w:right w:val="none" w:sz="0" w:space="0" w:color="auto"/>
                                                          </w:divBdr>
                                                        </w:div>
                                                        <w:div w:id="1642684931">
                                                          <w:marLeft w:val="0"/>
                                                          <w:marRight w:val="0"/>
                                                          <w:marTop w:val="0"/>
                                                          <w:marBottom w:val="0"/>
                                                          <w:divBdr>
                                                            <w:top w:val="none" w:sz="0" w:space="0" w:color="auto"/>
                                                            <w:left w:val="none" w:sz="0" w:space="0" w:color="auto"/>
                                                            <w:bottom w:val="none" w:sz="0" w:space="0" w:color="auto"/>
                                                            <w:right w:val="none" w:sz="0" w:space="0" w:color="auto"/>
                                                          </w:divBdr>
                                                        </w:div>
                                                        <w:div w:id="1677999921">
                                                          <w:marLeft w:val="0"/>
                                                          <w:marRight w:val="0"/>
                                                          <w:marTop w:val="0"/>
                                                          <w:marBottom w:val="0"/>
                                                          <w:divBdr>
                                                            <w:top w:val="none" w:sz="0" w:space="0" w:color="auto"/>
                                                            <w:left w:val="none" w:sz="0" w:space="0" w:color="auto"/>
                                                            <w:bottom w:val="none" w:sz="0" w:space="0" w:color="auto"/>
                                                            <w:right w:val="none" w:sz="0" w:space="0" w:color="auto"/>
                                                          </w:divBdr>
                                                        </w:div>
                                                        <w:div w:id="1698236320">
                                                          <w:marLeft w:val="0"/>
                                                          <w:marRight w:val="0"/>
                                                          <w:marTop w:val="0"/>
                                                          <w:marBottom w:val="0"/>
                                                          <w:divBdr>
                                                            <w:top w:val="none" w:sz="0" w:space="0" w:color="auto"/>
                                                            <w:left w:val="none" w:sz="0" w:space="0" w:color="auto"/>
                                                            <w:bottom w:val="none" w:sz="0" w:space="0" w:color="auto"/>
                                                            <w:right w:val="none" w:sz="0" w:space="0" w:color="auto"/>
                                                          </w:divBdr>
                                                        </w:div>
                                                        <w:div w:id="1714386286">
                                                          <w:marLeft w:val="0"/>
                                                          <w:marRight w:val="0"/>
                                                          <w:marTop w:val="0"/>
                                                          <w:marBottom w:val="0"/>
                                                          <w:divBdr>
                                                            <w:top w:val="none" w:sz="0" w:space="0" w:color="auto"/>
                                                            <w:left w:val="none" w:sz="0" w:space="0" w:color="auto"/>
                                                            <w:bottom w:val="none" w:sz="0" w:space="0" w:color="auto"/>
                                                            <w:right w:val="none" w:sz="0" w:space="0" w:color="auto"/>
                                                          </w:divBdr>
                                                        </w:div>
                                                        <w:div w:id="1726759288">
                                                          <w:marLeft w:val="0"/>
                                                          <w:marRight w:val="0"/>
                                                          <w:marTop w:val="0"/>
                                                          <w:marBottom w:val="0"/>
                                                          <w:divBdr>
                                                            <w:top w:val="none" w:sz="0" w:space="0" w:color="auto"/>
                                                            <w:left w:val="none" w:sz="0" w:space="0" w:color="auto"/>
                                                            <w:bottom w:val="none" w:sz="0" w:space="0" w:color="auto"/>
                                                            <w:right w:val="none" w:sz="0" w:space="0" w:color="auto"/>
                                                          </w:divBdr>
                                                        </w:div>
                                                        <w:div w:id="1727560391">
                                                          <w:marLeft w:val="0"/>
                                                          <w:marRight w:val="0"/>
                                                          <w:marTop w:val="0"/>
                                                          <w:marBottom w:val="0"/>
                                                          <w:divBdr>
                                                            <w:top w:val="none" w:sz="0" w:space="0" w:color="auto"/>
                                                            <w:left w:val="none" w:sz="0" w:space="0" w:color="auto"/>
                                                            <w:bottom w:val="none" w:sz="0" w:space="0" w:color="auto"/>
                                                            <w:right w:val="none" w:sz="0" w:space="0" w:color="auto"/>
                                                          </w:divBdr>
                                                        </w:div>
                                                        <w:div w:id="1796219838">
                                                          <w:marLeft w:val="0"/>
                                                          <w:marRight w:val="0"/>
                                                          <w:marTop w:val="0"/>
                                                          <w:marBottom w:val="0"/>
                                                          <w:divBdr>
                                                            <w:top w:val="none" w:sz="0" w:space="0" w:color="auto"/>
                                                            <w:left w:val="none" w:sz="0" w:space="0" w:color="auto"/>
                                                            <w:bottom w:val="none" w:sz="0" w:space="0" w:color="auto"/>
                                                            <w:right w:val="none" w:sz="0" w:space="0" w:color="auto"/>
                                                          </w:divBdr>
                                                        </w:div>
                                                        <w:div w:id="1818834773">
                                                          <w:marLeft w:val="0"/>
                                                          <w:marRight w:val="0"/>
                                                          <w:marTop w:val="0"/>
                                                          <w:marBottom w:val="0"/>
                                                          <w:divBdr>
                                                            <w:top w:val="none" w:sz="0" w:space="0" w:color="auto"/>
                                                            <w:left w:val="none" w:sz="0" w:space="0" w:color="auto"/>
                                                            <w:bottom w:val="none" w:sz="0" w:space="0" w:color="auto"/>
                                                            <w:right w:val="none" w:sz="0" w:space="0" w:color="auto"/>
                                                          </w:divBdr>
                                                        </w:div>
                                                        <w:div w:id="1842158539">
                                                          <w:marLeft w:val="0"/>
                                                          <w:marRight w:val="0"/>
                                                          <w:marTop w:val="0"/>
                                                          <w:marBottom w:val="0"/>
                                                          <w:divBdr>
                                                            <w:top w:val="none" w:sz="0" w:space="0" w:color="auto"/>
                                                            <w:left w:val="none" w:sz="0" w:space="0" w:color="auto"/>
                                                            <w:bottom w:val="none" w:sz="0" w:space="0" w:color="auto"/>
                                                            <w:right w:val="none" w:sz="0" w:space="0" w:color="auto"/>
                                                          </w:divBdr>
                                                        </w:div>
                                                        <w:div w:id="1844278357">
                                                          <w:marLeft w:val="0"/>
                                                          <w:marRight w:val="0"/>
                                                          <w:marTop w:val="0"/>
                                                          <w:marBottom w:val="0"/>
                                                          <w:divBdr>
                                                            <w:top w:val="none" w:sz="0" w:space="0" w:color="auto"/>
                                                            <w:left w:val="none" w:sz="0" w:space="0" w:color="auto"/>
                                                            <w:bottom w:val="none" w:sz="0" w:space="0" w:color="auto"/>
                                                            <w:right w:val="none" w:sz="0" w:space="0" w:color="auto"/>
                                                          </w:divBdr>
                                                        </w:div>
                                                        <w:div w:id="1846165513">
                                                          <w:marLeft w:val="0"/>
                                                          <w:marRight w:val="0"/>
                                                          <w:marTop w:val="0"/>
                                                          <w:marBottom w:val="0"/>
                                                          <w:divBdr>
                                                            <w:top w:val="none" w:sz="0" w:space="0" w:color="auto"/>
                                                            <w:left w:val="none" w:sz="0" w:space="0" w:color="auto"/>
                                                            <w:bottom w:val="none" w:sz="0" w:space="0" w:color="auto"/>
                                                            <w:right w:val="none" w:sz="0" w:space="0" w:color="auto"/>
                                                          </w:divBdr>
                                                        </w:div>
                                                        <w:div w:id="1858303794">
                                                          <w:marLeft w:val="0"/>
                                                          <w:marRight w:val="0"/>
                                                          <w:marTop w:val="0"/>
                                                          <w:marBottom w:val="0"/>
                                                          <w:divBdr>
                                                            <w:top w:val="none" w:sz="0" w:space="0" w:color="auto"/>
                                                            <w:left w:val="none" w:sz="0" w:space="0" w:color="auto"/>
                                                            <w:bottom w:val="none" w:sz="0" w:space="0" w:color="auto"/>
                                                            <w:right w:val="none" w:sz="0" w:space="0" w:color="auto"/>
                                                          </w:divBdr>
                                                        </w:div>
                                                        <w:div w:id="1861049356">
                                                          <w:marLeft w:val="0"/>
                                                          <w:marRight w:val="0"/>
                                                          <w:marTop w:val="0"/>
                                                          <w:marBottom w:val="0"/>
                                                          <w:divBdr>
                                                            <w:top w:val="none" w:sz="0" w:space="0" w:color="auto"/>
                                                            <w:left w:val="none" w:sz="0" w:space="0" w:color="auto"/>
                                                            <w:bottom w:val="none" w:sz="0" w:space="0" w:color="auto"/>
                                                            <w:right w:val="none" w:sz="0" w:space="0" w:color="auto"/>
                                                          </w:divBdr>
                                                        </w:div>
                                                        <w:div w:id="1879389972">
                                                          <w:marLeft w:val="0"/>
                                                          <w:marRight w:val="0"/>
                                                          <w:marTop w:val="0"/>
                                                          <w:marBottom w:val="0"/>
                                                          <w:divBdr>
                                                            <w:top w:val="none" w:sz="0" w:space="0" w:color="auto"/>
                                                            <w:left w:val="none" w:sz="0" w:space="0" w:color="auto"/>
                                                            <w:bottom w:val="none" w:sz="0" w:space="0" w:color="auto"/>
                                                            <w:right w:val="none" w:sz="0" w:space="0" w:color="auto"/>
                                                          </w:divBdr>
                                                        </w:div>
                                                        <w:div w:id="1904216115">
                                                          <w:marLeft w:val="0"/>
                                                          <w:marRight w:val="0"/>
                                                          <w:marTop w:val="0"/>
                                                          <w:marBottom w:val="0"/>
                                                          <w:divBdr>
                                                            <w:top w:val="none" w:sz="0" w:space="0" w:color="auto"/>
                                                            <w:left w:val="none" w:sz="0" w:space="0" w:color="auto"/>
                                                            <w:bottom w:val="none" w:sz="0" w:space="0" w:color="auto"/>
                                                            <w:right w:val="none" w:sz="0" w:space="0" w:color="auto"/>
                                                          </w:divBdr>
                                                        </w:div>
                                                        <w:div w:id="1904679260">
                                                          <w:marLeft w:val="0"/>
                                                          <w:marRight w:val="0"/>
                                                          <w:marTop w:val="0"/>
                                                          <w:marBottom w:val="0"/>
                                                          <w:divBdr>
                                                            <w:top w:val="none" w:sz="0" w:space="0" w:color="auto"/>
                                                            <w:left w:val="none" w:sz="0" w:space="0" w:color="auto"/>
                                                            <w:bottom w:val="none" w:sz="0" w:space="0" w:color="auto"/>
                                                            <w:right w:val="none" w:sz="0" w:space="0" w:color="auto"/>
                                                          </w:divBdr>
                                                        </w:div>
                                                        <w:div w:id="1905945547">
                                                          <w:marLeft w:val="0"/>
                                                          <w:marRight w:val="0"/>
                                                          <w:marTop w:val="0"/>
                                                          <w:marBottom w:val="0"/>
                                                          <w:divBdr>
                                                            <w:top w:val="none" w:sz="0" w:space="0" w:color="auto"/>
                                                            <w:left w:val="none" w:sz="0" w:space="0" w:color="auto"/>
                                                            <w:bottom w:val="none" w:sz="0" w:space="0" w:color="auto"/>
                                                            <w:right w:val="none" w:sz="0" w:space="0" w:color="auto"/>
                                                          </w:divBdr>
                                                        </w:div>
                                                        <w:div w:id="1905988195">
                                                          <w:marLeft w:val="0"/>
                                                          <w:marRight w:val="0"/>
                                                          <w:marTop w:val="0"/>
                                                          <w:marBottom w:val="0"/>
                                                          <w:divBdr>
                                                            <w:top w:val="none" w:sz="0" w:space="0" w:color="auto"/>
                                                            <w:left w:val="none" w:sz="0" w:space="0" w:color="auto"/>
                                                            <w:bottom w:val="none" w:sz="0" w:space="0" w:color="auto"/>
                                                            <w:right w:val="none" w:sz="0" w:space="0" w:color="auto"/>
                                                          </w:divBdr>
                                                        </w:div>
                                                        <w:div w:id="1909460975">
                                                          <w:marLeft w:val="0"/>
                                                          <w:marRight w:val="0"/>
                                                          <w:marTop w:val="0"/>
                                                          <w:marBottom w:val="0"/>
                                                          <w:divBdr>
                                                            <w:top w:val="none" w:sz="0" w:space="0" w:color="auto"/>
                                                            <w:left w:val="none" w:sz="0" w:space="0" w:color="auto"/>
                                                            <w:bottom w:val="none" w:sz="0" w:space="0" w:color="auto"/>
                                                            <w:right w:val="none" w:sz="0" w:space="0" w:color="auto"/>
                                                          </w:divBdr>
                                                        </w:div>
                                                        <w:div w:id="1915360392">
                                                          <w:marLeft w:val="0"/>
                                                          <w:marRight w:val="0"/>
                                                          <w:marTop w:val="0"/>
                                                          <w:marBottom w:val="0"/>
                                                          <w:divBdr>
                                                            <w:top w:val="none" w:sz="0" w:space="0" w:color="auto"/>
                                                            <w:left w:val="none" w:sz="0" w:space="0" w:color="auto"/>
                                                            <w:bottom w:val="none" w:sz="0" w:space="0" w:color="auto"/>
                                                            <w:right w:val="none" w:sz="0" w:space="0" w:color="auto"/>
                                                          </w:divBdr>
                                                        </w:div>
                                                        <w:div w:id="1949390302">
                                                          <w:marLeft w:val="0"/>
                                                          <w:marRight w:val="0"/>
                                                          <w:marTop w:val="0"/>
                                                          <w:marBottom w:val="0"/>
                                                          <w:divBdr>
                                                            <w:top w:val="none" w:sz="0" w:space="0" w:color="auto"/>
                                                            <w:left w:val="none" w:sz="0" w:space="0" w:color="auto"/>
                                                            <w:bottom w:val="none" w:sz="0" w:space="0" w:color="auto"/>
                                                            <w:right w:val="none" w:sz="0" w:space="0" w:color="auto"/>
                                                          </w:divBdr>
                                                        </w:div>
                                                        <w:div w:id="1961835859">
                                                          <w:marLeft w:val="0"/>
                                                          <w:marRight w:val="0"/>
                                                          <w:marTop w:val="0"/>
                                                          <w:marBottom w:val="0"/>
                                                          <w:divBdr>
                                                            <w:top w:val="none" w:sz="0" w:space="0" w:color="auto"/>
                                                            <w:left w:val="none" w:sz="0" w:space="0" w:color="auto"/>
                                                            <w:bottom w:val="none" w:sz="0" w:space="0" w:color="auto"/>
                                                            <w:right w:val="none" w:sz="0" w:space="0" w:color="auto"/>
                                                          </w:divBdr>
                                                        </w:div>
                                                        <w:div w:id="1986813197">
                                                          <w:marLeft w:val="0"/>
                                                          <w:marRight w:val="0"/>
                                                          <w:marTop w:val="0"/>
                                                          <w:marBottom w:val="0"/>
                                                          <w:divBdr>
                                                            <w:top w:val="none" w:sz="0" w:space="0" w:color="auto"/>
                                                            <w:left w:val="none" w:sz="0" w:space="0" w:color="auto"/>
                                                            <w:bottom w:val="none" w:sz="0" w:space="0" w:color="auto"/>
                                                            <w:right w:val="none" w:sz="0" w:space="0" w:color="auto"/>
                                                          </w:divBdr>
                                                        </w:div>
                                                        <w:div w:id="1997412683">
                                                          <w:marLeft w:val="0"/>
                                                          <w:marRight w:val="0"/>
                                                          <w:marTop w:val="0"/>
                                                          <w:marBottom w:val="0"/>
                                                          <w:divBdr>
                                                            <w:top w:val="none" w:sz="0" w:space="0" w:color="auto"/>
                                                            <w:left w:val="none" w:sz="0" w:space="0" w:color="auto"/>
                                                            <w:bottom w:val="none" w:sz="0" w:space="0" w:color="auto"/>
                                                            <w:right w:val="none" w:sz="0" w:space="0" w:color="auto"/>
                                                          </w:divBdr>
                                                        </w:div>
                                                        <w:div w:id="2032992519">
                                                          <w:marLeft w:val="0"/>
                                                          <w:marRight w:val="0"/>
                                                          <w:marTop w:val="0"/>
                                                          <w:marBottom w:val="0"/>
                                                          <w:divBdr>
                                                            <w:top w:val="none" w:sz="0" w:space="0" w:color="auto"/>
                                                            <w:left w:val="none" w:sz="0" w:space="0" w:color="auto"/>
                                                            <w:bottom w:val="none" w:sz="0" w:space="0" w:color="auto"/>
                                                            <w:right w:val="none" w:sz="0" w:space="0" w:color="auto"/>
                                                          </w:divBdr>
                                                        </w:div>
                                                        <w:div w:id="2058160811">
                                                          <w:marLeft w:val="0"/>
                                                          <w:marRight w:val="0"/>
                                                          <w:marTop w:val="0"/>
                                                          <w:marBottom w:val="0"/>
                                                          <w:divBdr>
                                                            <w:top w:val="none" w:sz="0" w:space="0" w:color="auto"/>
                                                            <w:left w:val="none" w:sz="0" w:space="0" w:color="auto"/>
                                                            <w:bottom w:val="none" w:sz="0" w:space="0" w:color="auto"/>
                                                            <w:right w:val="none" w:sz="0" w:space="0" w:color="auto"/>
                                                          </w:divBdr>
                                                        </w:div>
                                                        <w:div w:id="2089039096">
                                                          <w:marLeft w:val="0"/>
                                                          <w:marRight w:val="0"/>
                                                          <w:marTop w:val="0"/>
                                                          <w:marBottom w:val="0"/>
                                                          <w:divBdr>
                                                            <w:top w:val="none" w:sz="0" w:space="0" w:color="auto"/>
                                                            <w:left w:val="none" w:sz="0" w:space="0" w:color="auto"/>
                                                            <w:bottom w:val="none" w:sz="0" w:space="0" w:color="auto"/>
                                                            <w:right w:val="none" w:sz="0" w:space="0" w:color="auto"/>
                                                          </w:divBdr>
                                                        </w:div>
                                                        <w:div w:id="2093508507">
                                                          <w:marLeft w:val="0"/>
                                                          <w:marRight w:val="0"/>
                                                          <w:marTop w:val="0"/>
                                                          <w:marBottom w:val="0"/>
                                                          <w:divBdr>
                                                            <w:top w:val="none" w:sz="0" w:space="0" w:color="auto"/>
                                                            <w:left w:val="none" w:sz="0" w:space="0" w:color="auto"/>
                                                            <w:bottom w:val="none" w:sz="0" w:space="0" w:color="auto"/>
                                                            <w:right w:val="none" w:sz="0" w:space="0" w:color="auto"/>
                                                          </w:divBdr>
                                                        </w:div>
                                                        <w:div w:id="2097286188">
                                                          <w:marLeft w:val="0"/>
                                                          <w:marRight w:val="0"/>
                                                          <w:marTop w:val="0"/>
                                                          <w:marBottom w:val="0"/>
                                                          <w:divBdr>
                                                            <w:top w:val="none" w:sz="0" w:space="0" w:color="auto"/>
                                                            <w:left w:val="none" w:sz="0" w:space="0" w:color="auto"/>
                                                            <w:bottom w:val="none" w:sz="0" w:space="0" w:color="auto"/>
                                                            <w:right w:val="none" w:sz="0" w:space="0" w:color="auto"/>
                                                          </w:divBdr>
                                                        </w:div>
                                                        <w:div w:id="2135054165">
                                                          <w:marLeft w:val="0"/>
                                                          <w:marRight w:val="0"/>
                                                          <w:marTop w:val="0"/>
                                                          <w:marBottom w:val="0"/>
                                                          <w:divBdr>
                                                            <w:top w:val="none" w:sz="0" w:space="0" w:color="auto"/>
                                                            <w:left w:val="none" w:sz="0" w:space="0" w:color="auto"/>
                                                            <w:bottom w:val="none" w:sz="0" w:space="0" w:color="auto"/>
                                                            <w:right w:val="none" w:sz="0" w:space="0" w:color="auto"/>
                                                          </w:divBdr>
                                                        </w:div>
                                                        <w:div w:id="2145076573">
                                                          <w:marLeft w:val="0"/>
                                                          <w:marRight w:val="0"/>
                                                          <w:marTop w:val="0"/>
                                                          <w:marBottom w:val="0"/>
                                                          <w:divBdr>
                                                            <w:top w:val="none" w:sz="0" w:space="0" w:color="auto"/>
                                                            <w:left w:val="none" w:sz="0" w:space="0" w:color="auto"/>
                                                            <w:bottom w:val="none" w:sz="0" w:space="0" w:color="auto"/>
                                                            <w:right w:val="none" w:sz="0" w:space="0" w:color="auto"/>
                                                          </w:divBdr>
                                                        </w:div>
                                                      </w:divsChild>
                                                    </w:div>
                                                    <w:div w:id="19753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901681">
      <w:bodyDiv w:val="1"/>
      <w:marLeft w:val="0"/>
      <w:marRight w:val="0"/>
      <w:marTop w:val="0"/>
      <w:marBottom w:val="0"/>
      <w:divBdr>
        <w:top w:val="none" w:sz="0" w:space="0" w:color="auto"/>
        <w:left w:val="none" w:sz="0" w:space="0" w:color="auto"/>
        <w:bottom w:val="none" w:sz="0" w:space="0" w:color="auto"/>
        <w:right w:val="none" w:sz="0" w:space="0" w:color="auto"/>
      </w:divBdr>
    </w:div>
    <w:div w:id="622003578">
      <w:bodyDiv w:val="1"/>
      <w:marLeft w:val="0"/>
      <w:marRight w:val="0"/>
      <w:marTop w:val="0"/>
      <w:marBottom w:val="0"/>
      <w:divBdr>
        <w:top w:val="none" w:sz="0" w:space="0" w:color="auto"/>
        <w:left w:val="none" w:sz="0" w:space="0" w:color="auto"/>
        <w:bottom w:val="none" w:sz="0" w:space="0" w:color="auto"/>
        <w:right w:val="none" w:sz="0" w:space="0" w:color="auto"/>
      </w:divBdr>
      <w:divsChild>
        <w:div w:id="167210793">
          <w:marLeft w:val="0"/>
          <w:marRight w:val="0"/>
          <w:marTop w:val="0"/>
          <w:marBottom w:val="0"/>
          <w:divBdr>
            <w:top w:val="none" w:sz="0" w:space="0" w:color="auto"/>
            <w:left w:val="none" w:sz="0" w:space="0" w:color="auto"/>
            <w:bottom w:val="none" w:sz="0" w:space="0" w:color="auto"/>
            <w:right w:val="none" w:sz="0" w:space="0" w:color="auto"/>
          </w:divBdr>
          <w:divsChild>
            <w:div w:id="31730671">
              <w:marLeft w:val="0"/>
              <w:marRight w:val="0"/>
              <w:marTop w:val="0"/>
              <w:marBottom w:val="0"/>
              <w:divBdr>
                <w:top w:val="none" w:sz="0" w:space="0" w:color="auto"/>
                <w:left w:val="none" w:sz="0" w:space="0" w:color="auto"/>
                <w:bottom w:val="none" w:sz="0" w:space="0" w:color="auto"/>
                <w:right w:val="none" w:sz="0" w:space="0" w:color="auto"/>
              </w:divBdr>
              <w:divsChild>
                <w:div w:id="26368406">
                  <w:marLeft w:val="0"/>
                  <w:marRight w:val="0"/>
                  <w:marTop w:val="0"/>
                  <w:marBottom w:val="0"/>
                  <w:divBdr>
                    <w:top w:val="none" w:sz="0" w:space="0" w:color="auto"/>
                    <w:left w:val="none" w:sz="0" w:space="0" w:color="auto"/>
                    <w:bottom w:val="none" w:sz="0" w:space="0" w:color="auto"/>
                    <w:right w:val="none" w:sz="0" w:space="0" w:color="auto"/>
                  </w:divBdr>
                  <w:divsChild>
                    <w:div w:id="1341589685">
                      <w:marLeft w:val="0"/>
                      <w:marRight w:val="0"/>
                      <w:marTop w:val="0"/>
                      <w:marBottom w:val="0"/>
                      <w:divBdr>
                        <w:top w:val="none" w:sz="0" w:space="0" w:color="auto"/>
                        <w:left w:val="none" w:sz="0" w:space="0" w:color="auto"/>
                        <w:bottom w:val="none" w:sz="0" w:space="0" w:color="auto"/>
                        <w:right w:val="none" w:sz="0" w:space="0" w:color="auto"/>
                      </w:divBdr>
                      <w:divsChild>
                        <w:div w:id="2143304874">
                          <w:marLeft w:val="0"/>
                          <w:marRight w:val="0"/>
                          <w:marTop w:val="0"/>
                          <w:marBottom w:val="0"/>
                          <w:divBdr>
                            <w:top w:val="none" w:sz="0" w:space="0" w:color="auto"/>
                            <w:left w:val="none" w:sz="0" w:space="0" w:color="auto"/>
                            <w:bottom w:val="none" w:sz="0" w:space="0" w:color="auto"/>
                            <w:right w:val="none" w:sz="0" w:space="0" w:color="auto"/>
                          </w:divBdr>
                          <w:divsChild>
                            <w:div w:id="640699013">
                              <w:marLeft w:val="0"/>
                              <w:marRight w:val="0"/>
                              <w:marTop w:val="0"/>
                              <w:marBottom w:val="0"/>
                              <w:divBdr>
                                <w:top w:val="single" w:sz="6" w:space="0" w:color="D7E7F4"/>
                                <w:left w:val="none" w:sz="0" w:space="0" w:color="auto"/>
                                <w:bottom w:val="none" w:sz="0" w:space="0" w:color="auto"/>
                                <w:right w:val="none" w:sz="0" w:space="0" w:color="auto"/>
                              </w:divBdr>
                              <w:divsChild>
                                <w:div w:id="1464152302">
                                  <w:marLeft w:val="0"/>
                                  <w:marRight w:val="0"/>
                                  <w:marTop w:val="0"/>
                                  <w:marBottom w:val="0"/>
                                  <w:divBdr>
                                    <w:top w:val="none" w:sz="0" w:space="0" w:color="auto"/>
                                    <w:left w:val="none" w:sz="0" w:space="0" w:color="auto"/>
                                    <w:bottom w:val="none" w:sz="0" w:space="0" w:color="auto"/>
                                    <w:right w:val="none" w:sz="0" w:space="0" w:color="auto"/>
                                  </w:divBdr>
                                  <w:divsChild>
                                    <w:div w:id="1909917789">
                                      <w:marLeft w:val="0"/>
                                      <w:marRight w:val="0"/>
                                      <w:marTop w:val="0"/>
                                      <w:marBottom w:val="0"/>
                                      <w:divBdr>
                                        <w:top w:val="none" w:sz="0" w:space="0" w:color="auto"/>
                                        <w:left w:val="none" w:sz="0" w:space="0" w:color="auto"/>
                                        <w:bottom w:val="none" w:sz="0" w:space="0" w:color="auto"/>
                                        <w:right w:val="none" w:sz="0" w:space="0" w:color="auto"/>
                                      </w:divBdr>
                                      <w:divsChild>
                                        <w:div w:id="1853648033">
                                          <w:marLeft w:val="0"/>
                                          <w:marRight w:val="0"/>
                                          <w:marTop w:val="0"/>
                                          <w:marBottom w:val="0"/>
                                          <w:divBdr>
                                            <w:top w:val="none" w:sz="0" w:space="0" w:color="auto"/>
                                            <w:left w:val="none" w:sz="0" w:space="0" w:color="auto"/>
                                            <w:bottom w:val="none" w:sz="0" w:space="0" w:color="auto"/>
                                            <w:right w:val="none" w:sz="0" w:space="0" w:color="auto"/>
                                          </w:divBdr>
                                          <w:divsChild>
                                            <w:div w:id="1774473529">
                                              <w:marLeft w:val="0"/>
                                              <w:marRight w:val="0"/>
                                              <w:marTop w:val="0"/>
                                              <w:marBottom w:val="0"/>
                                              <w:divBdr>
                                                <w:top w:val="none" w:sz="0" w:space="0" w:color="auto"/>
                                                <w:left w:val="none" w:sz="0" w:space="0" w:color="auto"/>
                                                <w:bottom w:val="none" w:sz="0" w:space="0" w:color="auto"/>
                                                <w:right w:val="none" w:sz="0" w:space="0" w:color="auto"/>
                                              </w:divBdr>
                                              <w:divsChild>
                                                <w:div w:id="560600035">
                                                  <w:marLeft w:val="0"/>
                                                  <w:marRight w:val="0"/>
                                                  <w:marTop w:val="0"/>
                                                  <w:marBottom w:val="0"/>
                                                  <w:divBdr>
                                                    <w:top w:val="none" w:sz="0" w:space="0" w:color="auto"/>
                                                    <w:left w:val="none" w:sz="0" w:space="0" w:color="auto"/>
                                                    <w:bottom w:val="none" w:sz="0" w:space="0" w:color="auto"/>
                                                    <w:right w:val="none" w:sz="0" w:space="0" w:color="auto"/>
                                                  </w:divBdr>
                                                  <w:divsChild>
                                                    <w:div w:id="765922424">
                                                      <w:marLeft w:val="0"/>
                                                      <w:marRight w:val="0"/>
                                                      <w:marTop w:val="0"/>
                                                      <w:marBottom w:val="0"/>
                                                      <w:divBdr>
                                                        <w:top w:val="none" w:sz="0" w:space="0" w:color="auto"/>
                                                        <w:left w:val="none" w:sz="0" w:space="0" w:color="auto"/>
                                                        <w:bottom w:val="none" w:sz="0" w:space="0" w:color="auto"/>
                                                        <w:right w:val="none" w:sz="0" w:space="0" w:color="auto"/>
                                                      </w:divBdr>
                                                      <w:divsChild>
                                                        <w:div w:id="112290320">
                                                          <w:marLeft w:val="0"/>
                                                          <w:marRight w:val="0"/>
                                                          <w:marTop w:val="0"/>
                                                          <w:marBottom w:val="0"/>
                                                          <w:divBdr>
                                                            <w:top w:val="none" w:sz="0" w:space="0" w:color="auto"/>
                                                            <w:left w:val="none" w:sz="0" w:space="0" w:color="auto"/>
                                                            <w:bottom w:val="none" w:sz="0" w:space="0" w:color="auto"/>
                                                            <w:right w:val="none" w:sz="0" w:space="0" w:color="auto"/>
                                                          </w:divBdr>
                                                        </w:div>
                                                        <w:div w:id="117266862">
                                                          <w:marLeft w:val="0"/>
                                                          <w:marRight w:val="0"/>
                                                          <w:marTop w:val="0"/>
                                                          <w:marBottom w:val="0"/>
                                                          <w:divBdr>
                                                            <w:top w:val="none" w:sz="0" w:space="0" w:color="auto"/>
                                                            <w:left w:val="none" w:sz="0" w:space="0" w:color="auto"/>
                                                            <w:bottom w:val="none" w:sz="0" w:space="0" w:color="auto"/>
                                                            <w:right w:val="none" w:sz="0" w:space="0" w:color="auto"/>
                                                          </w:divBdr>
                                                        </w:div>
                                                        <w:div w:id="185753233">
                                                          <w:marLeft w:val="0"/>
                                                          <w:marRight w:val="0"/>
                                                          <w:marTop w:val="0"/>
                                                          <w:marBottom w:val="0"/>
                                                          <w:divBdr>
                                                            <w:top w:val="none" w:sz="0" w:space="0" w:color="auto"/>
                                                            <w:left w:val="none" w:sz="0" w:space="0" w:color="auto"/>
                                                            <w:bottom w:val="none" w:sz="0" w:space="0" w:color="auto"/>
                                                            <w:right w:val="none" w:sz="0" w:space="0" w:color="auto"/>
                                                          </w:divBdr>
                                                        </w:div>
                                                        <w:div w:id="187305453">
                                                          <w:marLeft w:val="0"/>
                                                          <w:marRight w:val="0"/>
                                                          <w:marTop w:val="0"/>
                                                          <w:marBottom w:val="0"/>
                                                          <w:divBdr>
                                                            <w:top w:val="none" w:sz="0" w:space="0" w:color="auto"/>
                                                            <w:left w:val="none" w:sz="0" w:space="0" w:color="auto"/>
                                                            <w:bottom w:val="none" w:sz="0" w:space="0" w:color="auto"/>
                                                            <w:right w:val="none" w:sz="0" w:space="0" w:color="auto"/>
                                                          </w:divBdr>
                                                        </w:div>
                                                        <w:div w:id="188110519">
                                                          <w:marLeft w:val="0"/>
                                                          <w:marRight w:val="0"/>
                                                          <w:marTop w:val="0"/>
                                                          <w:marBottom w:val="0"/>
                                                          <w:divBdr>
                                                            <w:top w:val="none" w:sz="0" w:space="0" w:color="auto"/>
                                                            <w:left w:val="none" w:sz="0" w:space="0" w:color="auto"/>
                                                            <w:bottom w:val="none" w:sz="0" w:space="0" w:color="auto"/>
                                                            <w:right w:val="none" w:sz="0" w:space="0" w:color="auto"/>
                                                          </w:divBdr>
                                                        </w:div>
                                                        <w:div w:id="198014061">
                                                          <w:marLeft w:val="0"/>
                                                          <w:marRight w:val="0"/>
                                                          <w:marTop w:val="0"/>
                                                          <w:marBottom w:val="0"/>
                                                          <w:divBdr>
                                                            <w:top w:val="none" w:sz="0" w:space="0" w:color="auto"/>
                                                            <w:left w:val="none" w:sz="0" w:space="0" w:color="auto"/>
                                                            <w:bottom w:val="none" w:sz="0" w:space="0" w:color="auto"/>
                                                            <w:right w:val="none" w:sz="0" w:space="0" w:color="auto"/>
                                                          </w:divBdr>
                                                        </w:div>
                                                        <w:div w:id="272398796">
                                                          <w:marLeft w:val="0"/>
                                                          <w:marRight w:val="0"/>
                                                          <w:marTop w:val="0"/>
                                                          <w:marBottom w:val="0"/>
                                                          <w:divBdr>
                                                            <w:top w:val="none" w:sz="0" w:space="0" w:color="auto"/>
                                                            <w:left w:val="none" w:sz="0" w:space="0" w:color="auto"/>
                                                            <w:bottom w:val="none" w:sz="0" w:space="0" w:color="auto"/>
                                                            <w:right w:val="none" w:sz="0" w:space="0" w:color="auto"/>
                                                          </w:divBdr>
                                                        </w:div>
                                                        <w:div w:id="309217562">
                                                          <w:marLeft w:val="0"/>
                                                          <w:marRight w:val="0"/>
                                                          <w:marTop w:val="0"/>
                                                          <w:marBottom w:val="0"/>
                                                          <w:divBdr>
                                                            <w:top w:val="none" w:sz="0" w:space="0" w:color="auto"/>
                                                            <w:left w:val="none" w:sz="0" w:space="0" w:color="auto"/>
                                                            <w:bottom w:val="none" w:sz="0" w:space="0" w:color="auto"/>
                                                            <w:right w:val="none" w:sz="0" w:space="0" w:color="auto"/>
                                                          </w:divBdr>
                                                        </w:div>
                                                        <w:div w:id="321349717">
                                                          <w:marLeft w:val="0"/>
                                                          <w:marRight w:val="0"/>
                                                          <w:marTop w:val="0"/>
                                                          <w:marBottom w:val="0"/>
                                                          <w:divBdr>
                                                            <w:top w:val="none" w:sz="0" w:space="0" w:color="auto"/>
                                                            <w:left w:val="none" w:sz="0" w:space="0" w:color="auto"/>
                                                            <w:bottom w:val="none" w:sz="0" w:space="0" w:color="auto"/>
                                                            <w:right w:val="none" w:sz="0" w:space="0" w:color="auto"/>
                                                          </w:divBdr>
                                                        </w:div>
                                                        <w:div w:id="328025935">
                                                          <w:marLeft w:val="0"/>
                                                          <w:marRight w:val="0"/>
                                                          <w:marTop w:val="0"/>
                                                          <w:marBottom w:val="0"/>
                                                          <w:divBdr>
                                                            <w:top w:val="none" w:sz="0" w:space="0" w:color="auto"/>
                                                            <w:left w:val="none" w:sz="0" w:space="0" w:color="auto"/>
                                                            <w:bottom w:val="none" w:sz="0" w:space="0" w:color="auto"/>
                                                            <w:right w:val="none" w:sz="0" w:space="0" w:color="auto"/>
                                                          </w:divBdr>
                                                        </w:div>
                                                        <w:div w:id="340819926">
                                                          <w:marLeft w:val="0"/>
                                                          <w:marRight w:val="0"/>
                                                          <w:marTop w:val="0"/>
                                                          <w:marBottom w:val="0"/>
                                                          <w:divBdr>
                                                            <w:top w:val="none" w:sz="0" w:space="0" w:color="auto"/>
                                                            <w:left w:val="none" w:sz="0" w:space="0" w:color="auto"/>
                                                            <w:bottom w:val="none" w:sz="0" w:space="0" w:color="auto"/>
                                                            <w:right w:val="none" w:sz="0" w:space="0" w:color="auto"/>
                                                          </w:divBdr>
                                                        </w:div>
                                                        <w:div w:id="344596223">
                                                          <w:marLeft w:val="0"/>
                                                          <w:marRight w:val="0"/>
                                                          <w:marTop w:val="0"/>
                                                          <w:marBottom w:val="0"/>
                                                          <w:divBdr>
                                                            <w:top w:val="none" w:sz="0" w:space="0" w:color="auto"/>
                                                            <w:left w:val="none" w:sz="0" w:space="0" w:color="auto"/>
                                                            <w:bottom w:val="none" w:sz="0" w:space="0" w:color="auto"/>
                                                            <w:right w:val="none" w:sz="0" w:space="0" w:color="auto"/>
                                                          </w:divBdr>
                                                        </w:div>
                                                        <w:div w:id="364133520">
                                                          <w:marLeft w:val="0"/>
                                                          <w:marRight w:val="0"/>
                                                          <w:marTop w:val="0"/>
                                                          <w:marBottom w:val="0"/>
                                                          <w:divBdr>
                                                            <w:top w:val="none" w:sz="0" w:space="0" w:color="auto"/>
                                                            <w:left w:val="none" w:sz="0" w:space="0" w:color="auto"/>
                                                            <w:bottom w:val="none" w:sz="0" w:space="0" w:color="auto"/>
                                                            <w:right w:val="none" w:sz="0" w:space="0" w:color="auto"/>
                                                          </w:divBdr>
                                                        </w:div>
                                                        <w:div w:id="373385936">
                                                          <w:marLeft w:val="0"/>
                                                          <w:marRight w:val="0"/>
                                                          <w:marTop w:val="0"/>
                                                          <w:marBottom w:val="0"/>
                                                          <w:divBdr>
                                                            <w:top w:val="none" w:sz="0" w:space="0" w:color="auto"/>
                                                            <w:left w:val="none" w:sz="0" w:space="0" w:color="auto"/>
                                                            <w:bottom w:val="none" w:sz="0" w:space="0" w:color="auto"/>
                                                            <w:right w:val="none" w:sz="0" w:space="0" w:color="auto"/>
                                                          </w:divBdr>
                                                        </w:div>
                                                        <w:div w:id="379401020">
                                                          <w:marLeft w:val="0"/>
                                                          <w:marRight w:val="0"/>
                                                          <w:marTop w:val="0"/>
                                                          <w:marBottom w:val="0"/>
                                                          <w:divBdr>
                                                            <w:top w:val="none" w:sz="0" w:space="0" w:color="auto"/>
                                                            <w:left w:val="none" w:sz="0" w:space="0" w:color="auto"/>
                                                            <w:bottom w:val="none" w:sz="0" w:space="0" w:color="auto"/>
                                                            <w:right w:val="none" w:sz="0" w:space="0" w:color="auto"/>
                                                          </w:divBdr>
                                                        </w:div>
                                                        <w:div w:id="391580812">
                                                          <w:marLeft w:val="0"/>
                                                          <w:marRight w:val="0"/>
                                                          <w:marTop w:val="0"/>
                                                          <w:marBottom w:val="0"/>
                                                          <w:divBdr>
                                                            <w:top w:val="none" w:sz="0" w:space="0" w:color="auto"/>
                                                            <w:left w:val="none" w:sz="0" w:space="0" w:color="auto"/>
                                                            <w:bottom w:val="none" w:sz="0" w:space="0" w:color="auto"/>
                                                            <w:right w:val="none" w:sz="0" w:space="0" w:color="auto"/>
                                                          </w:divBdr>
                                                        </w:div>
                                                        <w:div w:id="405617592">
                                                          <w:marLeft w:val="0"/>
                                                          <w:marRight w:val="0"/>
                                                          <w:marTop w:val="0"/>
                                                          <w:marBottom w:val="0"/>
                                                          <w:divBdr>
                                                            <w:top w:val="none" w:sz="0" w:space="0" w:color="auto"/>
                                                            <w:left w:val="none" w:sz="0" w:space="0" w:color="auto"/>
                                                            <w:bottom w:val="none" w:sz="0" w:space="0" w:color="auto"/>
                                                            <w:right w:val="none" w:sz="0" w:space="0" w:color="auto"/>
                                                          </w:divBdr>
                                                        </w:div>
                                                        <w:div w:id="411583509">
                                                          <w:marLeft w:val="0"/>
                                                          <w:marRight w:val="0"/>
                                                          <w:marTop w:val="0"/>
                                                          <w:marBottom w:val="0"/>
                                                          <w:divBdr>
                                                            <w:top w:val="none" w:sz="0" w:space="0" w:color="auto"/>
                                                            <w:left w:val="none" w:sz="0" w:space="0" w:color="auto"/>
                                                            <w:bottom w:val="none" w:sz="0" w:space="0" w:color="auto"/>
                                                            <w:right w:val="none" w:sz="0" w:space="0" w:color="auto"/>
                                                          </w:divBdr>
                                                        </w:div>
                                                        <w:div w:id="441875778">
                                                          <w:marLeft w:val="0"/>
                                                          <w:marRight w:val="0"/>
                                                          <w:marTop w:val="0"/>
                                                          <w:marBottom w:val="0"/>
                                                          <w:divBdr>
                                                            <w:top w:val="none" w:sz="0" w:space="0" w:color="auto"/>
                                                            <w:left w:val="none" w:sz="0" w:space="0" w:color="auto"/>
                                                            <w:bottom w:val="none" w:sz="0" w:space="0" w:color="auto"/>
                                                            <w:right w:val="none" w:sz="0" w:space="0" w:color="auto"/>
                                                          </w:divBdr>
                                                        </w:div>
                                                        <w:div w:id="449206690">
                                                          <w:marLeft w:val="0"/>
                                                          <w:marRight w:val="0"/>
                                                          <w:marTop w:val="0"/>
                                                          <w:marBottom w:val="0"/>
                                                          <w:divBdr>
                                                            <w:top w:val="none" w:sz="0" w:space="0" w:color="auto"/>
                                                            <w:left w:val="none" w:sz="0" w:space="0" w:color="auto"/>
                                                            <w:bottom w:val="none" w:sz="0" w:space="0" w:color="auto"/>
                                                            <w:right w:val="none" w:sz="0" w:space="0" w:color="auto"/>
                                                          </w:divBdr>
                                                        </w:div>
                                                        <w:div w:id="457454600">
                                                          <w:marLeft w:val="0"/>
                                                          <w:marRight w:val="0"/>
                                                          <w:marTop w:val="0"/>
                                                          <w:marBottom w:val="0"/>
                                                          <w:divBdr>
                                                            <w:top w:val="none" w:sz="0" w:space="0" w:color="auto"/>
                                                            <w:left w:val="none" w:sz="0" w:space="0" w:color="auto"/>
                                                            <w:bottom w:val="none" w:sz="0" w:space="0" w:color="auto"/>
                                                            <w:right w:val="none" w:sz="0" w:space="0" w:color="auto"/>
                                                          </w:divBdr>
                                                        </w:div>
                                                        <w:div w:id="468330065">
                                                          <w:marLeft w:val="0"/>
                                                          <w:marRight w:val="0"/>
                                                          <w:marTop w:val="0"/>
                                                          <w:marBottom w:val="0"/>
                                                          <w:divBdr>
                                                            <w:top w:val="none" w:sz="0" w:space="0" w:color="auto"/>
                                                            <w:left w:val="none" w:sz="0" w:space="0" w:color="auto"/>
                                                            <w:bottom w:val="none" w:sz="0" w:space="0" w:color="auto"/>
                                                            <w:right w:val="none" w:sz="0" w:space="0" w:color="auto"/>
                                                          </w:divBdr>
                                                        </w:div>
                                                        <w:div w:id="490754273">
                                                          <w:marLeft w:val="0"/>
                                                          <w:marRight w:val="0"/>
                                                          <w:marTop w:val="0"/>
                                                          <w:marBottom w:val="0"/>
                                                          <w:divBdr>
                                                            <w:top w:val="none" w:sz="0" w:space="0" w:color="auto"/>
                                                            <w:left w:val="none" w:sz="0" w:space="0" w:color="auto"/>
                                                            <w:bottom w:val="none" w:sz="0" w:space="0" w:color="auto"/>
                                                            <w:right w:val="none" w:sz="0" w:space="0" w:color="auto"/>
                                                          </w:divBdr>
                                                        </w:div>
                                                        <w:div w:id="505217510">
                                                          <w:marLeft w:val="0"/>
                                                          <w:marRight w:val="0"/>
                                                          <w:marTop w:val="0"/>
                                                          <w:marBottom w:val="0"/>
                                                          <w:divBdr>
                                                            <w:top w:val="none" w:sz="0" w:space="0" w:color="auto"/>
                                                            <w:left w:val="none" w:sz="0" w:space="0" w:color="auto"/>
                                                            <w:bottom w:val="none" w:sz="0" w:space="0" w:color="auto"/>
                                                            <w:right w:val="none" w:sz="0" w:space="0" w:color="auto"/>
                                                          </w:divBdr>
                                                        </w:div>
                                                        <w:div w:id="507987702">
                                                          <w:marLeft w:val="0"/>
                                                          <w:marRight w:val="0"/>
                                                          <w:marTop w:val="0"/>
                                                          <w:marBottom w:val="0"/>
                                                          <w:divBdr>
                                                            <w:top w:val="none" w:sz="0" w:space="0" w:color="auto"/>
                                                            <w:left w:val="none" w:sz="0" w:space="0" w:color="auto"/>
                                                            <w:bottom w:val="none" w:sz="0" w:space="0" w:color="auto"/>
                                                            <w:right w:val="none" w:sz="0" w:space="0" w:color="auto"/>
                                                          </w:divBdr>
                                                        </w:div>
                                                        <w:div w:id="525023928">
                                                          <w:marLeft w:val="0"/>
                                                          <w:marRight w:val="0"/>
                                                          <w:marTop w:val="0"/>
                                                          <w:marBottom w:val="0"/>
                                                          <w:divBdr>
                                                            <w:top w:val="none" w:sz="0" w:space="0" w:color="auto"/>
                                                            <w:left w:val="none" w:sz="0" w:space="0" w:color="auto"/>
                                                            <w:bottom w:val="none" w:sz="0" w:space="0" w:color="auto"/>
                                                            <w:right w:val="none" w:sz="0" w:space="0" w:color="auto"/>
                                                          </w:divBdr>
                                                        </w:div>
                                                        <w:div w:id="526144086">
                                                          <w:marLeft w:val="0"/>
                                                          <w:marRight w:val="0"/>
                                                          <w:marTop w:val="0"/>
                                                          <w:marBottom w:val="0"/>
                                                          <w:divBdr>
                                                            <w:top w:val="none" w:sz="0" w:space="0" w:color="auto"/>
                                                            <w:left w:val="none" w:sz="0" w:space="0" w:color="auto"/>
                                                            <w:bottom w:val="none" w:sz="0" w:space="0" w:color="auto"/>
                                                            <w:right w:val="none" w:sz="0" w:space="0" w:color="auto"/>
                                                          </w:divBdr>
                                                        </w:div>
                                                        <w:div w:id="534660562">
                                                          <w:marLeft w:val="0"/>
                                                          <w:marRight w:val="0"/>
                                                          <w:marTop w:val="0"/>
                                                          <w:marBottom w:val="0"/>
                                                          <w:divBdr>
                                                            <w:top w:val="none" w:sz="0" w:space="0" w:color="auto"/>
                                                            <w:left w:val="none" w:sz="0" w:space="0" w:color="auto"/>
                                                            <w:bottom w:val="none" w:sz="0" w:space="0" w:color="auto"/>
                                                            <w:right w:val="none" w:sz="0" w:space="0" w:color="auto"/>
                                                          </w:divBdr>
                                                        </w:div>
                                                        <w:div w:id="559559821">
                                                          <w:marLeft w:val="0"/>
                                                          <w:marRight w:val="0"/>
                                                          <w:marTop w:val="0"/>
                                                          <w:marBottom w:val="0"/>
                                                          <w:divBdr>
                                                            <w:top w:val="none" w:sz="0" w:space="0" w:color="auto"/>
                                                            <w:left w:val="none" w:sz="0" w:space="0" w:color="auto"/>
                                                            <w:bottom w:val="none" w:sz="0" w:space="0" w:color="auto"/>
                                                            <w:right w:val="none" w:sz="0" w:space="0" w:color="auto"/>
                                                          </w:divBdr>
                                                        </w:div>
                                                        <w:div w:id="587464753">
                                                          <w:marLeft w:val="0"/>
                                                          <w:marRight w:val="0"/>
                                                          <w:marTop w:val="0"/>
                                                          <w:marBottom w:val="0"/>
                                                          <w:divBdr>
                                                            <w:top w:val="none" w:sz="0" w:space="0" w:color="auto"/>
                                                            <w:left w:val="none" w:sz="0" w:space="0" w:color="auto"/>
                                                            <w:bottom w:val="none" w:sz="0" w:space="0" w:color="auto"/>
                                                            <w:right w:val="none" w:sz="0" w:space="0" w:color="auto"/>
                                                          </w:divBdr>
                                                        </w:div>
                                                        <w:div w:id="613947865">
                                                          <w:marLeft w:val="0"/>
                                                          <w:marRight w:val="0"/>
                                                          <w:marTop w:val="0"/>
                                                          <w:marBottom w:val="0"/>
                                                          <w:divBdr>
                                                            <w:top w:val="none" w:sz="0" w:space="0" w:color="auto"/>
                                                            <w:left w:val="none" w:sz="0" w:space="0" w:color="auto"/>
                                                            <w:bottom w:val="none" w:sz="0" w:space="0" w:color="auto"/>
                                                            <w:right w:val="none" w:sz="0" w:space="0" w:color="auto"/>
                                                          </w:divBdr>
                                                        </w:div>
                                                        <w:div w:id="614017758">
                                                          <w:marLeft w:val="0"/>
                                                          <w:marRight w:val="0"/>
                                                          <w:marTop w:val="0"/>
                                                          <w:marBottom w:val="0"/>
                                                          <w:divBdr>
                                                            <w:top w:val="none" w:sz="0" w:space="0" w:color="auto"/>
                                                            <w:left w:val="none" w:sz="0" w:space="0" w:color="auto"/>
                                                            <w:bottom w:val="none" w:sz="0" w:space="0" w:color="auto"/>
                                                            <w:right w:val="none" w:sz="0" w:space="0" w:color="auto"/>
                                                          </w:divBdr>
                                                        </w:div>
                                                        <w:div w:id="689721401">
                                                          <w:marLeft w:val="0"/>
                                                          <w:marRight w:val="0"/>
                                                          <w:marTop w:val="0"/>
                                                          <w:marBottom w:val="0"/>
                                                          <w:divBdr>
                                                            <w:top w:val="none" w:sz="0" w:space="0" w:color="auto"/>
                                                            <w:left w:val="none" w:sz="0" w:space="0" w:color="auto"/>
                                                            <w:bottom w:val="none" w:sz="0" w:space="0" w:color="auto"/>
                                                            <w:right w:val="none" w:sz="0" w:space="0" w:color="auto"/>
                                                          </w:divBdr>
                                                        </w:div>
                                                        <w:div w:id="716315882">
                                                          <w:marLeft w:val="0"/>
                                                          <w:marRight w:val="0"/>
                                                          <w:marTop w:val="0"/>
                                                          <w:marBottom w:val="0"/>
                                                          <w:divBdr>
                                                            <w:top w:val="none" w:sz="0" w:space="0" w:color="auto"/>
                                                            <w:left w:val="none" w:sz="0" w:space="0" w:color="auto"/>
                                                            <w:bottom w:val="none" w:sz="0" w:space="0" w:color="auto"/>
                                                            <w:right w:val="none" w:sz="0" w:space="0" w:color="auto"/>
                                                          </w:divBdr>
                                                        </w:div>
                                                        <w:div w:id="730887212">
                                                          <w:marLeft w:val="0"/>
                                                          <w:marRight w:val="0"/>
                                                          <w:marTop w:val="0"/>
                                                          <w:marBottom w:val="0"/>
                                                          <w:divBdr>
                                                            <w:top w:val="none" w:sz="0" w:space="0" w:color="auto"/>
                                                            <w:left w:val="none" w:sz="0" w:space="0" w:color="auto"/>
                                                            <w:bottom w:val="none" w:sz="0" w:space="0" w:color="auto"/>
                                                            <w:right w:val="none" w:sz="0" w:space="0" w:color="auto"/>
                                                          </w:divBdr>
                                                        </w:div>
                                                        <w:div w:id="734670243">
                                                          <w:marLeft w:val="0"/>
                                                          <w:marRight w:val="0"/>
                                                          <w:marTop w:val="0"/>
                                                          <w:marBottom w:val="0"/>
                                                          <w:divBdr>
                                                            <w:top w:val="none" w:sz="0" w:space="0" w:color="auto"/>
                                                            <w:left w:val="none" w:sz="0" w:space="0" w:color="auto"/>
                                                            <w:bottom w:val="none" w:sz="0" w:space="0" w:color="auto"/>
                                                            <w:right w:val="none" w:sz="0" w:space="0" w:color="auto"/>
                                                          </w:divBdr>
                                                        </w:div>
                                                        <w:div w:id="756098322">
                                                          <w:marLeft w:val="0"/>
                                                          <w:marRight w:val="0"/>
                                                          <w:marTop w:val="0"/>
                                                          <w:marBottom w:val="0"/>
                                                          <w:divBdr>
                                                            <w:top w:val="none" w:sz="0" w:space="0" w:color="auto"/>
                                                            <w:left w:val="none" w:sz="0" w:space="0" w:color="auto"/>
                                                            <w:bottom w:val="none" w:sz="0" w:space="0" w:color="auto"/>
                                                            <w:right w:val="none" w:sz="0" w:space="0" w:color="auto"/>
                                                          </w:divBdr>
                                                        </w:div>
                                                        <w:div w:id="816725712">
                                                          <w:marLeft w:val="0"/>
                                                          <w:marRight w:val="0"/>
                                                          <w:marTop w:val="0"/>
                                                          <w:marBottom w:val="0"/>
                                                          <w:divBdr>
                                                            <w:top w:val="none" w:sz="0" w:space="0" w:color="auto"/>
                                                            <w:left w:val="none" w:sz="0" w:space="0" w:color="auto"/>
                                                            <w:bottom w:val="none" w:sz="0" w:space="0" w:color="auto"/>
                                                            <w:right w:val="none" w:sz="0" w:space="0" w:color="auto"/>
                                                          </w:divBdr>
                                                        </w:div>
                                                        <w:div w:id="827205644">
                                                          <w:marLeft w:val="0"/>
                                                          <w:marRight w:val="0"/>
                                                          <w:marTop w:val="0"/>
                                                          <w:marBottom w:val="0"/>
                                                          <w:divBdr>
                                                            <w:top w:val="none" w:sz="0" w:space="0" w:color="auto"/>
                                                            <w:left w:val="none" w:sz="0" w:space="0" w:color="auto"/>
                                                            <w:bottom w:val="none" w:sz="0" w:space="0" w:color="auto"/>
                                                            <w:right w:val="none" w:sz="0" w:space="0" w:color="auto"/>
                                                          </w:divBdr>
                                                        </w:div>
                                                        <w:div w:id="828985140">
                                                          <w:marLeft w:val="0"/>
                                                          <w:marRight w:val="0"/>
                                                          <w:marTop w:val="0"/>
                                                          <w:marBottom w:val="0"/>
                                                          <w:divBdr>
                                                            <w:top w:val="none" w:sz="0" w:space="0" w:color="auto"/>
                                                            <w:left w:val="none" w:sz="0" w:space="0" w:color="auto"/>
                                                            <w:bottom w:val="none" w:sz="0" w:space="0" w:color="auto"/>
                                                            <w:right w:val="none" w:sz="0" w:space="0" w:color="auto"/>
                                                          </w:divBdr>
                                                        </w:div>
                                                        <w:div w:id="893665953">
                                                          <w:marLeft w:val="0"/>
                                                          <w:marRight w:val="0"/>
                                                          <w:marTop w:val="0"/>
                                                          <w:marBottom w:val="0"/>
                                                          <w:divBdr>
                                                            <w:top w:val="none" w:sz="0" w:space="0" w:color="auto"/>
                                                            <w:left w:val="none" w:sz="0" w:space="0" w:color="auto"/>
                                                            <w:bottom w:val="none" w:sz="0" w:space="0" w:color="auto"/>
                                                            <w:right w:val="none" w:sz="0" w:space="0" w:color="auto"/>
                                                          </w:divBdr>
                                                        </w:div>
                                                        <w:div w:id="908268577">
                                                          <w:marLeft w:val="0"/>
                                                          <w:marRight w:val="0"/>
                                                          <w:marTop w:val="0"/>
                                                          <w:marBottom w:val="0"/>
                                                          <w:divBdr>
                                                            <w:top w:val="none" w:sz="0" w:space="0" w:color="auto"/>
                                                            <w:left w:val="none" w:sz="0" w:space="0" w:color="auto"/>
                                                            <w:bottom w:val="none" w:sz="0" w:space="0" w:color="auto"/>
                                                            <w:right w:val="none" w:sz="0" w:space="0" w:color="auto"/>
                                                          </w:divBdr>
                                                        </w:div>
                                                        <w:div w:id="917010315">
                                                          <w:marLeft w:val="0"/>
                                                          <w:marRight w:val="0"/>
                                                          <w:marTop w:val="0"/>
                                                          <w:marBottom w:val="0"/>
                                                          <w:divBdr>
                                                            <w:top w:val="none" w:sz="0" w:space="0" w:color="auto"/>
                                                            <w:left w:val="none" w:sz="0" w:space="0" w:color="auto"/>
                                                            <w:bottom w:val="none" w:sz="0" w:space="0" w:color="auto"/>
                                                            <w:right w:val="none" w:sz="0" w:space="0" w:color="auto"/>
                                                          </w:divBdr>
                                                        </w:div>
                                                        <w:div w:id="949556671">
                                                          <w:marLeft w:val="0"/>
                                                          <w:marRight w:val="0"/>
                                                          <w:marTop w:val="0"/>
                                                          <w:marBottom w:val="0"/>
                                                          <w:divBdr>
                                                            <w:top w:val="none" w:sz="0" w:space="0" w:color="auto"/>
                                                            <w:left w:val="none" w:sz="0" w:space="0" w:color="auto"/>
                                                            <w:bottom w:val="none" w:sz="0" w:space="0" w:color="auto"/>
                                                            <w:right w:val="none" w:sz="0" w:space="0" w:color="auto"/>
                                                          </w:divBdr>
                                                        </w:div>
                                                        <w:div w:id="958268418">
                                                          <w:marLeft w:val="0"/>
                                                          <w:marRight w:val="0"/>
                                                          <w:marTop w:val="0"/>
                                                          <w:marBottom w:val="0"/>
                                                          <w:divBdr>
                                                            <w:top w:val="none" w:sz="0" w:space="0" w:color="auto"/>
                                                            <w:left w:val="none" w:sz="0" w:space="0" w:color="auto"/>
                                                            <w:bottom w:val="none" w:sz="0" w:space="0" w:color="auto"/>
                                                            <w:right w:val="none" w:sz="0" w:space="0" w:color="auto"/>
                                                          </w:divBdr>
                                                        </w:div>
                                                        <w:div w:id="994071848">
                                                          <w:marLeft w:val="0"/>
                                                          <w:marRight w:val="0"/>
                                                          <w:marTop w:val="0"/>
                                                          <w:marBottom w:val="0"/>
                                                          <w:divBdr>
                                                            <w:top w:val="none" w:sz="0" w:space="0" w:color="auto"/>
                                                            <w:left w:val="none" w:sz="0" w:space="0" w:color="auto"/>
                                                            <w:bottom w:val="none" w:sz="0" w:space="0" w:color="auto"/>
                                                            <w:right w:val="none" w:sz="0" w:space="0" w:color="auto"/>
                                                          </w:divBdr>
                                                        </w:div>
                                                        <w:div w:id="1011837420">
                                                          <w:marLeft w:val="0"/>
                                                          <w:marRight w:val="0"/>
                                                          <w:marTop w:val="0"/>
                                                          <w:marBottom w:val="0"/>
                                                          <w:divBdr>
                                                            <w:top w:val="none" w:sz="0" w:space="0" w:color="auto"/>
                                                            <w:left w:val="none" w:sz="0" w:space="0" w:color="auto"/>
                                                            <w:bottom w:val="none" w:sz="0" w:space="0" w:color="auto"/>
                                                            <w:right w:val="none" w:sz="0" w:space="0" w:color="auto"/>
                                                          </w:divBdr>
                                                        </w:div>
                                                        <w:div w:id="1014267688">
                                                          <w:marLeft w:val="0"/>
                                                          <w:marRight w:val="0"/>
                                                          <w:marTop w:val="0"/>
                                                          <w:marBottom w:val="0"/>
                                                          <w:divBdr>
                                                            <w:top w:val="none" w:sz="0" w:space="0" w:color="auto"/>
                                                            <w:left w:val="none" w:sz="0" w:space="0" w:color="auto"/>
                                                            <w:bottom w:val="none" w:sz="0" w:space="0" w:color="auto"/>
                                                            <w:right w:val="none" w:sz="0" w:space="0" w:color="auto"/>
                                                          </w:divBdr>
                                                        </w:div>
                                                        <w:div w:id="1036202805">
                                                          <w:marLeft w:val="0"/>
                                                          <w:marRight w:val="0"/>
                                                          <w:marTop w:val="0"/>
                                                          <w:marBottom w:val="0"/>
                                                          <w:divBdr>
                                                            <w:top w:val="none" w:sz="0" w:space="0" w:color="auto"/>
                                                            <w:left w:val="none" w:sz="0" w:space="0" w:color="auto"/>
                                                            <w:bottom w:val="none" w:sz="0" w:space="0" w:color="auto"/>
                                                            <w:right w:val="none" w:sz="0" w:space="0" w:color="auto"/>
                                                          </w:divBdr>
                                                        </w:div>
                                                        <w:div w:id="1062220891">
                                                          <w:marLeft w:val="0"/>
                                                          <w:marRight w:val="0"/>
                                                          <w:marTop w:val="0"/>
                                                          <w:marBottom w:val="0"/>
                                                          <w:divBdr>
                                                            <w:top w:val="none" w:sz="0" w:space="0" w:color="auto"/>
                                                            <w:left w:val="none" w:sz="0" w:space="0" w:color="auto"/>
                                                            <w:bottom w:val="none" w:sz="0" w:space="0" w:color="auto"/>
                                                            <w:right w:val="none" w:sz="0" w:space="0" w:color="auto"/>
                                                          </w:divBdr>
                                                        </w:div>
                                                        <w:div w:id="1087190082">
                                                          <w:marLeft w:val="0"/>
                                                          <w:marRight w:val="0"/>
                                                          <w:marTop w:val="0"/>
                                                          <w:marBottom w:val="0"/>
                                                          <w:divBdr>
                                                            <w:top w:val="none" w:sz="0" w:space="0" w:color="auto"/>
                                                            <w:left w:val="none" w:sz="0" w:space="0" w:color="auto"/>
                                                            <w:bottom w:val="none" w:sz="0" w:space="0" w:color="auto"/>
                                                            <w:right w:val="none" w:sz="0" w:space="0" w:color="auto"/>
                                                          </w:divBdr>
                                                        </w:div>
                                                        <w:div w:id="1088964129">
                                                          <w:marLeft w:val="0"/>
                                                          <w:marRight w:val="0"/>
                                                          <w:marTop w:val="0"/>
                                                          <w:marBottom w:val="0"/>
                                                          <w:divBdr>
                                                            <w:top w:val="none" w:sz="0" w:space="0" w:color="auto"/>
                                                            <w:left w:val="none" w:sz="0" w:space="0" w:color="auto"/>
                                                            <w:bottom w:val="none" w:sz="0" w:space="0" w:color="auto"/>
                                                            <w:right w:val="none" w:sz="0" w:space="0" w:color="auto"/>
                                                          </w:divBdr>
                                                        </w:div>
                                                        <w:div w:id="1122385508">
                                                          <w:marLeft w:val="0"/>
                                                          <w:marRight w:val="0"/>
                                                          <w:marTop w:val="0"/>
                                                          <w:marBottom w:val="0"/>
                                                          <w:divBdr>
                                                            <w:top w:val="none" w:sz="0" w:space="0" w:color="auto"/>
                                                            <w:left w:val="none" w:sz="0" w:space="0" w:color="auto"/>
                                                            <w:bottom w:val="none" w:sz="0" w:space="0" w:color="auto"/>
                                                            <w:right w:val="none" w:sz="0" w:space="0" w:color="auto"/>
                                                          </w:divBdr>
                                                        </w:div>
                                                        <w:div w:id="1127889708">
                                                          <w:marLeft w:val="0"/>
                                                          <w:marRight w:val="0"/>
                                                          <w:marTop w:val="0"/>
                                                          <w:marBottom w:val="0"/>
                                                          <w:divBdr>
                                                            <w:top w:val="none" w:sz="0" w:space="0" w:color="auto"/>
                                                            <w:left w:val="none" w:sz="0" w:space="0" w:color="auto"/>
                                                            <w:bottom w:val="none" w:sz="0" w:space="0" w:color="auto"/>
                                                            <w:right w:val="none" w:sz="0" w:space="0" w:color="auto"/>
                                                          </w:divBdr>
                                                        </w:div>
                                                        <w:div w:id="1137840697">
                                                          <w:marLeft w:val="0"/>
                                                          <w:marRight w:val="0"/>
                                                          <w:marTop w:val="0"/>
                                                          <w:marBottom w:val="0"/>
                                                          <w:divBdr>
                                                            <w:top w:val="none" w:sz="0" w:space="0" w:color="auto"/>
                                                            <w:left w:val="none" w:sz="0" w:space="0" w:color="auto"/>
                                                            <w:bottom w:val="none" w:sz="0" w:space="0" w:color="auto"/>
                                                            <w:right w:val="none" w:sz="0" w:space="0" w:color="auto"/>
                                                          </w:divBdr>
                                                        </w:div>
                                                        <w:div w:id="1161578335">
                                                          <w:marLeft w:val="0"/>
                                                          <w:marRight w:val="0"/>
                                                          <w:marTop w:val="0"/>
                                                          <w:marBottom w:val="0"/>
                                                          <w:divBdr>
                                                            <w:top w:val="none" w:sz="0" w:space="0" w:color="auto"/>
                                                            <w:left w:val="none" w:sz="0" w:space="0" w:color="auto"/>
                                                            <w:bottom w:val="none" w:sz="0" w:space="0" w:color="auto"/>
                                                            <w:right w:val="none" w:sz="0" w:space="0" w:color="auto"/>
                                                          </w:divBdr>
                                                        </w:div>
                                                        <w:div w:id="1176381106">
                                                          <w:marLeft w:val="0"/>
                                                          <w:marRight w:val="0"/>
                                                          <w:marTop w:val="0"/>
                                                          <w:marBottom w:val="0"/>
                                                          <w:divBdr>
                                                            <w:top w:val="none" w:sz="0" w:space="0" w:color="auto"/>
                                                            <w:left w:val="none" w:sz="0" w:space="0" w:color="auto"/>
                                                            <w:bottom w:val="none" w:sz="0" w:space="0" w:color="auto"/>
                                                            <w:right w:val="none" w:sz="0" w:space="0" w:color="auto"/>
                                                          </w:divBdr>
                                                        </w:div>
                                                        <w:div w:id="1192691331">
                                                          <w:marLeft w:val="0"/>
                                                          <w:marRight w:val="0"/>
                                                          <w:marTop w:val="0"/>
                                                          <w:marBottom w:val="0"/>
                                                          <w:divBdr>
                                                            <w:top w:val="none" w:sz="0" w:space="0" w:color="auto"/>
                                                            <w:left w:val="none" w:sz="0" w:space="0" w:color="auto"/>
                                                            <w:bottom w:val="none" w:sz="0" w:space="0" w:color="auto"/>
                                                            <w:right w:val="none" w:sz="0" w:space="0" w:color="auto"/>
                                                          </w:divBdr>
                                                        </w:div>
                                                        <w:div w:id="1228880595">
                                                          <w:marLeft w:val="0"/>
                                                          <w:marRight w:val="0"/>
                                                          <w:marTop w:val="0"/>
                                                          <w:marBottom w:val="0"/>
                                                          <w:divBdr>
                                                            <w:top w:val="none" w:sz="0" w:space="0" w:color="auto"/>
                                                            <w:left w:val="none" w:sz="0" w:space="0" w:color="auto"/>
                                                            <w:bottom w:val="none" w:sz="0" w:space="0" w:color="auto"/>
                                                            <w:right w:val="none" w:sz="0" w:space="0" w:color="auto"/>
                                                          </w:divBdr>
                                                        </w:div>
                                                        <w:div w:id="1229413736">
                                                          <w:marLeft w:val="0"/>
                                                          <w:marRight w:val="0"/>
                                                          <w:marTop w:val="0"/>
                                                          <w:marBottom w:val="0"/>
                                                          <w:divBdr>
                                                            <w:top w:val="none" w:sz="0" w:space="0" w:color="auto"/>
                                                            <w:left w:val="none" w:sz="0" w:space="0" w:color="auto"/>
                                                            <w:bottom w:val="none" w:sz="0" w:space="0" w:color="auto"/>
                                                            <w:right w:val="none" w:sz="0" w:space="0" w:color="auto"/>
                                                          </w:divBdr>
                                                        </w:div>
                                                        <w:div w:id="1230069655">
                                                          <w:marLeft w:val="0"/>
                                                          <w:marRight w:val="0"/>
                                                          <w:marTop w:val="0"/>
                                                          <w:marBottom w:val="0"/>
                                                          <w:divBdr>
                                                            <w:top w:val="none" w:sz="0" w:space="0" w:color="auto"/>
                                                            <w:left w:val="none" w:sz="0" w:space="0" w:color="auto"/>
                                                            <w:bottom w:val="none" w:sz="0" w:space="0" w:color="auto"/>
                                                            <w:right w:val="none" w:sz="0" w:space="0" w:color="auto"/>
                                                          </w:divBdr>
                                                        </w:div>
                                                        <w:div w:id="1267352142">
                                                          <w:marLeft w:val="0"/>
                                                          <w:marRight w:val="0"/>
                                                          <w:marTop w:val="0"/>
                                                          <w:marBottom w:val="0"/>
                                                          <w:divBdr>
                                                            <w:top w:val="none" w:sz="0" w:space="0" w:color="auto"/>
                                                            <w:left w:val="none" w:sz="0" w:space="0" w:color="auto"/>
                                                            <w:bottom w:val="none" w:sz="0" w:space="0" w:color="auto"/>
                                                            <w:right w:val="none" w:sz="0" w:space="0" w:color="auto"/>
                                                          </w:divBdr>
                                                        </w:div>
                                                        <w:div w:id="1274435953">
                                                          <w:marLeft w:val="0"/>
                                                          <w:marRight w:val="0"/>
                                                          <w:marTop w:val="0"/>
                                                          <w:marBottom w:val="0"/>
                                                          <w:divBdr>
                                                            <w:top w:val="none" w:sz="0" w:space="0" w:color="auto"/>
                                                            <w:left w:val="none" w:sz="0" w:space="0" w:color="auto"/>
                                                            <w:bottom w:val="none" w:sz="0" w:space="0" w:color="auto"/>
                                                            <w:right w:val="none" w:sz="0" w:space="0" w:color="auto"/>
                                                          </w:divBdr>
                                                        </w:div>
                                                        <w:div w:id="1283994539">
                                                          <w:marLeft w:val="0"/>
                                                          <w:marRight w:val="0"/>
                                                          <w:marTop w:val="0"/>
                                                          <w:marBottom w:val="0"/>
                                                          <w:divBdr>
                                                            <w:top w:val="none" w:sz="0" w:space="0" w:color="auto"/>
                                                            <w:left w:val="none" w:sz="0" w:space="0" w:color="auto"/>
                                                            <w:bottom w:val="none" w:sz="0" w:space="0" w:color="auto"/>
                                                            <w:right w:val="none" w:sz="0" w:space="0" w:color="auto"/>
                                                          </w:divBdr>
                                                        </w:div>
                                                        <w:div w:id="1292397548">
                                                          <w:marLeft w:val="0"/>
                                                          <w:marRight w:val="0"/>
                                                          <w:marTop w:val="0"/>
                                                          <w:marBottom w:val="0"/>
                                                          <w:divBdr>
                                                            <w:top w:val="none" w:sz="0" w:space="0" w:color="auto"/>
                                                            <w:left w:val="none" w:sz="0" w:space="0" w:color="auto"/>
                                                            <w:bottom w:val="none" w:sz="0" w:space="0" w:color="auto"/>
                                                            <w:right w:val="none" w:sz="0" w:space="0" w:color="auto"/>
                                                          </w:divBdr>
                                                        </w:div>
                                                        <w:div w:id="1318074015">
                                                          <w:marLeft w:val="0"/>
                                                          <w:marRight w:val="0"/>
                                                          <w:marTop w:val="0"/>
                                                          <w:marBottom w:val="0"/>
                                                          <w:divBdr>
                                                            <w:top w:val="none" w:sz="0" w:space="0" w:color="auto"/>
                                                            <w:left w:val="none" w:sz="0" w:space="0" w:color="auto"/>
                                                            <w:bottom w:val="none" w:sz="0" w:space="0" w:color="auto"/>
                                                            <w:right w:val="none" w:sz="0" w:space="0" w:color="auto"/>
                                                          </w:divBdr>
                                                        </w:div>
                                                        <w:div w:id="1322998958">
                                                          <w:marLeft w:val="0"/>
                                                          <w:marRight w:val="0"/>
                                                          <w:marTop w:val="0"/>
                                                          <w:marBottom w:val="0"/>
                                                          <w:divBdr>
                                                            <w:top w:val="none" w:sz="0" w:space="0" w:color="auto"/>
                                                            <w:left w:val="none" w:sz="0" w:space="0" w:color="auto"/>
                                                            <w:bottom w:val="none" w:sz="0" w:space="0" w:color="auto"/>
                                                            <w:right w:val="none" w:sz="0" w:space="0" w:color="auto"/>
                                                          </w:divBdr>
                                                        </w:div>
                                                        <w:div w:id="1323007327">
                                                          <w:marLeft w:val="0"/>
                                                          <w:marRight w:val="0"/>
                                                          <w:marTop w:val="0"/>
                                                          <w:marBottom w:val="0"/>
                                                          <w:divBdr>
                                                            <w:top w:val="none" w:sz="0" w:space="0" w:color="auto"/>
                                                            <w:left w:val="none" w:sz="0" w:space="0" w:color="auto"/>
                                                            <w:bottom w:val="none" w:sz="0" w:space="0" w:color="auto"/>
                                                            <w:right w:val="none" w:sz="0" w:space="0" w:color="auto"/>
                                                          </w:divBdr>
                                                        </w:div>
                                                        <w:div w:id="1331366580">
                                                          <w:marLeft w:val="0"/>
                                                          <w:marRight w:val="0"/>
                                                          <w:marTop w:val="0"/>
                                                          <w:marBottom w:val="0"/>
                                                          <w:divBdr>
                                                            <w:top w:val="none" w:sz="0" w:space="0" w:color="auto"/>
                                                            <w:left w:val="none" w:sz="0" w:space="0" w:color="auto"/>
                                                            <w:bottom w:val="none" w:sz="0" w:space="0" w:color="auto"/>
                                                            <w:right w:val="none" w:sz="0" w:space="0" w:color="auto"/>
                                                          </w:divBdr>
                                                        </w:div>
                                                        <w:div w:id="1338459719">
                                                          <w:marLeft w:val="0"/>
                                                          <w:marRight w:val="0"/>
                                                          <w:marTop w:val="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
                                                        <w:div w:id="1392191754">
                                                          <w:marLeft w:val="0"/>
                                                          <w:marRight w:val="0"/>
                                                          <w:marTop w:val="0"/>
                                                          <w:marBottom w:val="0"/>
                                                          <w:divBdr>
                                                            <w:top w:val="none" w:sz="0" w:space="0" w:color="auto"/>
                                                            <w:left w:val="none" w:sz="0" w:space="0" w:color="auto"/>
                                                            <w:bottom w:val="none" w:sz="0" w:space="0" w:color="auto"/>
                                                            <w:right w:val="none" w:sz="0" w:space="0" w:color="auto"/>
                                                          </w:divBdr>
                                                        </w:div>
                                                        <w:div w:id="1402675734">
                                                          <w:marLeft w:val="0"/>
                                                          <w:marRight w:val="0"/>
                                                          <w:marTop w:val="0"/>
                                                          <w:marBottom w:val="0"/>
                                                          <w:divBdr>
                                                            <w:top w:val="none" w:sz="0" w:space="0" w:color="auto"/>
                                                            <w:left w:val="none" w:sz="0" w:space="0" w:color="auto"/>
                                                            <w:bottom w:val="none" w:sz="0" w:space="0" w:color="auto"/>
                                                            <w:right w:val="none" w:sz="0" w:space="0" w:color="auto"/>
                                                          </w:divBdr>
                                                        </w:div>
                                                        <w:div w:id="1415937671">
                                                          <w:marLeft w:val="0"/>
                                                          <w:marRight w:val="0"/>
                                                          <w:marTop w:val="0"/>
                                                          <w:marBottom w:val="0"/>
                                                          <w:divBdr>
                                                            <w:top w:val="none" w:sz="0" w:space="0" w:color="auto"/>
                                                            <w:left w:val="none" w:sz="0" w:space="0" w:color="auto"/>
                                                            <w:bottom w:val="none" w:sz="0" w:space="0" w:color="auto"/>
                                                            <w:right w:val="none" w:sz="0" w:space="0" w:color="auto"/>
                                                          </w:divBdr>
                                                        </w:div>
                                                        <w:div w:id="1430538864">
                                                          <w:marLeft w:val="0"/>
                                                          <w:marRight w:val="0"/>
                                                          <w:marTop w:val="0"/>
                                                          <w:marBottom w:val="0"/>
                                                          <w:divBdr>
                                                            <w:top w:val="none" w:sz="0" w:space="0" w:color="auto"/>
                                                            <w:left w:val="none" w:sz="0" w:space="0" w:color="auto"/>
                                                            <w:bottom w:val="none" w:sz="0" w:space="0" w:color="auto"/>
                                                            <w:right w:val="none" w:sz="0" w:space="0" w:color="auto"/>
                                                          </w:divBdr>
                                                        </w:div>
                                                        <w:div w:id="1452899519">
                                                          <w:marLeft w:val="0"/>
                                                          <w:marRight w:val="0"/>
                                                          <w:marTop w:val="0"/>
                                                          <w:marBottom w:val="0"/>
                                                          <w:divBdr>
                                                            <w:top w:val="none" w:sz="0" w:space="0" w:color="auto"/>
                                                            <w:left w:val="none" w:sz="0" w:space="0" w:color="auto"/>
                                                            <w:bottom w:val="none" w:sz="0" w:space="0" w:color="auto"/>
                                                            <w:right w:val="none" w:sz="0" w:space="0" w:color="auto"/>
                                                          </w:divBdr>
                                                        </w:div>
                                                        <w:div w:id="1484661277">
                                                          <w:marLeft w:val="0"/>
                                                          <w:marRight w:val="0"/>
                                                          <w:marTop w:val="0"/>
                                                          <w:marBottom w:val="0"/>
                                                          <w:divBdr>
                                                            <w:top w:val="none" w:sz="0" w:space="0" w:color="auto"/>
                                                            <w:left w:val="none" w:sz="0" w:space="0" w:color="auto"/>
                                                            <w:bottom w:val="none" w:sz="0" w:space="0" w:color="auto"/>
                                                            <w:right w:val="none" w:sz="0" w:space="0" w:color="auto"/>
                                                          </w:divBdr>
                                                        </w:div>
                                                        <w:div w:id="1497067671">
                                                          <w:marLeft w:val="0"/>
                                                          <w:marRight w:val="0"/>
                                                          <w:marTop w:val="0"/>
                                                          <w:marBottom w:val="0"/>
                                                          <w:divBdr>
                                                            <w:top w:val="none" w:sz="0" w:space="0" w:color="auto"/>
                                                            <w:left w:val="none" w:sz="0" w:space="0" w:color="auto"/>
                                                            <w:bottom w:val="none" w:sz="0" w:space="0" w:color="auto"/>
                                                            <w:right w:val="none" w:sz="0" w:space="0" w:color="auto"/>
                                                          </w:divBdr>
                                                        </w:div>
                                                        <w:div w:id="1503467826">
                                                          <w:marLeft w:val="0"/>
                                                          <w:marRight w:val="0"/>
                                                          <w:marTop w:val="0"/>
                                                          <w:marBottom w:val="0"/>
                                                          <w:divBdr>
                                                            <w:top w:val="none" w:sz="0" w:space="0" w:color="auto"/>
                                                            <w:left w:val="none" w:sz="0" w:space="0" w:color="auto"/>
                                                            <w:bottom w:val="none" w:sz="0" w:space="0" w:color="auto"/>
                                                            <w:right w:val="none" w:sz="0" w:space="0" w:color="auto"/>
                                                          </w:divBdr>
                                                        </w:div>
                                                        <w:div w:id="1548377356">
                                                          <w:marLeft w:val="0"/>
                                                          <w:marRight w:val="0"/>
                                                          <w:marTop w:val="0"/>
                                                          <w:marBottom w:val="0"/>
                                                          <w:divBdr>
                                                            <w:top w:val="none" w:sz="0" w:space="0" w:color="auto"/>
                                                            <w:left w:val="none" w:sz="0" w:space="0" w:color="auto"/>
                                                            <w:bottom w:val="none" w:sz="0" w:space="0" w:color="auto"/>
                                                            <w:right w:val="none" w:sz="0" w:space="0" w:color="auto"/>
                                                          </w:divBdr>
                                                        </w:div>
                                                        <w:div w:id="1577131588">
                                                          <w:marLeft w:val="0"/>
                                                          <w:marRight w:val="0"/>
                                                          <w:marTop w:val="0"/>
                                                          <w:marBottom w:val="0"/>
                                                          <w:divBdr>
                                                            <w:top w:val="none" w:sz="0" w:space="0" w:color="auto"/>
                                                            <w:left w:val="none" w:sz="0" w:space="0" w:color="auto"/>
                                                            <w:bottom w:val="none" w:sz="0" w:space="0" w:color="auto"/>
                                                            <w:right w:val="none" w:sz="0" w:space="0" w:color="auto"/>
                                                          </w:divBdr>
                                                        </w:div>
                                                        <w:div w:id="1602495044">
                                                          <w:marLeft w:val="0"/>
                                                          <w:marRight w:val="0"/>
                                                          <w:marTop w:val="0"/>
                                                          <w:marBottom w:val="0"/>
                                                          <w:divBdr>
                                                            <w:top w:val="none" w:sz="0" w:space="0" w:color="auto"/>
                                                            <w:left w:val="none" w:sz="0" w:space="0" w:color="auto"/>
                                                            <w:bottom w:val="none" w:sz="0" w:space="0" w:color="auto"/>
                                                            <w:right w:val="none" w:sz="0" w:space="0" w:color="auto"/>
                                                          </w:divBdr>
                                                        </w:div>
                                                        <w:div w:id="1743407053">
                                                          <w:marLeft w:val="0"/>
                                                          <w:marRight w:val="0"/>
                                                          <w:marTop w:val="0"/>
                                                          <w:marBottom w:val="0"/>
                                                          <w:divBdr>
                                                            <w:top w:val="none" w:sz="0" w:space="0" w:color="auto"/>
                                                            <w:left w:val="none" w:sz="0" w:space="0" w:color="auto"/>
                                                            <w:bottom w:val="none" w:sz="0" w:space="0" w:color="auto"/>
                                                            <w:right w:val="none" w:sz="0" w:space="0" w:color="auto"/>
                                                          </w:divBdr>
                                                        </w:div>
                                                        <w:div w:id="1772968238">
                                                          <w:marLeft w:val="0"/>
                                                          <w:marRight w:val="0"/>
                                                          <w:marTop w:val="0"/>
                                                          <w:marBottom w:val="0"/>
                                                          <w:divBdr>
                                                            <w:top w:val="none" w:sz="0" w:space="0" w:color="auto"/>
                                                            <w:left w:val="none" w:sz="0" w:space="0" w:color="auto"/>
                                                            <w:bottom w:val="none" w:sz="0" w:space="0" w:color="auto"/>
                                                            <w:right w:val="none" w:sz="0" w:space="0" w:color="auto"/>
                                                          </w:divBdr>
                                                        </w:div>
                                                        <w:div w:id="1799296718">
                                                          <w:marLeft w:val="0"/>
                                                          <w:marRight w:val="0"/>
                                                          <w:marTop w:val="0"/>
                                                          <w:marBottom w:val="0"/>
                                                          <w:divBdr>
                                                            <w:top w:val="none" w:sz="0" w:space="0" w:color="auto"/>
                                                            <w:left w:val="none" w:sz="0" w:space="0" w:color="auto"/>
                                                            <w:bottom w:val="none" w:sz="0" w:space="0" w:color="auto"/>
                                                            <w:right w:val="none" w:sz="0" w:space="0" w:color="auto"/>
                                                          </w:divBdr>
                                                        </w:div>
                                                        <w:div w:id="1801723521">
                                                          <w:marLeft w:val="0"/>
                                                          <w:marRight w:val="0"/>
                                                          <w:marTop w:val="0"/>
                                                          <w:marBottom w:val="0"/>
                                                          <w:divBdr>
                                                            <w:top w:val="none" w:sz="0" w:space="0" w:color="auto"/>
                                                            <w:left w:val="none" w:sz="0" w:space="0" w:color="auto"/>
                                                            <w:bottom w:val="none" w:sz="0" w:space="0" w:color="auto"/>
                                                            <w:right w:val="none" w:sz="0" w:space="0" w:color="auto"/>
                                                          </w:divBdr>
                                                        </w:div>
                                                        <w:div w:id="1813673343">
                                                          <w:marLeft w:val="0"/>
                                                          <w:marRight w:val="0"/>
                                                          <w:marTop w:val="0"/>
                                                          <w:marBottom w:val="0"/>
                                                          <w:divBdr>
                                                            <w:top w:val="none" w:sz="0" w:space="0" w:color="auto"/>
                                                            <w:left w:val="none" w:sz="0" w:space="0" w:color="auto"/>
                                                            <w:bottom w:val="none" w:sz="0" w:space="0" w:color="auto"/>
                                                            <w:right w:val="none" w:sz="0" w:space="0" w:color="auto"/>
                                                          </w:divBdr>
                                                        </w:div>
                                                        <w:div w:id="1851218200">
                                                          <w:marLeft w:val="0"/>
                                                          <w:marRight w:val="0"/>
                                                          <w:marTop w:val="0"/>
                                                          <w:marBottom w:val="0"/>
                                                          <w:divBdr>
                                                            <w:top w:val="none" w:sz="0" w:space="0" w:color="auto"/>
                                                            <w:left w:val="none" w:sz="0" w:space="0" w:color="auto"/>
                                                            <w:bottom w:val="none" w:sz="0" w:space="0" w:color="auto"/>
                                                            <w:right w:val="none" w:sz="0" w:space="0" w:color="auto"/>
                                                          </w:divBdr>
                                                        </w:div>
                                                        <w:div w:id="1860895078">
                                                          <w:marLeft w:val="0"/>
                                                          <w:marRight w:val="0"/>
                                                          <w:marTop w:val="0"/>
                                                          <w:marBottom w:val="0"/>
                                                          <w:divBdr>
                                                            <w:top w:val="none" w:sz="0" w:space="0" w:color="auto"/>
                                                            <w:left w:val="none" w:sz="0" w:space="0" w:color="auto"/>
                                                            <w:bottom w:val="none" w:sz="0" w:space="0" w:color="auto"/>
                                                            <w:right w:val="none" w:sz="0" w:space="0" w:color="auto"/>
                                                          </w:divBdr>
                                                        </w:div>
                                                        <w:div w:id="1868180274">
                                                          <w:marLeft w:val="0"/>
                                                          <w:marRight w:val="0"/>
                                                          <w:marTop w:val="0"/>
                                                          <w:marBottom w:val="0"/>
                                                          <w:divBdr>
                                                            <w:top w:val="none" w:sz="0" w:space="0" w:color="auto"/>
                                                            <w:left w:val="none" w:sz="0" w:space="0" w:color="auto"/>
                                                            <w:bottom w:val="none" w:sz="0" w:space="0" w:color="auto"/>
                                                            <w:right w:val="none" w:sz="0" w:space="0" w:color="auto"/>
                                                          </w:divBdr>
                                                        </w:div>
                                                        <w:div w:id="1913660687">
                                                          <w:marLeft w:val="0"/>
                                                          <w:marRight w:val="0"/>
                                                          <w:marTop w:val="0"/>
                                                          <w:marBottom w:val="0"/>
                                                          <w:divBdr>
                                                            <w:top w:val="none" w:sz="0" w:space="0" w:color="auto"/>
                                                            <w:left w:val="none" w:sz="0" w:space="0" w:color="auto"/>
                                                            <w:bottom w:val="none" w:sz="0" w:space="0" w:color="auto"/>
                                                            <w:right w:val="none" w:sz="0" w:space="0" w:color="auto"/>
                                                          </w:divBdr>
                                                        </w:div>
                                                        <w:div w:id="1918779143">
                                                          <w:marLeft w:val="0"/>
                                                          <w:marRight w:val="0"/>
                                                          <w:marTop w:val="0"/>
                                                          <w:marBottom w:val="0"/>
                                                          <w:divBdr>
                                                            <w:top w:val="none" w:sz="0" w:space="0" w:color="auto"/>
                                                            <w:left w:val="none" w:sz="0" w:space="0" w:color="auto"/>
                                                            <w:bottom w:val="none" w:sz="0" w:space="0" w:color="auto"/>
                                                            <w:right w:val="none" w:sz="0" w:space="0" w:color="auto"/>
                                                          </w:divBdr>
                                                        </w:div>
                                                        <w:div w:id="1930262886">
                                                          <w:marLeft w:val="0"/>
                                                          <w:marRight w:val="0"/>
                                                          <w:marTop w:val="0"/>
                                                          <w:marBottom w:val="0"/>
                                                          <w:divBdr>
                                                            <w:top w:val="none" w:sz="0" w:space="0" w:color="auto"/>
                                                            <w:left w:val="none" w:sz="0" w:space="0" w:color="auto"/>
                                                            <w:bottom w:val="none" w:sz="0" w:space="0" w:color="auto"/>
                                                            <w:right w:val="none" w:sz="0" w:space="0" w:color="auto"/>
                                                          </w:divBdr>
                                                        </w:div>
                                                        <w:div w:id="1936552612">
                                                          <w:marLeft w:val="0"/>
                                                          <w:marRight w:val="0"/>
                                                          <w:marTop w:val="0"/>
                                                          <w:marBottom w:val="0"/>
                                                          <w:divBdr>
                                                            <w:top w:val="none" w:sz="0" w:space="0" w:color="auto"/>
                                                            <w:left w:val="none" w:sz="0" w:space="0" w:color="auto"/>
                                                            <w:bottom w:val="none" w:sz="0" w:space="0" w:color="auto"/>
                                                            <w:right w:val="none" w:sz="0" w:space="0" w:color="auto"/>
                                                          </w:divBdr>
                                                        </w:div>
                                                        <w:div w:id="1949383531">
                                                          <w:marLeft w:val="0"/>
                                                          <w:marRight w:val="0"/>
                                                          <w:marTop w:val="0"/>
                                                          <w:marBottom w:val="0"/>
                                                          <w:divBdr>
                                                            <w:top w:val="none" w:sz="0" w:space="0" w:color="auto"/>
                                                            <w:left w:val="none" w:sz="0" w:space="0" w:color="auto"/>
                                                            <w:bottom w:val="none" w:sz="0" w:space="0" w:color="auto"/>
                                                            <w:right w:val="none" w:sz="0" w:space="0" w:color="auto"/>
                                                          </w:divBdr>
                                                        </w:div>
                                                        <w:div w:id="1959796170">
                                                          <w:marLeft w:val="0"/>
                                                          <w:marRight w:val="0"/>
                                                          <w:marTop w:val="0"/>
                                                          <w:marBottom w:val="0"/>
                                                          <w:divBdr>
                                                            <w:top w:val="none" w:sz="0" w:space="0" w:color="auto"/>
                                                            <w:left w:val="none" w:sz="0" w:space="0" w:color="auto"/>
                                                            <w:bottom w:val="none" w:sz="0" w:space="0" w:color="auto"/>
                                                            <w:right w:val="none" w:sz="0" w:space="0" w:color="auto"/>
                                                          </w:divBdr>
                                                        </w:div>
                                                        <w:div w:id="1961110088">
                                                          <w:marLeft w:val="0"/>
                                                          <w:marRight w:val="0"/>
                                                          <w:marTop w:val="0"/>
                                                          <w:marBottom w:val="0"/>
                                                          <w:divBdr>
                                                            <w:top w:val="none" w:sz="0" w:space="0" w:color="auto"/>
                                                            <w:left w:val="none" w:sz="0" w:space="0" w:color="auto"/>
                                                            <w:bottom w:val="none" w:sz="0" w:space="0" w:color="auto"/>
                                                            <w:right w:val="none" w:sz="0" w:space="0" w:color="auto"/>
                                                          </w:divBdr>
                                                        </w:div>
                                                        <w:div w:id="2003966943">
                                                          <w:marLeft w:val="0"/>
                                                          <w:marRight w:val="0"/>
                                                          <w:marTop w:val="0"/>
                                                          <w:marBottom w:val="0"/>
                                                          <w:divBdr>
                                                            <w:top w:val="none" w:sz="0" w:space="0" w:color="auto"/>
                                                            <w:left w:val="none" w:sz="0" w:space="0" w:color="auto"/>
                                                            <w:bottom w:val="none" w:sz="0" w:space="0" w:color="auto"/>
                                                            <w:right w:val="none" w:sz="0" w:space="0" w:color="auto"/>
                                                          </w:divBdr>
                                                        </w:div>
                                                        <w:div w:id="2025474285">
                                                          <w:marLeft w:val="0"/>
                                                          <w:marRight w:val="0"/>
                                                          <w:marTop w:val="0"/>
                                                          <w:marBottom w:val="0"/>
                                                          <w:divBdr>
                                                            <w:top w:val="none" w:sz="0" w:space="0" w:color="auto"/>
                                                            <w:left w:val="none" w:sz="0" w:space="0" w:color="auto"/>
                                                            <w:bottom w:val="none" w:sz="0" w:space="0" w:color="auto"/>
                                                            <w:right w:val="none" w:sz="0" w:space="0" w:color="auto"/>
                                                          </w:divBdr>
                                                        </w:div>
                                                        <w:div w:id="2058969219">
                                                          <w:marLeft w:val="0"/>
                                                          <w:marRight w:val="0"/>
                                                          <w:marTop w:val="0"/>
                                                          <w:marBottom w:val="0"/>
                                                          <w:divBdr>
                                                            <w:top w:val="none" w:sz="0" w:space="0" w:color="auto"/>
                                                            <w:left w:val="none" w:sz="0" w:space="0" w:color="auto"/>
                                                            <w:bottom w:val="none" w:sz="0" w:space="0" w:color="auto"/>
                                                            <w:right w:val="none" w:sz="0" w:space="0" w:color="auto"/>
                                                          </w:divBdr>
                                                        </w:div>
                                                      </w:divsChild>
                                                    </w:div>
                                                    <w:div w:id="1382441845">
                                                      <w:marLeft w:val="0"/>
                                                      <w:marRight w:val="0"/>
                                                      <w:marTop w:val="0"/>
                                                      <w:marBottom w:val="0"/>
                                                      <w:divBdr>
                                                        <w:top w:val="none" w:sz="0" w:space="0" w:color="auto"/>
                                                        <w:left w:val="none" w:sz="0" w:space="0" w:color="auto"/>
                                                        <w:bottom w:val="none" w:sz="0" w:space="0" w:color="auto"/>
                                                        <w:right w:val="none" w:sz="0" w:space="0" w:color="auto"/>
                                                      </w:divBdr>
                                                    </w:div>
                                                  </w:divsChild>
                                                </w:div>
                                                <w:div w:id="1237669220">
                                                  <w:marLeft w:val="0"/>
                                                  <w:marRight w:val="0"/>
                                                  <w:marTop w:val="0"/>
                                                  <w:marBottom w:val="0"/>
                                                  <w:divBdr>
                                                    <w:top w:val="none" w:sz="0" w:space="0" w:color="auto"/>
                                                    <w:left w:val="none" w:sz="0" w:space="0" w:color="auto"/>
                                                    <w:bottom w:val="none" w:sz="0" w:space="0" w:color="auto"/>
                                                    <w:right w:val="none" w:sz="0" w:space="0" w:color="auto"/>
                                                  </w:divBdr>
                                                  <w:divsChild>
                                                    <w:div w:id="317654582">
                                                      <w:marLeft w:val="0"/>
                                                      <w:marRight w:val="0"/>
                                                      <w:marTop w:val="0"/>
                                                      <w:marBottom w:val="0"/>
                                                      <w:divBdr>
                                                        <w:top w:val="none" w:sz="0" w:space="0" w:color="auto"/>
                                                        <w:left w:val="none" w:sz="0" w:space="0" w:color="auto"/>
                                                        <w:bottom w:val="none" w:sz="0" w:space="0" w:color="auto"/>
                                                        <w:right w:val="none" w:sz="0" w:space="0" w:color="auto"/>
                                                      </w:divBdr>
                                                      <w:divsChild>
                                                        <w:div w:id="26805080">
                                                          <w:marLeft w:val="0"/>
                                                          <w:marRight w:val="0"/>
                                                          <w:marTop w:val="0"/>
                                                          <w:marBottom w:val="0"/>
                                                          <w:divBdr>
                                                            <w:top w:val="none" w:sz="0" w:space="0" w:color="auto"/>
                                                            <w:left w:val="none" w:sz="0" w:space="0" w:color="auto"/>
                                                            <w:bottom w:val="none" w:sz="0" w:space="0" w:color="auto"/>
                                                            <w:right w:val="none" w:sz="0" w:space="0" w:color="auto"/>
                                                          </w:divBdr>
                                                        </w:div>
                                                        <w:div w:id="32465628">
                                                          <w:marLeft w:val="0"/>
                                                          <w:marRight w:val="0"/>
                                                          <w:marTop w:val="0"/>
                                                          <w:marBottom w:val="0"/>
                                                          <w:divBdr>
                                                            <w:top w:val="none" w:sz="0" w:space="0" w:color="auto"/>
                                                            <w:left w:val="none" w:sz="0" w:space="0" w:color="auto"/>
                                                            <w:bottom w:val="none" w:sz="0" w:space="0" w:color="auto"/>
                                                            <w:right w:val="none" w:sz="0" w:space="0" w:color="auto"/>
                                                          </w:divBdr>
                                                        </w:div>
                                                        <w:div w:id="35354250">
                                                          <w:marLeft w:val="0"/>
                                                          <w:marRight w:val="0"/>
                                                          <w:marTop w:val="0"/>
                                                          <w:marBottom w:val="0"/>
                                                          <w:divBdr>
                                                            <w:top w:val="none" w:sz="0" w:space="0" w:color="auto"/>
                                                            <w:left w:val="none" w:sz="0" w:space="0" w:color="auto"/>
                                                            <w:bottom w:val="none" w:sz="0" w:space="0" w:color="auto"/>
                                                            <w:right w:val="none" w:sz="0" w:space="0" w:color="auto"/>
                                                          </w:divBdr>
                                                        </w:div>
                                                        <w:div w:id="36273385">
                                                          <w:marLeft w:val="0"/>
                                                          <w:marRight w:val="0"/>
                                                          <w:marTop w:val="0"/>
                                                          <w:marBottom w:val="0"/>
                                                          <w:divBdr>
                                                            <w:top w:val="none" w:sz="0" w:space="0" w:color="auto"/>
                                                            <w:left w:val="none" w:sz="0" w:space="0" w:color="auto"/>
                                                            <w:bottom w:val="none" w:sz="0" w:space="0" w:color="auto"/>
                                                            <w:right w:val="none" w:sz="0" w:space="0" w:color="auto"/>
                                                          </w:divBdr>
                                                        </w:div>
                                                        <w:div w:id="37556136">
                                                          <w:marLeft w:val="0"/>
                                                          <w:marRight w:val="0"/>
                                                          <w:marTop w:val="0"/>
                                                          <w:marBottom w:val="0"/>
                                                          <w:divBdr>
                                                            <w:top w:val="none" w:sz="0" w:space="0" w:color="auto"/>
                                                            <w:left w:val="none" w:sz="0" w:space="0" w:color="auto"/>
                                                            <w:bottom w:val="none" w:sz="0" w:space="0" w:color="auto"/>
                                                            <w:right w:val="none" w:sz="0" w:space="0" w:color="auto"/>
                                                          </w:divBdr>
                                                        </w:div>
                                                        <w:div w:id="58751662">
                                                          <w:marLeft w:val="0"/>
                                                          <w:marRight w:val="0"/>
                                                          <w:marTop w:val="0"/>
                                                          <w:marBottom w:val="0"/>
                                                          <w:divBdr>
                                                            <w:top w:val="none" w:sz="0" w:space="0" w:color="auto"/>
                                                            <w:left w:val="none" w:sz="0" w:space="0" w:color="auto"/>
                                                            <w:bottom w:val="none" w:sz="0" w:space="0" w:color="auto"/>
                                                            <w:right w:val="none" w:sz="0" w:space="0" w:color="auto"/>
                                                          </w:divBdr>
                                                        </w:div>
                                                        <w:div w:id="98571723">
                                                          <w:marLeft w:val="0"/>
                                                          <w:marRight w:val="0"/>
                                                          <w:marTop w:val="0"/>
                                                          <w:marBottom w:val="0"/>
                                                          <w:divBdr>
                                                            <w:top w:val="none" w:sz="0" w:space="0" w:color="auto"/>
                                                            <w:left w:val="none" w:sz="0" w:space="0" w:color="auto"/>
                                                            <w:bottom w:val="none" w:sz="0" w:space="0" w:color="auto"/>
                                                            <w:right w:val="none" w:sz="0" w:space="0" w:color="auto"/>
                                                          </w:divBdr>
                                                        </w:div>
                                                        <w:div w:id="112944935">
                                                          <w:marLeft w:val="0"/>
                                                          <w:marRight w:val="0"/>
                                                          <w:marTop w:val="0"/>
                                                          <w:marBottom w:val="0"/>
                                                          <w:divBdr>
                                                            <w:top w:val="none" w:sz="0" w:space="0" w:color="auto"/>
                                                            <w:left w:val="none" w:sz="0" w:space="0" w:color="auto"/>
                                                            <w:bottom w:val="none" w:sz="0" w:space="0" w:color="auto"/>
                                                            <w:right w:val="none" w:sz="0" w:space="0" w:color="auto"/>
                                                          </w:divBdr>
                                                        </w:div>
                                                        <w:div w:id="146752988">
                                                          <w:marLeft w:val="0"/>
                                                          <w:marRight w:val="0"/>
                                                          <w:marTop w:val="0"/>
                                                          <w:marBottom w:val="0"/>
                                                          <w:divBdr>
                                                            <w:top w:val="none" w:sz="0" w:space="0" w:color="auto"/>
                                                            <w:left w:val="none" w:sz="0" w:space="0" w:color="auto"/>
                                                            <w:bottom w:val="none" w:sz="0" w:space="0" w:color="auto"/>
                                                            <w:right w:val="none" w:sz="0" w:space="0" w:color="auto"/>
                                                          </w:divBdr>
                                                        </w:div>
                                                        <w:div w:id="160044208">
                                                          <w:marLeft w:val="0"/>
                                                          <w:marRight w:val="0"/>
                                                          <w:marTop w:val="0"/>
                                                          <w:marBottom w:val="0"/>
                                                          <w:divBdr>
                                                            <w:top w:val="none" w:sz="0" w:space="0" w:color="auto"/>
                                                            <w:left w:val="none" w:sz="0" w:space="0" w:color="auto"/>
                                                            <w:bottom w:val="none" w:sz="0" w:space="0" w:color="auto"/>
                                                            <w:right w:val="none" w:sz="0" w:space="0" w:color="auto"/>
                                                          </w:divBdr>
                                                        </w:div>
                                                        <w:div w:id="206112708">
                                                          <w:marLeft w:val="0"/>
                                                          <w:marRight w:val="0"/>
                                                          <w:marTop w:val="0"/>
                                                          <w:marBottom w:val="0"/>
                                                          <w:divBdr>
                                                            <w:top w:val="none" w:sz="0" w:space="0" w:color="auto"/>
                                                            <w:left w:val="none" w:sz="0" w:space="0" w:color="auto"/>
                                                            <w:bottom w:val="none" w:sz="0" w:space="0" w:color="auto"/>
                                                            <w:right w:val="none" w:sz="0" w:space="0" w:color="auto"/>
                                                          </w:divBdr>
                                                        </w:div>
                                                        <w:div w:id="218638345">
                                                          <w:marLeft w:val="0"/>
                                                          <w:marRight w:val="0"/>
                                                          <w:marTop w:val="0"/>
                                                          <w:marBottom w:val="0"/>
                                                          <w:divBdr>
                                                            <w:top w:val="none" w:sz="0" w:space="0" w:color="auto"/>
                                                            <w:left w:val="none" w:sz="0" w:space="0" w:color="auto"/>
                                                            <w:bottom w:val="none" w:sz="0" w:space="0" w:color="auto"/>
                                                            <w:right w:val="none" w:sz="0" w:space="0" w:color="auto"/>
                                                          </w:divBdr>
                                                        </w:div>
                                                        <w:div w:id="279802146">
                                                          <w:marLeft w:val="0"/>
                                                          <w:marRight w:val="0"/>
                                                          <w:marTop w:val="0"/>
                                                          <w:marBottom w:val="0"/>
                                                          <w:divBdr>
                                                            <w:top w:val="none" w:sz="0" w:space="0" w:color="auto"/>
                                                            <w:left w:val="none" w:sz="0" w:space="0" w:color="auto"/>
                                                            <w:bottom w:val="none" w:sz="0" w:space="0" w:color="auto"/>
                                                            <w:right w:val="none" w:sz="0" w:space="0" w:color="auto"/>
                                                          </w:divBdr>
                                                        </w:div>
                                                        <w:div w:id="305400139">
                                                          <w:marLeft w:val="0"/>
                                                          <w:marRight w:val="0"/>
                                                          <w:marTop w:val="0"/>
                                                          <w:marBottom w:val="0"/>
                                                          <w:divBdr>
                                                            <w:top w:val="none" w:sz="0" w:space="0" w:color="auto"/>
                                                            <w:left w:val="none" w:sz="0" w:space="0" w:color="auto"/>
                                                            <w:bottom w:val="none" w:sz="0" w:space="0" w:color="auto"/>
                                                            <w:right w:val="none" w:sz="0" w:space="0" w:color="auto"/>
                                                          </w:divBdr>
                                                        </w:div>
                                                        <w:div w:id="312150222">
                                                          <w:marLeft w:val="0"/>
                                                          <w:marRight w:val="0"/>
                                                          <w:marTop w:val="0"/>
                                                          <w:marBottom w:val="0"/>
                                                          <w:divBdr>
                                                            <w:top w:val="none" w:sz="0" w:space="0" w:color="auto"/>
                                                            <w:left w:val="none" w:sz="0" w:space="0" w:color="auto"/>
                                                            <w:bottom w:val="none" w:sz="0" w:space="0" w:color="auto"/>
                                                            <w:right w:val="none" w:sz="0" w:space="0" w:color="auto"/>
                                                          </w:divBdr>
                                                        </w:div>
                                                        <w:div w:id="337773253">
                                                          <w:marLeft w:val="0"/>
                                                          <w:marRight w:val="0"/>
                                                          <w:marTop w:val="0"/>
                                                          <w:marBottom w:val="0"/>
                                                          <w:divBdr>
                                                            <w:top w:val="none" w:sz="0" w:space="0" w:color="auto"/>
                                                            <w:left w:val="none" w:sz="0" w:space="0" w:color="auto"/>
                                                            <w:bottom w:val="none" w:sz="0" w:space="0" w:color="auto"/>
                                                            <w:right w:val="none" w:sz="0" w:space="0" w:color="auto"/>
                                                          </w:divBdr>
                                                        </w:div>
                                                        <w:div w:id="344600904">
                                                          <w:marLeft w:val="0"/>
                                                          <w:marRight w:val="0"/>
                                                          <w:marTop w:val="0"/>
                                                          <w:marBottom w:val="0"/>
                                                          <w:divBdr>
                                                            <w:top w:val="none" w:sz="0" w:space="0" w:color="auto"/>
                                                            <w:left w:val="none" w:sz="0" w:space="0" w:color="auto"/>
                                                            <w:bottom w:val="none" w:sz="0" w:space="0" w:color="auto"/>
                                                            <w:right w:val="none" w:sz="0" w:space="0" w:color="auto"/>
                                                          </w:divBdr>
                                                        </w:div>
                                                        <w:div w:id="352465876">
                                                          <w:marLeft w:val="0"/>
                                                          <w:marRight w:val="0"/>
                                                          <w:marTop w:val="0"/>
                                                          <w:marBottom w:val="0"/>
                                                          <w:divBdr>
                                                            <w:top w:val="none" w:sz="0" w:space="0" w:color="auto"/>
                                                            <w:left w:val="none" w:sz="0" w:space="0" w:color="auto"/>
                                                            <w:bottom w:val="none" w:sz="0" w:space="0" w:color="auto"/>
                                                            <w:right w:val="none" w:sz="0" w:space="0" w:color="auto"/>
                                                          </w:divBdr>
                                                        </w:div>
                                                        <w:div w:id="366486780">
                                                          <w:marLeft w:val="0"/>
                                                          <w:marRight w:val="0"/>
                                                          <w:marTop w:val="0"/>
                                                          <w:marBottom w:val="0"/>
                                                          <w:divBdr>
                                                            <w:top w:val="none" w:sz="0" w:space="0" w:color="auto"/>
                                                            <w:left w:val="none" w:sz="0" w:space="0" w:color="auto"/>
                                                            <w:bottom w:val="none" w:sz="0" w:space="0" w:color="auto"/>
                                                            <w:right w:val="none" w:sz="0" w:space="0" w:color="auto"/>
                                                          </w:divBdr>
                                                        </w:div>
                                                        <w:div w:id="404881527">
                                                          <w:marLeft w:val="0"/>
                                                          <w:marRight w:val="0"/>
                                                          <w:marTop w:val="0"/>
                                                          <w:marBottom w:val="0"/>
                                                          <w:divBdr>
                                                            <w:top w:val="none" w:sz="0" w:space="0" w:color="auto"/>
                                                            <w:left w:val="none" w:sz="0" w:space="0" w:color="auto"/>
                                                            <w:bottom w:val="none" w:sz="0" w:space="0" w:color="auto"/>
                                                            <w:right w:val="none" w:sz="0" w:space="0" w:color="auto"/>
                                                          </w:divBdr>
                                                        </w:div>
                                                        <w:div w:id="455291297">
                                                          <w:marLeft w:val="0"/>
                                                          <w:marRight w:val="0"/>
                                                          <w:marTop w:val="0"/>
                                                          <w:marBottom w:val="0"/>
                                                          <w:divBdr>
                                                            <w:top w:val="none" w:sz="0" w:space="0" w:color="auto"/>
                                                            <w:left w:val="none" w:sz="0" w:space="0" w:color="auto"/>
                                                            <w:bottom w:val="none" w:sz="0" w:space="0" w:color="auto"/>
                                                            <w:right w:val="none" w:sz="0" w:space="0" w:color="auto"/>
                                                          </w:divBdr>
                                                        </w:div>
                                                        <w:div w:id="460148231">
                                                          <w:marLeft w:val="0"/>
                                                          <w:marRight w:val="0"/>
                                                          <w:marTop w:val="0"/>
                                                          <w:marBottom w:val="0"/>
                                                          <w:divBdr>
                                                            <w:top w:val="none" w:sz="0" w:space="0" w:color="auto"/>
                                                            <w:left w:val="none" w:sz="0" w:space="0" w:color="auto"/>
                                                            <w:bottom w:val="none" w:sz="0" w:space="0" w:color="auto"/>
                                                            <w:right w:val="none" w:sz="0" w:space="0" w:color="auto"/>
                                                          </w:divBdr>
                                                        </w:div>
                                                        <w:div w:id="472719018">
                                                          <w:marLeft w:val="0"/>
                                                          <w:marRight w:val="0"/>
                                                          <w:marTop w:val="0"/>
                                                          <w:marBottom w:val="0"/>
                                                          <w:divBdr>
                                                            <w:top w:val="none" w:sz="0" w:space="0" w:color="auto"/>
                                                            <w:left w:val="none" w:sz="0" w:space="0" w:color="auto"/>
                                                            <w:bottom w:val="none" w:sz="0" w:space="0" w:color="auto"/>
                                                            <w:right w:val="none" w:sz="0" w:space="0" w:color="auto"/>
                                                          </w:divBdr>
                                                        </w:div>
                                                        <w:div w:id="485319987">
                                                          <w:marLeft w:val="0"/>
                                                          <w:marRight w:val="0"/>
                                                          <w:marTop w:val="0"/>
                                                          <w:marBottom w:val="0"/>
                                                          <w:divBdr>
                                                            <w:top w:val="none" w:sz="0" w:space="0" w:color="auto"/>
                                                            <w:left w:val="none" w:sz="0" w:space="0" w:color="auto"/>
                                                            <w:bottom w:val="none" w:sz="0" w:space="0" w:color="auto"/>
                                                            <w:right w:val="none" w:sz="0" w:space="0" w:color="auto"/>
                                                          </w:divBdr>
                                                        </w:div>
                                                        <w:div w:id="522281405">
                                                          <w:marLeft w:val="0"/>
                                                          <w:marRight w:val="0"/>
                                                          <w:marTop w:val="0"/>
                                                          <w:marBottom w:val="0"/>
                                                          <w:divBdr>
                                                            <w:top w:val="none" w:sz="0" w:space="0" w:color="auto"/>
                                                            <w:left w:val="none" w:sz="0" w:space="0" w:color="auto"/>
                                                            <w:bottom w:val="none" w:sz="0" w:space="0" w:color="auto"/>
                                                            <w:right w:val="none" w:sz="0" w:space="0" w:color="auto"/>
                                                          </w:divBdr>
                                                        </w:div>
                                                        <w:div w:id="547958934">
                                                          <w:marLeft w:val="0"/>
                                                          <w:marRight w:val="0"/>
                                                          <w:marTop w:val="0"/>
                                                          <w:marBottom w:val="0"/>
                                                          <w:divBdr>
                                                            <w:top w:val="none" w:sz="0" w:space="0" w:color="auto"/>
                                                            <w:left w:val="none" w:sz="0" w:space="0" w:color="auto"/>
                                                            <w:bottom w:val="none" w:sz="0" w:space="0" w:color="auto"/>
                                                            <w:right w:val="none" w:sz="0" w:space="0" w:color="auto"/>
                                                          </w:divBdr>
                                                        </w:div>
                                                        <w:div w:id="568688584">
                                                          <w:marLeft w:val="0"/>
                                                          <w:marRight w:val="0"/>
                                                          <w:marTop w:val="0"/>
                                                          <w:marBottom w:val="0"/>
                                                          <w:divBdr>
                                                            <w:top w:val="none" w:sz="0" w:space="0" w:color="auto"/>
                                                            <w:left w:val="none" w:sz="0" w:space="0" w:color="auto"/>
                                                            <w:bottom w:val="none" w:sz="0" w:space="0" w:color="auto"/>
                                                            <w:right w:val="none" w:sz="0" w:space="0" w:color="auto"/>
                                                          </w:divBdr>
                                                        </w:div>
                                                        <w:div w:id="587353795">
                                                          <w:marLeft w:val="0"/>
                                                          <w:marRight w:val="0"/>
                                                          <w:marTop w:val="0"/>
                                                          <w:marBottom w:val="0"/>
                                                          <w:divBdr>
                                                            <w:top w:val="none" w:sz="0" w:space="0" w:color="auto"/>
                                                            <w:left w:val="none" w:sz="0" w:space="0" w:color="auto"/>
                                                            <w:bottom w:val="none" w:sz="0" w:space="0" w:color="auto"/>
                                                            <w:right w:val="none" w:sz="0" w:space="0" w:color="auto"/>
                                                          </w:divBdr>
                                                        </w:div>
                                                        <w:div w:id="637146903">
                                                          <w:marLeft w:val="0"/>
                                                          <w:marRight w:val="0"/>
                                                          <w:marTop w:val="0"/>
                                                          <w:marBottom w:val="0"/>
                                                          <w:divBdr>
                                                            <w:top w:val="none" w:sz="0" w:space="0" w:color="auto"/>
                                                            <w:left w:val="none" w:sz="0" w:space="0" w:color="auto"/>
                                                            <w:bottom w:val="none" w:sz="0" w:space="0" w:color="auto"/>
                                                            <w:right w:val="none" w:sz="0" w:space="0" w:color="auto"/>
                                                          </w:divBdr>
                                                        </w:div>
                                                        <w:div w:id="646395714">
                                                          <w:marLeft w:val="0"/>
                                                          <w:marRight w:val="0"/>
                                                          <w:marTop w:val="0"/>
                                                          <w:marBottom w:val="0"/>
                                                          <w:divBdr>
                                                            <w:top w:val="none" w:sz="0" w:space="0" w:color="auto"/>
                                                            <w:left w:val="none" w:sz="0" w:space="0" w:color="auto"/>
                                                            <w:bottom w:val="none" w:sz="0" w:space="0" w:color="auto"/>
                                                            <w:right w:val="none" w:sz="0" w:space="0" w:color="auto"/>
                                                          </w:divBdr>
                                                        </w:div>
                                                        <w:div w:id="693576281">
                                                          <w:marLeft w:val="0"/>
                                                          <w:marRight w:val="0"/>
                                                          <w:marTop w:val="0"/>
                                                          <w:marBottom w:val="0"/>
                                                          <w:divBdr>
                                                            <w:top w:val="none" w:sz="0" w:space="0" w:color="auto"/>
                                                            <w:left w:val="none" w:sz="0" w:space="0" w:color="auto"/>
                                                            <w:bottom w:val="none" w:sz="0" w:space="0" w:color="auto"/>
                                                            <w:right w:val="none" w:sz="0" w:space="0" w:color="auto"/>
                                                          </w:divBdr>
                                                        </w:div>
                                                        <w:div w:id="704983202">
                                                          <w:marLeft w:val="0"/>
                                                          <w:marRight w:val="0"/>
                                                          <w:marTop w:val="0"/>
                                                          <w:marBottom w:val="0"/>
                                                          <w:divBdr>
                                                            <w:top w:val="none" w:sz="0" w:space="0" w:color="auto"/>
                                                            <w:left w:val="none" w:sz="0" w:space="0" w:color="auto"/>
                                                            <w:bottom w:val="none" w:sz="0" w:space="0" w:color="auto"/>
                                                            <w:right w:val="none" w:sz="0" w:space="0" w:color="auto"/>
                                                          </w:divBdr>
                                                        </w:div>
                                                        <w:div w:id="711729412">
                                                          <w:marLeft w:val="0"/>
                                                          <w:marRight w:val="0"/>
                                                          <w:marTop w:val="0"/>
                                                          <w:marBottom w:val="0"/>
                                                          <w:divBdr>
                                                            <w:top w:val="none" w:sz="0" w:space="0" w:color="auto"/>
                                                            <w:left w:val="none" w:sz="0" w:space="0" w:color="auto"/>
                                                            <w:bottom w:val="none" w:sz="0" w:space="0" w:color="auto"/>
                                                            <w:right w:val="none" w:sz="0" w:space="0" w:color="auto"/>
                                                          </w:divBdr>
                                                        </w:div>
                                                        <w:div w:id="729154034">
                                                          <w:marLeft w:val="0"/>
                                                          <w:marRight w:val="0"/>
                                                          <w:marTop w:val="0"/>
                                                          <w:marBottom w:val="0"/>
                                                          <w:divBdr>
                                                            <w:top w:val="none" w:sz="0" w:space="0" w:color="auto"/>
                                                            <w:left w:val="none" w:sz="0" w:space="0" w:color="auto"/>
                                                            <w:bottom w:val="none" w:sz="0" w:space="0" w:color="auto"/>
                                                            <w:right w:val="none" w:sz="0" w:space="0" w:color="auto"/>
                                                          </w:divBdr>
                                                        </w:div>
                                                        <w:div w:id="734014469">
                                                          <w:marLeft w:val="0"/>
                                                          <w:marRight w:val="0"/>
                                                          <w:marTop w:val="0"/>
                                                          <w:marBottom w:val="0"/>
                                                          <w:divBdr>
                                                            <w:top w:val="none" w:sz="0" w:space="0" w:color="auto"/>
                                                            <w:left w:val="none" w:sz="0" w:space="0" w:color="auto"/>
                                                            <w:bottom w:val="none" w:sz="0" w:space="0" w:color="auto"/>
                                                            <w:right w:val="none" w:sz="0" w:space="0" w:color="auto"/>
                                                          </w:divBdr>
                                                        </w:div>
                                                        <w:div w:id="737170324">
                                                          <w:marLeft w:val="0"/>
                                                          <w:marRight w:val="0"/>
                                                          <w:marTop w:val="0"/>
                                                          <w:marBottom w:val="0"/>
                                                          <w:divBdr>
                                                            <w:top w:val="none" w:sz="0" w:space="0" w:color="auto"/>
                                                            <w:left w:val="none" w:sz="0" w:space="0" w:color="auto"/>
                                                            <w:bottom w:val="none" w:sz="0" w:space="0" w:color="auto"/>
                                                            <w:right w:val="none" w:sz="0" w:space="0" w:color="auto"/>
                                                          </w:divBdr>
                                                        </w:div>
                                                        <w:div w:id="755441735">
                                                          <w:marLeft w:val="0"/>
                                                          <w:marRight w:val="0"/>
                                                          <w:marTop w:val="0"/>
                                                          <w:marBottom w:val="0"/>
                                                          <w:divBdr>
                                                            <w:top w:val="none" w:sz="0" w:space="0" w:color="auto"/>
                                                            <w:left w:val="none" w:sz="0" w:space="0" w:color="auto"/>
                                                            <w:bottom w:val="none" w:sz="0" w:space="0" w:color="auto"/>
                                                            <w:right w:val="none" w:sz="0" w:space="0" w:color="auto"/>
                                                          </w:divBdr>
                                                        </w:div>
                                                        <w:div w:id="771705329">
                                                          <w:marLeft w:val="0"/>
                                                          <w:marRight w:val="0"/>
                                                          <w:marTop w:val="0"/>
                                                          <w:marBottom w:val="0"/>
                                                          <w:divBdr>
                                                            <w:top w:val="none" w:sz="0" w:space="0" w:color="auto"/>
                                                            <w:left w:val="none" w:sz="0" w:space="0" w:color="auto"/>
                                                            <w:bottom w:val="none" w:sz="0" w:space="0" w:color="auto"/>
                                                            <w:right w:val="none" w:sz="0" w:space="0" w:color="auto"/>
                                                          </w:divBdr>
                                                        </w:div>
                                                        <w:div w:id="786315882">
                                                          <w:marLeft w:val="0"/>
                                                          <w:marRight w:val="0"/>
                                                          <w:marTop w:val="0"/>
                                                          <w:marBottom w:val="0"/>
                                                          <w:divBdr>
                                                            <w:top w:val="none" w:sz="0" w:space="0" w:color="auto"/>
                                                            <w:left w:val="none" w:sz="0" w:space="0" w:color="auto"/>
                                                            <w:bottom w:val="none" w:sz="0" w:space="0" w:color="auto"/>
                                                            <w:right w:val="none" w:sz="0" w:space="0" w:color="auto"/>
                                                          </w:divBdr>
                                                        </w:div>
                                                        <w:div w:id="796070964">
                                                          <w:marLeft w:val="0"/>
                                                          <w:marRight w:val="0"/>
                                                          <w:marTop w:val="0"/>
                                                          <w:marBottom w:val="0"/>
                                                          <w:divBdr>
                                                            <w:top w:val="none" w:sz="0" w:space="0" w:color="auto"/>
                                                            <w:left w:val="none" w:sz="0" w:space="0" w:color="auto"/>
                                                            <w:bottom w:val="none" w:sz="0" w:space="0" w:color="auto"/>
                                                            <w:right w:val="none" w:sz="0" w:space="0" w:color="auto"/>
                                                          </w:divBdr>
                                                        </w:div>
                                                        <w:div w:id="819157790">
                                                          <w:marLeft w:val="0"/>
                                                          <w:marRight w:val="0"/>
                                                          <w:marTop w:val="0"/>
                                                          <w:marBottom w:val="0"/>
                                                          <w:divBdr>
                                                            <w:top w:val="none" w:sz="0" w:space="0" w:color="auto"/>
                                                            <w:left w:val="none" w:sz="0" w:space="0" w:color="auto"/>
                                                            <w:bottom w:val="none" w:sz="0" w:space="0" w:color="auto"/>
                                                            <w:right w:val="none" w:sz="0" w:space="0" w:color="auto"/>
                                                          </w:divBdr>
                                                        </w:div>
                                                        <w:div w:id="821581023">
                                                          <w:marLeft w:val="0"/>
                                                          <w:marRight w:val="0"/>
                                                          <w:marTop w:val="0"/>
                                                          <w:marBottom w:val="0"/>
                                                          <w:divBdr>
                                                            <w:top w:val="none" w:sz="0" w:space="0" w:color="auto"/>
                                                            <w:left w:val="none" w:sz="0" w:space="0" w:color="auto"/>
                                                            <w:bottom w:val="none" w:sz="0" w:space="0" w:color="auto"/>
                                                            <w:right w:val="none" w:sz="0" w:space="0" w:color="auto"/>
                                                          </w:divBdr>
                                                        </w:div>
                                                        <w:div w:id="844366358">
                                                          <w:marLeft w:val="0"/>
                                                          <w:marRight w:val="0"/>
                                                          <w:marTop w:val="0"/>
                                                          <w:marBottom w:val="0"/>
                                                          <w:divBdr>
                                                            <w:top w:val="none" w:sz="0" w:space="0" w:color="auto"/>
                                                            <w:left w:val="none" w:sz="0" w:space="0" w:color="auto"/>
                                                            <w:bottom w:val="none" w:sz="0" w:space="0" w:color="auto"/>
                                                            <w:right w:val="none" w:sz="0" w:space="0" w:color="auto"/>
                                                          </w:divBdr>
                                                        </w:div>
                                                        <w:div w:id="871572089">
                                                          <w:marLeft w:val="0"/>
                                                          <w:marRight w:val="0"/>
                                                          <w:marTop w:val="0"/>
                                                          <w:marBottom w:val="0"/>
                                                          <w:divBdr>
                                                            <w:top w:val="none" w:sz="0" w:space="0" w:color="auto"/>
                                                            <w:left w:val="none" w:sz="0" w:space="0" w:color="auto"/>
                                                            <w:bottom w:val="none" w:sz="0" w:space="0" w:color="auto"/>
                                                            <w:right w:val="none" w:sz="0" w:space="0" w:color="auto"/>
                                                          </w:divBdr>
                                                        </w:div>
                                                        <w:div w:id="873543466">
                                                          <w:marLeft w:val="0"/>
                                                          <w:marRight w:val="0"/>
                                                          <w:marTop w:val="0"/>
                                                          <w:marBottom w:val="0"/>
                                                          <w:divBdr>
                                                            <w:top w:val="none" w:sz="0" w:space="0" w:color="auto"/>
                                                            <w:left w:val="none" w:sz="0" w:space="0" w:color="auto"/>
                                                            <w:bottom w:val="none" w:sz="0" w:space="0" w:color="auto"/>
                                                            <w:right w:val="none" w:sz="0" w:space="0" w:color="auto"/>
                                                          </w:divBdr>
                                                        </w:div>
                                                        <w:div w:id="877086161">
                                                          <w:marLeft w:val="0"/>
                                                          <w:marRight w:val="0"/>
                                                          <w:marTop w:val="0"/>
                                                          <w:marBottom w:val="0"/>
                                                          <w:divBdr>
                                                            <w:top w:val="none" w:sz="0" w:space="0" w:color="auto"/>
                                                            <w:left w:val="none" w:sz="0" w:space="0" w:color="auto"/>
                                                            <w:bottom w:val="none" w:sz="0" w:space="0" w:color="auto"/>
                                                            <w:right w:val="none" w:sz="0" w:space="0" w:color="auto"/>
                                                          </w:divBdr>
                                                        </w:div>
                                                        <w:div w:id="912664793">
                                                          <w:marLeft w:val="0"/>
                                                          <w:marRight w:val="0"/>
                                                          <w:marTop w:val="0"/>
                                                          <w:marBottom w:val="0"/>
                                                          <w:divBdr>
                                                            <w:top w:val="none" w:sz="0" w:space="0" w:color="auto"/>
                                                            <w:left w:val="none" w:sz="0" w:space="0" w:color="auto"/>
                                                            <w:bottom w:val="none" w:sz="0" w:space="0" w:color="auto"/>
                                                            <w:right w:val="none" w:sz="0" w:space="0" w:color="auto"/>
                                                          </w:divBdr>
                                                        </w:div>
                                                        <w:div w:id="913389764">
                                                          <w:marLeft w:val="0"/>
                                                          <w:marRight w:val="0"/>
                                                          <w:marTop w:val="0"/>
                                                          <w:marBottom w:val="0"/>
                                                          <w:divBdr>
                                                            <w:top w:val="none" w:sz="0" w:space="0" w:color="auto"/>
                                                            <w:left w:val="none" w:sz="0" w:space="0" w:color="auto"/>
                                                            <w:bottom w:val="none" w:sz="0" w:space="0" w:color="auto"/>
                                                            <w:right w:val="none" w:sz="0" w:space="0" w:color="auto"/>
                                                          </w:divBdr>
                                                        </w:div>
                                                        <w:div w:id="974524052">
                                                          <w:marLeft w:val="0"/>
                                                          <w:marRight w:val="0"/>
                                                          <w:marTop w:val="0"/>
                                                          <w:marBottom w:val="0"/>
                                                          <w:divBdr>
                                                            <w:top w:val="none" w:sz="0" w:space="0" w:color="auto"/>
                                                            <w:left w:val="none" w:sz="0" w:space="0" w:color="auto"/>
                                                            <w:bottom w:val="none" w:sz="0" w:space="0" w:color="auto"/>
                                                            <w:right w:val="none" w:sz="0" w:space="0" w:color="auto"/>
                                                          </w:divBdr>
                                                        </w:div>
                                                        <w:div w:id="989481639">
                                                          <w:marLeft w:val="0"/>
                                                          <w:marRight w:val="0"/>
                                                          <w:marTop w:val="0"/>
                                                          <w:marBottom w:val="0"/>
                                                          <w:divBdr>
                                                            <w:top w:val="none" w:sz="0" w:space="0" w:color="auto"/>
                                                            <w:left w:val="none" w:sz="0" w:space="0" w:color="auto"/>
                                                            <w:bottom w:val="none" w:sz="0" w:space="0" w:color="auto"/>
                                                            <w:right w:val="none" w:sz="0" w:space="0" w:color="auto"/>
                                                          </w:divBdr>
                                                        </w:div>
                                                        <w:div w:id="1018392359">
                                                          <w:marLeft w:val="0"/>
                                                          <w:marRight w:val="0"/>
                                                          <w:marTop w:val="0"/>
                                                          <w:marBottom w:val="0"/>
                                                          <w:divBdr>
                                                            <w:top w:val="none" w:sz="0" w:space="0" w:color="auto"/>
                                                            <w:left w:val="none" w:sz="0" w:space="0" w:color="auto"/>
                                                            <w:bottom w:val="none" w:sz="0" w:space="0" w:color="auto"/>
                                                            <w:right w:val="none" w:sz="0" w:space="0" w:color="auto"/>
                                                          </w:divBdr>
                                                        </w:div>
                                                        <w:div w:id="1033068752">
                                                          <w:marLeft w:val="0"/>
                                                          <w:marRight w:val="0"/>
                                                          <w:marTop w:val="0"/>
                                                          <w:marBottom w:val="0"/>
                                                          <w:divBdr>
                                                            <w:top w:val="none" w:sz="0" w:space="0" w:color="auto"/>
                                                            <w:left w:val="none" w:sz="0" w:space="0" w:color="auto"/>
                                                            <w:bottom w:val="none" w:sz="0" w:space="0" w:color="auto"/>
                                                            <w:right w:val="none" w:sz="0" w:space="0" w:color="auto"/>
                                                          </w:divBdr>
                                                        </w:div>
                                                        <w:div w:id="1038892112">
                                                          <w:marLeft w:val="0"/>
                                                          <w:marRight w:val="0"/>
                                                          <w:marTop w:val="0"/>
                                                          <w:marBottom w:val="0"/>
                                                          <w:divBdr>
                                                            <w:top w:val="none" w:sz="0" w:space="0" w:color="auto"/>
                                                            <w:left w:val="none" w:sz="0" w:space="0" w:color="auto"/>
                                                            <w:bottom w:val="none" w:sz="0" w:space="0" w:color="auto"/>
                                                            <w:right w:val="none" w:sz="0" w:space="0" w:color="auto"/>
                                                          </w:divBdr>
                                                        </w:div>
                                                        <w:div w:id="1045567458">
                                                          <w:marLeft w:val="0"/>
                                                          <w:marRight w:val="0"/>
                                                          <w:marTop w:val="0"/>
                                                          <w:marBottom w:val="0"/>
                                                          <w:divBdr>
                                                            <w:top w:val="none" w:sz="0" w:space="0" w:color="auto"/>
                                                            <w:left w:val="none" w:sz="0" w:space="0" w:color="auto"/>
                                                            <w:bottom w:val="none" w:sz="0" w:space="0" w:color="auto"/>
                                                            <w:right w:val="none" w:sz="0" w:space="0" w:color="auto"/>
                                                          </w:divBdr>
                                                        </w:div>
                                                        <w:div w:id="1046561885">
                                                          <w:marLeft w:val="0"/>
                                                          <w:marRight w:val="0"/>
                                                          <w:marTop w:val="0"/>
                                                          <w:marBottom w:val="0"/>
                                                          <w:divBdr>
                                                            <w:top w:val="none" w:sz="0" w:space="0" w:color="auto"/>
                                                            <w:left w:val="none" w:sz="0" w:space="0" w:color="auto"/>
                                                            <w:bottom w:val="none" w:sz="0" w:space="0" w:color="auto"/>
                                                            <w:right w:val="none" w:sz="0" w:space="0" w:color="auto"/>
                                                          </w:divBdr>
                                                        </w:div>
                                                        <w:div w:id="1048838808">
                                                          <w:marLeft w:val="0"/>
                                                          <w:marRight w:val="0"/>
                                                          <w:marTop w:val="0"/>
                                                          <w:marBottom w:val="0"/>
                                                          <w:divBdr>
                                                            <w:top w:val="none" w:sz="0" w:space="0" w:color="auto"/>
                                                            <w:left w:val="none" w:sz="0" w:space="0" w:color="auto"/>
                                                            <w:bottom w:val="none" w:sz="0" w:space="0" w:color="auto"/>
                                                            <w:right w:val="none" w:sz="0" w:space="0" w:color="auto"/>
                                                          </w:divBdr>
                                                        </w:div>
                                                        <w:div w:id="1051002187">
                                                          <w:marLeft w:val="0"/>
                                                          <w:marRight w:val="0"/>
                                                          <w:marTop w:val="0"/>
                                                          <w:marBottom w:val="0"/>
                                                          <w:divBdr>
                                                            <w:top w:val="none" w:sz="0" w:space="0" w:color="auto"/>
                                                            <w:left w:val="none" w:sz="0" w:space="0" w:color="auto"/>
                                                            <w:bottom w:val="none" w:sz="0" w:space="0" w:color="auto"/>
                                                            <w:right w:val="none" w:sz="0" w:space="0" w:color="auto"/>
                                                          </w:divBdr>
                                                        </w:div>
                                                        <w:div w:id="1087114583">
                                                          <w:marLeft w:val="0"/>
                                                          <w:marRight w:val="0"/>
                                                          <w:marTop w:val="0"/>
                                                          <w:marBottom w:val="0"/>
                                                          <w:divBdr>
                                                            <w:top w:val="none" w:sz="0" w:space="0" w:color="auto"/>
                                                            <w:left w:val="none" w:sz="0" w:space="0" w:color="auto"/>
                                                            <w:bottom w:val="none" w:sz="0" w:space="0" w:color="auto"/>
                                                            <w:right w:val="none" w:sz="0" w:space="0" w:color="auto"/>
                                                          </w:divBdr>
                                                        </w:div>
                                                        <w:div w:id="1094858731">
                                                          <w:marLeft w:val="0"/>
                                                          <w:marRight w:val="0"/>
                                                          <w:marTop w:val="0"/>
                                                          <w:marBottom w:val="0"/>
                                                          <w:divBdr>
                                                            <w:top w:val="none" w:sz="0" w:space="0" w:color="auto"/>
                                                            <w:left w:val="none" w:sz="0" w:space="0" w:color="auto"/>
                                                            <w:bottom w:val="none" w:sz="0" w:space="0" w:color="auto"/>
                                                            <w:right w:val="none" w:sz="0" w:space="0" w:color="auto"/>
                                                          </w:divBdr>
                                                        </w:div>
                                                        <w:div w:id="1106921168">
                                                          <w:marLeft w:val="0"/>
                                                          <w:marRight w:val="0"/>
                                                          <w:marTop w:val="0"/>
                                                          <w:marBottom w:val="0"/>
                                                          <w:divBdr>
                                                            <w:top w:val="none" w:sz="0" w:space="0" w:color="auto"/>
                                                            <w:left w:val="none" w:sz="0" w:space="0" w:color="auto"/>
                                                            <w:bottom w:val="none" w:sz="0" w:space="0" w:color="auto"/>
                                                            <w:right w:val="none" w:sz="0" w:space="0" w:color="auto"/>
                                                          </w:divBdr>
                                                        </w:div>
                                                        <w:div w:id="1115903130">
                                                          <w:marLeft w:val="0"/>
                                                          <w:marRight w:val="0"/>
                                                          <w:marTop w:val="0"/>
                                                          <w:marBottom w:val="0"/>
                                                          <w:divBdr>
                                                            <w:top w:val="none" w:sz="0" w:space="0" w:color="auto"/>
                                                            <w:left w:val="none" w:sz="0" w:space="0" w:color="auto"/>
                                                            <w:bottom w:val="none" w:sz="0" w:space="0" w:color="auto"/>
                                                            <w:right w:val="none" w:sz="0" w:space="0" w:color="auto"/>
                                                          </w:divBdr>
                                                        </w:div>
                                                        <w:div w:id="1149597400">
                                                          <w:marLeft w:val="0"/>
                                                          <w:marRight w:val="0"/>
                                                          <w:marTop w:val="0"/>
                                                          <w:marBottom w:val="0"/>
                                                          <w:divBdr>
                                                            <w:top w:val="none" w:sz="0" w:space="0" w:color="auto"/>
                                                            <w:left w:val="none" w:sz="0" w:space="0" w:color="auto"/>
                                                            <w:bottom w:val="none" w:sz="0" w:space="0" w:color="auto"/>
                                                            <w:right w:val="none" w:sz="0" w:space="0" w:color="auto"/>
                                                          </w:divBdr>
                                                        </w:div>
                                                        <w:div w:id="1151870696">
                                                          <w:marLeft w:val="0"/>
                                                          <w:marRight w:val="0"/>
                                                          <w:marTop w:val="0"/>
                                                          <w:marBottom w:val="0"/>
                                                          <w:divBdr>
                                                            <w:top w:val="none" w:sz="0" w:space="0" w:color="auto"/>
                                                            <w:left w:val="none" w:sz="0" w:space="0" w:color="auto"/>
                                                            <w:bottom w:val="none" w:sz="0" w:space="0" w:color="auto"/>
                                                            <w:right w:val="none" w:sz="0" w:space="0" w:color="auto"/>
                                                          </w:divBdr>
                                                        </w:div>
                                                        <w:div w:id="1152911003">
                                                          <w:marLeft w:val="0"/>
                                                          <w:marRight w:val="0"/>
                                                          <w:marTop w:val="0"/>
                                                          <w:marBottom w:val="0"/>
                                                          <w:divBdr>
                                                            <w:top w:val="none" w:sz="0" w:space="0" w:color="auto"/>
                                                            <w:left w:val="none" w:sz="0" w:space="0" w:color="auto"/>
                                                            <w:bottom w:val="none" w:sz="0" w:space="0" w:color="auto"/>
                                                            <w:right w:val="none" w:sz="0" w:space="0" w:color="auto"/>
                                                          </w:divBdr>
                                                        </w:div>
                                                        <w:div w:id="1189414510">
                                                          <w:marLeft w:val="0"/>
                                                          <w:marRight w:val="0"/>
                                                          <w:marTop w:val="0"/>
                                                          <w:marBottom w:val="0"/>
                                                          <w:divBdr>
                                                            <w:top w:val="none" w:sz="0" w:space="0" w:color="auto"/>
                                                            <w:left w:val="none" w:sz="0" w:space="0" w:color="auto"/>
                                                            <w:bottom w:val="none" w:sz="0" w:space="0" w:color="auto"/>
                                                            <w:right w:val="none" w:sz="0" w:space="0" w:color="auto"/>
                                                          </w:divBdr>
                                                        </w:div>
                                                        <w:div w:id="1241451043">
                                                          <w:marLeft w:val="0"/>
                                                          <w:marRight w:val="0"/>
                                                          <w:marTop w:val="0"/>
                                                          <w:marBottom w:val="0"/>
                                                          <w:divBdr>
                                                            <w:top w:val="none" w:sz="0" w:space="0" w:color="auto"/>
                                                            <w:left w:val="none" w:sz="0" w:space="0" w:color="auto"/>
                                                            <w:bottom w:val="none" w:sz="0" w:space="0" w:color="auto"/>
                                                            <w:right w:val="none" w:sz="0" w:space="0" w:color="auto"/>
                                                          </w:divBdr>
                                                        </w:div>
                                                        <w:div w:id="1273517880">
                                                          <w:marLeft w:val="0"/>
                                                          <w:marRight w:val="0"/>
                                                          <w:marTop w:val="0"/>
                                                          <w:marBottom w:val="0"/>
                                                          <w:divBdr>
                                                            <w:top w:val="none" w:sz="0" w:space="0" w:color="auto"/>
                                                            <w:left w:val="none" w:sz="0" w:space="0" w:color="auto"/>
                                                            <w:bottom w:val="none" w:sz="0" w:space="0" w:color="auto"/>
                                                            <w:right w:val="none" w:sz="0" w:space="0" w:color="auto"/>
                                                          </w:divBdr>
                                                        </w:div>
                                                        <w:div w:id="1296906652">
                                                          <w:marLeft w:val="0"/>
                                                          <w:marRight w:val="0"/>
                                                          <w:marTop w:val="0"/>
                                                          <w:marBottom w:val="0"/>
                                                          <w:divBdr>
                                                            <w:top w:val="none" w:sz="0" w:space="0" w:color="auto"/>
                                                            <w:left w:val="none" w:sz="0" w:space="0" w:color="auto"/>
                                                            <w:bottom w:val="none" w:sz="0" w:space="0" w:color="auto"/>
                                                            <w:right w:val="none" w:sz="0" w:space="0" w:color="auto"/>
                                                          </w:divBdr>
                                                        </w:div>
                                                        <w:div w:id="1310356960">
                                                          <w:marLeft w:val="0"/>
                                                          <w:marRight w:val="0"/>
                                                          <w:marTop w:val="0"/>
                                                          <w:marBottom w:val="0"/>
                                                          <w:divBdr>
                                                            <w:top w:val="none" w:sz="0" w:space="0" w:color="auto"/>
                                                            <w:left w:val="none" w:sz="0" w:space="0" w:color="auto"/>
                                                            <w:bottom w:val="none" w:sz="0" w:space="0" w:color="auto"/>
                                                            <w:right w:val="none" w:sz="0" w:space="0" w:color="auto"/>
                                                          </w:divBdr>
                                                        </w:div>
                                                        <w:div w:id="1311133989">
                                                          <w:marLeft w:val="0"/>
                                                          <w:marRight w:val="0"/>
                                                          <w:marTop w:val="0"/>
                                                          <w:marBottom w:val="0"/>
                                                          <w:divBdr>
                                                            <w:top w:val="none" w:sz="0" w:space="0" w:color="auto"/>
                                                            <w:left w:val="none" w:sz="0" w:space="0" w:color="auto"/>
                                                            <w:bottom w:val="none" w:sz="0" w:space="0" w:color="auto"/>
                                                            <w:right w:val="none" w:sz="0" w:space="0" w:color="auto"/>
                                                          </w:divBdr>
                                                        </w:div>
                                                        <w:div w:id="1336961988">
                                                          <w:marLeft w:val="0"/>
                                                          <w:marRight w:val="0"/>
                                                          <w:marTop w:val="0"/>
                                                          <w:marBottom w:val="0"/>
                                                          <w:divBdr>
                                                            <w:top w:val="none" w:sz="0" w:space="0" w:color="auto"/>
                                                            <w:left w:val="none" w:sz="0" w:space="0" w:color="auto"/>
                                                            <w:bottom w:val="none" w:sz="0" w:space="0" w:color="auto"/>
                                                            <w:right w:val="none" w:sz="0" w:space="0" w:color="auto"/>
                                                          </w:divBdr>
                                                        </w:div>
                                                        <w:div w:id="1362971768">
                                                          <w:marLeft w:val="0"/>
                                                          <w:marRight w:val="0"/>
                                                          <w:marTop w:val="0"/>
                                                          <w:marBottom w:val="0"/>
                                                          <w:divBdr>
                                                            <w:top w:val="none" w:sz="0" w:space="0" w:color="auto"/>
                                                            <w:left w:val="none" w:sz="0" w:space="0" w:color="auto"/>
                                                            <w:bottom w:val="none" w:sz="0" w:space="0" w:color="auto"/>
                                                            <w:right w:val="none" w:sz="0" w:space="0" w:color="auto"/>
                                                          </w:divBdr>
                                                        </w:div>
                                                        <w:div w:id="1379089395">
                                                          <w:marLeft w:val="0"/>
                                                          <w:marRight w:val="0"/>
                                                          <w:marTop w:val="0"/>
                                                          <w:marBottom w:val="0"/>
                                                          <w:divBdr>
                                                            <w:top w:val="none" w:sz="0" w:space="0" w:color="auto"/>
                                                            <w:left w:val="none" w:sz="0" w:space="0" w:color="auto"/>
                                                            <w:bottom w:val="none" w:sz="0" w:space="0" w:color="auto"/>
                                                            <w:right w:val="none" w:sz="0" w:space="0" w:color="auto"/>
                                                          </w:divBdr>
                                                        </w:div>
                                                        <w:div w:id="1456633186">
                                                          <w:marLeft w:val="0"/>
                                                          <w:marRight w:val="0"/>
                                                          <w:marTop w:val="0"/>
                                                          <w:marBottom w:val="0"/>
                                                          <w:divBdr>
                                                            <w:top w:val="none" w:sz="0" w:space="0" w:color="auto"/>
                                                            <w:left w:val="none" w:sz="0" w:space="0" w:color="auto"/>
                                                            <w:bottom w:val="none" w:sz="0" w:space="0" w:color="auto"/>
                                                            <w:right w:val="none" w:sz="0" w:space="0" w:color="auto"/>
                                                          </w:divBdr>
                                                        </w:div>
                                                        <w:div w:id="1472138726">
                                                          <w:marLeft w:val="0"/>
                                                          <w:marRight w:val="0"/>
                                                          <w:marTop w:val="0"/>
                                                          <w:marBottom w:val="0"/>
                                                          <w:divBdr>
                                                            <w:top w:val="none" w:sz="0" w:space="0" w:color="auto"/>
                                                            <w:left w:val="none" w:sz="0" w:space="0" w:color="auto"/>
                                                            <w:bottom w:val="none" w:sz="0" w:space="0" w:color="auto"/>
                                                            <w:right w:val="none" w:sz="0" w:space="0" w:color="auto"/>
                                                          </w:divBdr>
                                                        </w:div>
                                                        <w:div w:id="1475174162">
                                                          <w:marLeft w:val="0"/>
                                                          <w:marRight w:val="0"/>
                                                          <w:marTop w:val="0"/>
                                                          <w:marBottom w:val="0"/>
                                                          <w:divBdr>
                                                            <w:top w:val="none" w:sz="0" w:space="0" w:color="auto"/>
                                                            <w:left w:val="none" w:sz="0" w:space="0" w:color="auto"/>
                                                            <w:bottom w:val="none" w:sz="0" w:space="0" w:color="auto"/>
                                                            <w:right w:val="none" w:sz="0" w:space="0" w:color="auto"/>
                                                          </w:divBdr>
                                                        </w:div>
                                                        <w:div w:id="1475567013">
                                                          <w:marLeft w:val="0"/>
                                                          <w:marRight w:val="0"/>
                                                          <w:marTop w:val="0"/>
                                                          <w:marBottom w:val="0"/>
                                                          <w:divBdr>
                                                            <w:top w:val="none" w:sz="0" w:space="0" w:color="auto"/>
                                                            <w:left w:val="none" w:sz="0" w:space="0" w:color="auto"/>
                                                            <w:bottom w:val="none" w:sz="0" w:space="0" w:color="auto"/>
                                                            <w:right w:val="none" w:sz="0" w:space="0" w:color="auto"/>
                                                          </w:divBdr>
                                                        </w:div>
                                                        <w:div w:id="1489592943">
                                                          <w:marLeft w:val="0"/>
                                                          <w:marRight w:val="0"/>
                                                          <w:marTop w:val="0"/>
                                                          <w:marBottom w:val="0"/>
                                                          <w:divBdr>
                                                            <w:top w:val="none" w:sz="0" w:space="0" w:color="auto"/>
                                                            <w:left w:val="none" w:sz="0" w:space="0" w:color="auto"/>
                                                            <w:bottom w:val="none" w:sz="0" w:space="0" w:color="auto"/>
                                                            <w:right w:val="none" w:sz="0" w:space="0" w:color="auto"/>
                                                          </w:divBdr>
                                                        </w:div>
                                                        <w:div w:id="1528955388">
                                                          <w:marLeft w:val="0"/>
                                                          <w:marRight w:val="0"/>
                                                          <w:marTop w:val="0"/>
                                                          <w:marBottom w:val="0"/>
                                                          <w:divBdr>
                                                            <w:top w:val="none" w:sz="0" w:space="0" w:color="auto"/>
                                                            <w:left w:val="none" w:sz="0" w:space="0" w:color="auto"/>
                                                            <w:bottom w:val="none" w:sz="0" w:space="0" w:color="auto"/>
                                                            <w:right w:val="none" w:sz="0" w:space="0" w:color="auto"/>
                                                          </w:divBdr>
                                                        </w:div>
                                                        <w:div w:id="1564833027">
                                                          <w:marLeft w:val="0"/>
                                                          <w:marRight w:val="0"/>
                                                          <w:marTop w:val="0"/>
                                                          <w:marBottom w:val="0"/>
                                                          <w:divBdr>
                                                            <w:top w:val="none" w:sz="0" w:space="0" w:color="auto"/>
                                                            <w:left w:val="none" w:sz="0" w:space="0" w:color="auto"/>
                                                            <w:bottom w:val="none" w:sz="0" w:space="0" w:color="auto"/>
                                                            <w:right w:val="none" w:sz="0" w:space="0" w:color="auto"/>
                                                          </w:divBdr>
                                                        </w:div>
                                                        <w:div w:id="1597203968">
                                                          <w:marLeft w:val="0"/>
                                                          <w:marRight w:val="0"/>
                                                          <w:marTop w:val="0"/>
                                                          <w:marBottom w:val="0"/>
                                                          <w:divBdr>
                                                            <w:top w:val="none" w:sz="0" w:space="0" w:color="auto"/>
                                                            <w:left w:val="none" w:sz="0" w:space="0" w:color="auto"/>
                                                            <w:bottom w:val="none" w:sz="0" w:space="0" w:color="auto"/>
                                                            <w:right w:val="none" w:sz="0" w:space="0" w:color="auto"/>
                                                          </w:divBdr>
                                                        </w:div>
                                                        <w:div w:id="1606881343">
                                                          <w:marLeft w:val="0"/>
                                                          <w:marRight w:val="0"/>
                                                          <w:marTop w:val="0"/>
                                                          <w:marBottom w:val="0"/>
                                                          <w:divBdr>
                                                            <w:top w:val="none" w:sz="0" w:space="0" w:color="auto"/>
                                                            <w:left w:val="none" w:sz="0" w:space="0" w:color="auto"/>
                                                            <w:bottom w:val="none" w:sz="0" w:space="0" w:color="auto"/>
                                                            <w:right w:val="none" w:sz="0" w:space="0" w:color="auto"/>
                                                          </w:divBdr>
                                                        </w:div>
                                                        <w:div w:id="1655059832">
                                                          <w:marLeft w:val="0"/>
                                                          <w:marRight w:val="0"/>
                                                          <w:marTop w:val="0"/>
                                                          <w:marBottom w:val="0"/>
                                                          <w:divBdr>
                                                            <w:top w:val="none" w:sz="0" w:space="0" w:color="auto"/>
                                                            <w:left w:val="none" w:sz="0" w:space="0" w:color="auto"/>
                                                            <w:bottom w:val="none" w:sz="0" w:space="0" w:color="auto"/>
                                                            <w:right w:val="none" w:sz="0" w:space="0" w:color="auto"/>
                                                          </w:divBdr>
                                                        </w:div>
                                                        <w:div w:id="1664042795">
                                                          <w:marLeft w:val="0"/>
                                                          <w:marRight w:val="0"/>
                                                          <w:marTop w:val="0"/>
                                                          <w:marBottom w:val="0"/>
                                                          <w:divBdr>
                                                            <w:top w:val="none" w:sz="0" w:space="0" w:color="auto"/>
                                                            <w:left w:val="none" w:sz="0" w:space="0" w:color="auto"/>
                                                            <w:bottom w:val="none" w:sz="0" w:space="0" w:color="auto"/>
                                                            <w:right w:val="none" w:sz="0" w:space="0" w:color="auto"/>
                                                          </w:divBdr>
                                                        </w:div>
                                                        <w:div w:id="1677153272">
                                                          <w:marLeft w:val="0"/>
                                                          <w:marRight w:val="0"/>
                                                          <w:marTop w:val="0"/>
                                                          <w:marBottom w:val="0"/>
                                                          <w:divBdr>
                                                            <w:top w:val="none" w:sz="0" w:space="0" w:color="auto"/>
                                                            <w:left w:val="none" w:sz="0" w:space="0" w:color="auto"/>
                                                            <w:bottom w:val="none" w:sz="0" w:space="0" w:color="auto"/>
                                                            <w:right w:val="none" w:sz="0" w:space="0" w:color="auto"/>
                                                          </w:divBdr>
                                                        </w:div>
                                                        <w:div w:id="1717118537">
                                                          <w:marLeft w:val="0"/>
                                                          <w:marRight w:val="0"/>
                                                          <w:marTop w:val="0"/>
                                                          <w:marBottom w:val="0"/>
                                                          <w:divBdr>
                                                            <w:top w:val="none" w:sz="0" w:space="0" w:color="auto"/>
                                                            <w:left w:val="none" w:sz="0" w:space="0" w:color="auto"/>
                                                            <w:bottom w:val="none" w:sz="0" w:space="0" w:color="auto"/>
                                                            <w:right w:val="none" w:sz="0" w:space="0" w:color="auto"/>
                                                          </w:divBdr>
                                                        </w:div>
                                                        <w:div w:id="1720085610">
                                                          <w:marLeft w:val="0"/>
                                                          <w:marRight w:val="0"/>
                                                          <w:marTop w:val="0"/>
                                                          <w:marBottom w:val="0"/>
                                                          <w:divBdr>
                                                            <w:top w:val="none" w:sz="0" w:space="0" w:color="auto"/>
                                                            <w:left w:val="none" w:sz="0" w:space="0" w:color="auto"/>
                                                            <w:bottom w:val="none" w:sz="0" w:space="0" w:color="auto"/>
                                                            <w:right w:val="none" w:sz="0" w:space="0" w:color="auto"/>
                                                          </w:divBdr>
                                                        </w:div>
                                                        <w:div w:id="1778675484">
                                                          <w:marLeft w:val="0"/>
                                                          <w:marRight w:val="0"/>
                                                          <w:marTop w:val="0"/>
                                                          <w:marBottom w:val="0"/>
                                                          <w:divBdr>
                                                            <w:top w:val="none" w:sz="0" w:space="0" w:color="auto"/>
                                                            <w:left w:val="none" w:sz="0" w:space="0" w:color="auto"/>
                                                            <w:bottom w:val="none" w:sz="0" w:space="0" w:color="auto"/>
                                                            <w:right w:val="none" w:sz="0" w:space="0" w:color="auto"/>
                                                          </w:divBdr>
                                                        </w:div>
                                                        <w:div w:id="1836456539">
                                                          <w:marLeft w:val="0"/>
                                                          <w:marRight w:val="0"/>
                                                          <w:marTop w:val="0"/>
                                                          <w:marBottom w:val="0"/>
                                                          <w:divBdr>
                                                            <w:top w:val="none" w:sz="0" w:space="0" w:color="auto"/>
                                                            <w:left w:val="none" w:sz="0" w:space="0" w:color="auto"/>
                                                            <w:bottom w:val="none" w:sz="0" w:space="0" w:color="auto"/>
                                                            <w:right w:val="none" w:sz="0" w:space="0" w:color="auto"/>
                                                          </w:divBdr>
                                                        </w:div>
                                                        <w:div w:id="1883590806">
                                                          <w:marLeft w:val="0"/>
                                                          <w:marRight w:val="0"/>
                                                          <w:marTop w:val="0"/>
                                                          <w:marBottom w:val="0"/>
                                                          <w:divBdr>
                                                            <w:top w:val="none" w:sz="0" w:space="0" w:color="auto"/>
                                                            <w:left w:val="none" w:sz="0" w:space="0" w:color="auto"/>
                                                            <w:bottom w:val="none" w:sz="0" w:space="0" w:color="auto"/>
                                                            <w:right w:val="none" w:sz="0" w:space="0" w:color="auto"/>
                                                          </w:divBdr>
                                                        </w:div>
                                                        <w:div w:id="1909613319">
                                                          <w:marLeft w:val="0"/>
                                                          <w:marRight w:val="0"/>
                                                          <w:marTop w:val="0"/>
                                                          <w:marBottom w:val="0"/>
                                                          <w:divBdr>
                                                            <w:top w:val="none" w:sz="0" w:space="0" w:color="auto"/>
                                                            <w:left w:val="none" w:sz="0" w:space="0" w:color="auto"/>
                                                            <w:bottom w:val="none" w:sz="0" w:space="0" w:color="auto"/>
                                                            <w:right w:val="none" w:sz="0" w:space="0" w:color="auto"/>
                                                          </w:divBdr>
                                                        </w:div>
                                                        <w:div w:id="1941067669">
                                                          <w:marLeft w:val="0"/>
                                                          <w:marRight w:val="0"/>
                                                          <w:marTop w:val="0"/>
                                                          <w:marBottom w:val="0"/>
                                                          <w:divBdr>
                                                            <w:top w:val="none" w:sz="0" w:space="0" w:color="auto"/>
                                                            <w:left w:val="none" w:sz="0" w:space="0" w:color="auto"/>
                                                            <w:bottom w:val="none" w:sz="0" w:space="0" w:color="auto"/>
                                                            <w:right w:val="none" w:sz="0" w:space="0" w:color="auto"/>
                                                          </w:divBdr>
                                                        </w:div>
                                                        <w:div w:id="1945112174">
                                                          <w:marLeft w:val="0"/>
                                                          <w:marRight w:val="0"/>
                                                          <w:marTop w:val="0"/>
                                                          <w:marBottom w:val="0"/>
                                                          <w:divBdr>
                                                            <w:top w:val="none" w:sz="0" w:space="0" w:color="auto"/>
                                                            <w:left w:val="none" w:sz="0" w:space="0" w:color="auto"/>
                                                            <w:bottom w:val="none" w:sz="0" w:space="0" w:color="auto"/>
                                                            <w:right w:val="none" w:sz="0" w:space="0" w:color="auto"/>
                                                          </w:divBdr>
                                                        </w:div>
                                                        <w:div w:id="1981156100">
                                                          <w:marLeft w:val="0"/>
                                                          <w:marRight w:val="0"/>
                                                          <w:marTop w:val="0"/>
                                                          <w:marBottom w:val="0"/>
                                                          <w:divBdr>
                                                            <w:top w:val="none" w:sz="0" w:space="0" w:color="auto"/>
                                                            <w:left w:val="none" w:sz="0" w:space="0" w:color="auto"/>
                                                            <w:bottom w:val="none" w:sz="0" w:space="0" w:color="auto"/>
                                                            <w:right w:val="none" w:sz="0" w:space="0" w:color="auto"/>
                                                          </w:divBdr>
                                                        </w:div>
                                                        <w:div w:id="2006395909">
                                                          <w:marLeft w:val="0"/>
                                                          <w:marRight w:val="0"/>
                                                          <w:marTop w:val="0"/>
                                                          <w:marBottom w:val="0"/>
                                                          <w:divBdr>
                                                            <w:top w:val="none" w:sz="0" w:space="0" w:color="auto"/>
                                                            <w:left w:val="none" w:sz="0" w:space="0" w:color="auto"/>
                                                            <w:bottom w:val="none" w:sz="0" w:space="0" w:color="auto"/>
                                                            <w:right w:val="none" w:sz="0" w:space="0" w:color="auto"/>
                                                          </w:divBdr>
                                                        </w:div>
                                                        <w:div w:id="2031099112">
                                                          <w:marLeft w:val="0"/>
                                                          <w:marRight w:val="0"/>
                                                          <w:marTop w:val="0"/>
                                                          <w:marBottom w:val="0"/>
                                                          <w:divBdr>
                                                            <w:top w:val="none" w:sz="0" w:space="0" w:color="auto"/>
                                                            <w:left w:val="none" w:sz="0" w:space="0" w:color="auto"/>
                                                            <w:bottom w:val="none" w:sz="0" w:space="0" w:color="auto"/>
                                                            <w:right w:val="none" w:sz="0" w:space="0" w:color="auto"/>
                                                          </w:divBdr>
                                                        </w:div>
                                                        <w:div w:id="2036225493">
                                                          <w:marLeft w:val="0"/>
                                                          <w:marRight w:val="0"/>
                                                          <w:marTop w:val="0"/>
                                                          <w:marBottom w:val="0"/>
                                                          <w:divBdr>
                                                            <w:top w:val="none" w:sz="0" w:space="0" w:color="auto"/>
                                                            <w:left w:val="none" w:sz="0" w:space="0" w:color="auto"/>
                                                            <w:bottom w:val="none" w:sz="0" w:space="0" w:color="auto"/>
                                                            <w:right w:val="none" w:sz="0" w:space="0" w:color="auto"/>
                                                          </w:divBdr>
                                                        </w:div>
                                                        <w:div w:id="2105104614">
                                                          <w:marLeft w:val="0"/>
                                                          <w:marRight w:val="0"/>
                                                          <w:marTop w:val="0"/>
                                                          <w:marBottom w:val="0"/>
                                                          <w:divBdr>
                                                            <w:top w:val="none" w:sz="0" w:space="0" w:color="auto"/>
                                                            <w:left w:val="none" w:sz="0" w:space="0" w:color="auto"/>
                                                            <w:bottom w:val="none" w:sz="0" w:space="0" w:color="auto"/>
                                                            <w:right w:val="none" w:sz="0" w:space="0" w:color="auto"/>
                                                          </w:divBdr>
                                                        </w:div>
                                                        <w:div w:id="2115132226">
                                                          <w:marLeft w:val="0"/>
                                                          <w:marRight w:val="0"/>
                                                          <w:marTop w:val="0"/>
                                                          <w:marBottom w:val="0"/>
                                                          <w:divBdr>
                                                            <w:top w:val="none" w:sz="0" w:space="0" w:color="auto"/>
                                                            <w:left w:val="none" w:sz="0" w:space="0" w:color="auto"/>
                                                            <w:bottom w:val="none" w:sz="0" w:space="0" w:color="auto"/>
                                                            <w:right w:val="none" w:sz="0" w:space="0" w:color="auto"/>
                                                          </w:divBdr>
                                                        </w:div>
                                                        <w:div w:id="2136635945">
                                                          <w:marLeft w:val="0"/>
                                                          <w:marRight w:val="0"/>
                                                          <w:marTop w:val="0"/>
                                                          <w:marBottom w:val="0"/>
                                                          <w:divBdr>
                                                            <w:top w:val="none" w:sz="0" w:space="0" w:color="auto"/>
                                                            <w:left w:val="none" w:sz="0" w:space="0" w:color="auto"/>
                                                            <w:bottom w:val="none" w:sz="0" w:space="0" w:color="auto"/>
                                                            <w:right w:val="none" w:sz="0" w:space="0" w:color="auto"/>
                                                          </w:divBdr>
                                                        </w:div>
                                                      </w:divsChild>
                                                    </w:div>
                                                    <w:div w:id="12937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339348">
      <w:bodyDiv w:val="1"/>
      <w:marLeft w:val="0"/>
      <w:marRight w:val="0"/>
      <w:marTop w:val="0"/>
      <w:marBottom w:val="0"/>
      <w:divBdr>
        <w:top w:val="none" w:sz="0" w:space="0" w:color="auto"/>
        <w:left w:val="none" w:sz="0" w:space="0" w:color="auto"/>
        <w:bottom w:val="none" w:sz="0" w:space="0" w:color="auto"/>
        <w:right w:val="none" w:sz="0" w:space="0" w:color="auto"/>
      </w:divBdr>
    </w:div>
    <w:div w:id="636421085">
      <w:bodyDiv w:val="1"/>
      <w:marLeft w:val="0"/>
      <w:marRight w:val="0"/>
      <w:marTop w:val="0"/>
      <w:marBottom w:val="0"/>
      <w:divBdr>
        <w:top w:val="none" w:sz="0" w:space="0" w:color="auto"/>
        <w:left w:val="none" w:sz="0" w:space="0" w:color="auto"/>
        <w:bottom w:val="none" w:sz="0" w:space="0" w:color="auto"/>
        <w:right w:val="none" w:sz="0" w:space="0" w:color="auto"/>
      </w:divBdr>
      <w:divsChild>
        <w:div w:id="1853182436">
          <w:marLeft w:val="0"/>
          <w:marRight w:val="0"/>
          <w:marTop w:val="0"/>
          <w:marBottom w:val="0"/>
          <w:divBdr>
            <w:top w:val="none" w:sz="0" w:space="0" w:color="auto"/>
            <w:left w:val="none" w:sz="0" w:space="0" w:color="auto"/>
            <w:bottom w:val="none" w:sz="0" w:space="0" w:color="auto"/>
            <w:right w:val="none" w:sz="0" w:space="0" w:color="auto"/>
          </w:divBdr>
          <w:divsChild>
            <w:div w:id="1720201032">
              <w:marLeft w:val="0"/>
              <w:marRight w:val="0"/>
              <w:marTop w:val="0"/>
              <w:marBottom w:val="0"/>
              <w:divBdr>
                <w:top w:val="none" w:sz="0" w:space="0" w:color="auto"/>
                <w:left w:val="none" w:sz="0" w:space="0" w:color="auto"/>
                <w:bottom w:val="none" w:sz="0" w:space="0" w:color="auto"/>
                <w:right w:val="none" w:sz="0" w:space="0" w:color="auto"/>
              </w:divBdr>
              <w:divsChild>
                <w:div w:id="1712412470">
                  <w:marLeft w:val="0"/>
                  <w:marRight w:val="0"/>
                  <w:marTop w:val="0"/>
                  <w:marBottom w:val="0"/>
                  <w:divBdr>
                    <w:top w:val="none" w:sz="0" w:space="0" w:color="auto"/>
                    <w:left w:val="none" w:sz="0" w:space="0" w:color="auto"/>
                    <w:bottom w:val="none" w:sz="0" w:space="0" w:color="auto"/>
                    <w:right w:val="none" w:sz="0" w:space="0" w:color="auto"/>
                  </w:divBdr>
                  <w:divsChild>
                    <w:div w:id="1484657331">
                      <w:marLeft w:val="0"/>
                      <w:marRight w:val="0"/>
                      <w:marTop w:val="0"/>
                      <w:marBottom w:val="0"/>
                      <w:divBdr>
                        <w:top w:val="none" w:sz="0" w:space="0" w:color="auto"/>
                        <w:left w:val="none" w:sz="0" w:space="0" w:color="auto"/>
                        <w:bottom w:val="none" w:sz="0" w:space="0" w:color="auto"/>
                        <w:right w:val="none" w:sz="0" w:space="0" w:color="auto"/>
                      </w:divBdr>
                      <w:divsChild>
                        <w:div w:id="228998367">
                          <w:marLeft w:val="0"/>
                          <w:marRight w:val="0"/>
                          <w:marTop w:val="0"/>
                          <w:marBottom w:val="0"/>
                          <w:divBdr>
                            <w:top w:val="none" w:sz="0" w:space="0" w:color="auto"/>
                            <w:left w:val="none" w:sz="0" w:space="0" w:color="auto"/>
                            <w:bottom w:val="none" w:sz="0" w:space="0" w:color="auto"/>
                            <w:right w:val="none" w:sz="0" w:space="0" w:color="auto"/>
                          </w:divBdr>
                          <w:divsChild>
                            <w:div w:id="890338380">
                              <w:marLeft w:val="0"/>
                              <w:marRight w:val="0"/>
                              <w:marTop w:val="0"/>
                              <w:marBottom w:val="0"/>
                              <w:divBdr>
                                <w:top w:val="none" w:sz="0" w:space="0" w:color="auto"/>
                                <w:left w:val="none" w:sz="0" w:space="0" w:color="auto"/>
                                <w:bottom w:val="none" w:sz="0" w:space="0" w:color="auto"/>
                                <w:right w:val="none" w:sz="0" w:space="0" w:color="auto"/>
                              </w:divBdr>
                            </w:div>
                            <w:div w:id="1240598238">
                              <w:marLeft w:val="0"/>
                              <w:marRight w:val="0"/>
                              <w:marTop w:val="109"/>
                              <w:marBottom w:val="0"/>
                              <w:divBdr>
                                <w:top w:val="none" w:sz="0" w:space="0" w:color="auto"/>
                                <w:left w:val="none" w:sz="0" w:space="0" w:color="auto"/>
                                <w:bottom w:val="none" w:sz="0" w:space="0" w:color="auto"/>
                                <w:right w:val="none" w:sz="0" w:space="0" w:color="auto"/>
                              </w:divBdr>
                              <w:divsChild>
                                <w:div w:id="820121049">
                                  <w:marLeft w:val="0"/>
                                  <w:marRight w:val="240"/>
                                  <w:marTop w:val="0"/>
                                  <w:marBottom w:val="0"/>
                                  <w:divBdr>
                                    <w:top w:val="none" w:sz="0" w:space="0" w:color="auto"/>
                                    <w:left w:val="none" w:sz="0" w:space="0" w:color="auto"/>
                                    <w:bottom w:val="none" w:sz="0" w:space="0" w:color="auto"/>
                                    <w:right w:val="none" w:sz="0" w:space="0" w:color="auto"/>
                                  </w:divBdr>
                                </w:div>
                                <w:div w:id="1990479835">
                                  <w:marLeft w:val="0"/>
                                  <w:marRight w:val="240"/>
                                  <w:marTop w:val="0"/>
                                  <w:marBottom w:val="0"/>
                                  <w:divBdr>
                                    <w:top w:val="none" w:sz="0" w:space="0" w:color="auto"/>
                                    <w:left w:val="none" w:sz="0" w:space="0" w:color="auto"/>
                                    <w:bottom w:val="none" w:sz="0" w:space="0" w:color="auto"/>
                                    <w:right w:val="none" w:sz="0" w:space="0" w:color="auto"/>
                                  </w:divBdr>
                                </w:div>
                              </w:divsChild>
                            </w:div>
                            <w:div w:id="1778940242">
                              <w:marLeft w:val="0"/>
                              <w:marRight w:val="0"/>
                              <w:marTop w:val="0"/>
                              <w:marBottom w:val="0"/>
                              <w:divBdr>
                                <w:top w:val="none" w:sz="0" w:space="0" w:color="auto"/>
                                <w:left w:val="none" w:sz="0" w:space="0" w:color="auto"/>
                                <w:bottom w:val="none" w:sz="0" w:space="0" w:color="auto"/>
                                <w:right w:val="none" w:sz="0" w:space="0" w:color="auto"/>
                              </w:divBdr>
                              <w:divsChild>
                                <w:div w:id="564294657">
                                  <w:marLeft w:val="0"/>
                                  <w:marRight w:val="0"/>
                                  <w:marTop w:val="0"/>
                                  <w:marBottom w:val="0"/>
                                  <w:divBdr>
                                    <w:top w:val="none" w:sz="0" w:space="0" w:color="auto"/>
                                    <w:left w:val="none" w:sz="0" w:space="0" w:color="auto"/>
                                    <w:bottom w:val="none" w:sz="0" w:space="0" w:color="auto"/>
                                    <w:right w:val="none" w:sz="0" w:space="0" w:color="auto"/>
                                  </w:divBdr>
                                  <w:divsChild>
                                    <w:div w:id="7690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927871">
      <w:bodyDiv w:val="1"/>
      <w:marLeft w:val="0"/>
      <w:marRight w:val="0"/>
      <w:marTop w:val="0"/>
      <w:marBottom w:val="0"/>
      <w:divBdr>
        <w:top w:val="none" w:sz="0" w:space="0" w:color="auto"/>
        <w:left w:val="none" w:sz="0" w:space="0" w:color="auto"/>
        <w:bottom w:val="none" w:sz="0" w:space="0" w:color="auto"/>
        <w:right w:val="none" w:sz="0" w:space="0" w:color="auto"/>
      </w:divBdr>
    </w:div>
    <w:div w:id="674577641">
      <w:bodyDiv w:val="1"/>
      <w:marLeft w:val="0"/>
      <w:marRight w:val="0"/>
      <w:marTop w:val="0"/>
      <w:marBottom w:val="0"/>
      <w:divBdr>
        <w:top w:val="none" w:sz="0" w:space="0" w:color="auto"/>
        <w:left w:val="none" w:sz="0" w:space="0" w:color="auto"/>
        <w:bottom w:val="none" w:sz="0" w:space="0" w:color="auto"/>
        <w:right w:val="none" w:sz="0" w:space="0" w:color="auto"/>
      </w:divBdr>
      <w:divsChild>
        <w:div w:id="87848162">
          <w:marLeft w:val="1166"/>
          <w:marRight w:val="0"/>
          <w:marTop w:val="140"/>
          <w:marBottom w:val="0"/>
          <w:divBdr>
            <w:top w:val="none" w:sz="0" w:space="0" w:color="auto"/>
            <w:left w:val="none" w:sz="0" w:space="0" w:color="auto"/>
            <w:bottom w:val="none" w:sz="0" w:space="0" w:color="auto"/>
            <w:right w:val="none" w:sz="0" w:space="0" w:color="auto"/>
          </w:divBdr>
        </w:div>
        <w:div w:id="353652213">
          <w:marLeft w:val="446"/>
          <w:marRight w:val="0"/>
          <w:marTop w:val="0"/>
          <w:marBottom w:val="0"/>
          <w:divBdr>
            <w:top w:val="none" w:sz="0" w:space="0" w:color="auto"/>
            <w:left w:val="none" w:sz="0" w:space="0" w:color="auto"/>
            <w:bottom w:val="none" w:sz="0" w:space="0" w:color="auto"/>
            <w:right w:val="none" w:sz="0" w:space="0" w:color="auto"/>
          </w:divBdr>
        </w:div>
        <w:div w:id="1349911326">
          <w:marLeft w:val="446"/>
          <w:marRight w:val="0"/>
          <w:marTop w:val="500"/>
          <w:marBottom w:val="0"/>
          <w:divBdr>
            <w:top w:val="none" w:sz="0" w:space="0" w:color="auto"/>
            <w:left w:val="none" w:sz="0" w:space="0" w:color="auto"/>
            <w:bottom w:val="none" w:sz="0" w:space="0" w:color="auto"/>
            <w:right w:val="none" w:sz="0" w:space="0" w:color="auto"/>
          </w:divBdr>
        </w:div>
        <w:div w:id="1608344949">
          <w:marLeft w:val="446"/>
          <w:marRight w:val="0"/>
          <w:marTop w:val="500"/>
          <w:marBottom w:val="0"/>
          <w:divBdr>
            <w:top w:val="none" w:sz="0" w:space="0" w:color="auto"/>
            <w:left w:val="none" w:sz="0" w:space="0" w:color="auto"/>
            <w:bottom w:val="none" w:sz="0" w:space="0" w:color="auto"/>
            <w:right w:val="none" w:sz="0" w:space="0" w:color="auto"/>
          </w:divBdr>
        </w:div>
        <w:div w:id="1918900955">
          <w:marLeft w:val="1166"/>
          <w:marRight w:val="0"/>
          <w:marTop w:val="200"/>
          <w:marBottom w:val="0"/>
          <w:divBdr>
            <w:top w:val="none" w:sz="0" w:space="0" w:color="auto"/>
            <w:left w:val="none" w:sz="0" w:space="0" w:color="auto"/>
            <w:bottom w:val="none" w:sz="0" w:space="0" w:color="auto"/>
            <w:right w:val="none" w:sz="0" w:space="0" w:color="auto"/>
          </w:divBdr>
        </w:div>
      </w:divsChild>
    </w:div>
    <w:div w:id="684789832">
      <w:bodyDiv w:val="1"/>
      <w:marLeft w:val="0"/>
      <w:marRight w:val="0"/>
      <w:marTop w:val="0"/>
      <w:marBottom w:val="0"/>
      <w:divBdr>
        <w:top w:val="none" w:sz="0" w:space="0" w:color="auto"/>
        <w:left w:val="none" w:sz="0" w:space="0" w:color="auto"/>
        <w:bottom w:val="none" w:sz="0" w:space="0" w:color="auto"/>
        <w:right w:val="none" w:sz="0" w:space="0" w:color="auto"/>
      </w:divBdr>
      <w:divsChild>
        <w:div w:id="1718158968">
          <w:marLeft w:val="0"/>
          <w:marRight w:val="0"/>
          <w:marTop w:val="0"/>
          <w:marBottom w:val="0"/>
          <w:divBdr>
            <w:top w:val="none" w:sz="0" w:space="0" w:color="auto"/>
            <w:left w:val="none" w:sz="0" w:space="0" w:color="auto"/>
            <w:bottom w:val="none" w:sz="0" w:space="0" w:color="auto"/>
            <w:right w:val="none" w:sz="0" w:space="0" w:color="auto"/>
          </w:divBdr>
          <w:divsChild>
            <w:div w:id="1023751551">
              <w:marLeft w:val="0"/>
              <w:marRight w:val="0"/>
              <w:marTop w:val="0"/>
              <w:marBottom w:val="0"/>
              <w:divBdr>
                <w:top w:val="none" w:sz="0" w:space="0" w:color="auto"/>
                <w:left w:val="none" w:sz="0" w:space="0" w:color="auto"/>
                <w:bottom w:val="none" w:sz="0" w:space="0" w:color="auto"/>
                <w:right w:val="none" w:sz="0" w:space="0" w:color="auto"/>
              </w:divBdr>
              <w:divsChild>
                <w:div w:id="1576624316">
                  <w:marLeft w:val="0"/>
                  <w:marRight w:val="0"/>
                  <w:marTop w:val="0"/>
                  <w:marBottom w:val="0"/>
                  <w:divBdr>
                    <w:top w:val="none" w:sz="0" w:space="0" w:color="auto"/>
                    <w:left w:val="none" w:sz="0" w:space="0" w:color="auto"/>
                    <w:bottom w:val="none" w:sz="0" w:space="0" w:color="auto"/>
                    <w:right w:val="none" w:sz="0" w:space="0" w:color="auto"/>
                  </w:divBdr>
                  <w:divsChild>
                    <w:div w:id="1829588243">
                      <w:marLeft w:val="0"/>
                      <w:marRight w:val="0"/>
                      <w:marTop w:val="0"/>
                      <w:marBottom w:val="0"/>
                      <w:divBdr>
                        <w:top w:val="none" w:sz="0" w:space="0" w:color="auto"/>
                        <w:left w:val="none" w:sz="0" w:space="0" w:color="auto"/>
                        <w:bottom w:val="none" w:sz="0" w:space="0" w:color="auto"/>
                        <w:right w:val="none" w:sz="0" w:space="0" w:color="auto"/>
                      </w:divBdr>
                      <w:divsChild>
                        <w:div w:id="57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499">
      <w:bodyDiv w:val="1"/>
      <w:marLeft w:val="0"/>
      <w:marRight w:val="0"/>
      <w:marTop w:val="0"/>
      <w:marBottom w:val="0"/>
      <w:divBdr>
        <w:top w:val="none" w:sz="0" w:space="0" w:color="auto"/>
        <w:left w:val="none" w:sz="0" w:space="0" w:color="auto"/>
        <w:bottom w:val="none" w:sz="0" w:space="0" w:color="auto"/>
        <w:right w:val="none" w:sz="0" w:space="0" w:color="auto"/>
      </w:divBdr>
    </w:div>
    <w:div w:id="710501356">
      <w:bodyDiv w:val="1"/>
      <w:marLeft w:val="0"/>
      <w:marRight w:val="0"/>
      <w:marTop w:val="0"/>
      <w:marBottom w:val="0"/>
      <w:divBdr>
        <w:top w:val="none" w:sz="0" w:space="0" w:color="auto"/>
        <w:left w:val="none" w:sz="0" w:space="0" w:color="auto"/>
        <w:bottom w:val="none" w:sz="0" w:space="0" w:color="auto"/>
        <w:right w:val="none" w:sz="0" w:space="0" w:color="auto"/>
      </w:divBdr>
      <w:divsChild>
        <w:div w:id="112094140">
          <w:marLeft w:val="0"/>
          <w:marRight w:val="0"/>
          <w:marTop w:val="0"/>
          <w:marBottom w:val="0"/>
          <w:divBdr>
            <w:top w:val="none" w:sz="0" w:space="0" w:color="auto"/>
            <w:left w:val="none" w:sz="0" w:space="0" w:color="auto"/>
            <w:bottom w:val="none" w:sz="0" w:space="0" w:color="auto"/>
            <w:right w:val="none" w:sz="0" w:space="0" w:color="auto"/>
          </w:divBdr>
        </w:div>
      </w:divsChild>
    </w:div>
    <w:div w:id="717777561">
      <w:bodyDiv w:val="1"/>
      <w:marLeft w:val="0"/>
      <w:marRight w:val="0"/>
      <w:marTop w:val="0"/>
      <w:marBottom w:val="0"/>
      <w:divBdr>
        <w:top w:val="none" w:sz="0" w:space="0" w:color="auto"/>
        <w:left w:val="none" w:sz="0" w:space="0" w:color="auto"/>
        <w:bottom w:val="none" w:sz="0" w:space="0" w:color="auto"/>
        <w:right w:val="none" w:sz="0" w:space="0" w:color="auto"/>
      </w:divBdr>
      <w:divsChild>
        <w:div w:id="2011132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7139039">
      <w:bodyDiv w:val="1"/>
      <w:marLeft w:val="0"/>
      <w:marRight w:val="0"/>
      <w:marTop w:val="0"/>
      <w:marBottom w:val="0"/>
      <w:divBdr>
        <w:top w:val="none" w:sz="0" w:space="0" w:color="auto"/>
        <w:left w:val="none" w:sz="0" w:space="0" w:color="auto"/>
        <w:bottom w:val="none" w:sz="0" w:space="0" w:color="auto"/>
        <w:right w:val="none" w:sz="0" w:space="0" w:color="auto"/>
      </w:divBdr>
    </w:div>
    <w:div w:id="817185943">
      <w:bodyDiv w:val="1"/>
      <w:marLeft w:val="0"/>
      <w:marRight w:val="0"/>
      <w:marTop w:val="0"/>
      <w:marBottom w:val="0"/>
      <w:divBdr>
        <w:top w:val="none" w:sz="0" w:space="0" w:color="auto"/>
        <w:left w:val="none" w:sz="0" w:space="0" w:color="auto"/>
        <w:bottom w:val="none" w:sz="0" w:space="0" w:color="auto"/>
        <w:right w:val="none" w:sz="0" w:space="0" w:color="auto"/>
      </w:divBdr>
      <w:divsChild>
        <w:div w:id="1889874408">
          <w:marLeft w:val="720"/>
          <w:marRight w:val="0"/>
          <w:marTop w:val="100"/>
          <w:marBottom w:val="0"/>
          <w:divBdr>
            <w:top w:val="none" w:sz="0" w:space="0" w:color="auto"/>
            <w:left w:val="none" w:sz="0" w:space="0" w:color="auto"/>
            <w:bottom w:val="none" w:sz="0" w:space="0" w:color="auto"/>
            <w:right w:val="none" w:sz="0" w:space="0" w:color="auto"/>
          </w:divBdr>
        </w:div>
      </w:divsChild>
    </w:div>
    <w:div w:id="818887357">
      <w:bodyDiv w:val="1"/>
      <w:marLeft w:val="0"/>
      <w:marRight w:val="0"/>
      <w:marTop w:val="0"/>
      <w:marBottom w:val="0"/>
      <w:divBdr>
        <w:top w:val="none" w:sz="0" w:space="0" w:color="auto"/>
        <w:left w:val="none" w:sz="0" w:space="0" w:color="auto"/>
        <w:bottom w:val="none" w:sz="0" w:space="0" w:color="auto"/>
        <w:right w:val="none" w:sz="0" w:space="0" w:color="auto"/>
      </w:divBdr>
      <w:divsChild>
        <w:div w:id="357315872">
          <w:marLeft w:val="0"/>
          <w:marRight w:val="0"/>
          <w:marTop w:val="0"/>
          <w:marBottom w:val="0"/>
          <w:divBdr>
            <w:top w:val="none" w:sz="0" w:space="0" w:color="auto"/>
            <w:left w:val="none" w:sz="0" w:space="0" w:color="auto"/>
            <w:bottom w:val="none" w:sz="0" w:space="0" w:color="auto"/>
            <w:right w:val="none" w:sz="0" w:space="0" w:color="auto"/>
          </w:divBdr>
          <w:divsChild>
            <w:div w:id="150028340">
              <w:marLeft w:val="0"/>
              <w:marRight w:val="0"/>
              <w:marTop w:val="0"/>
              <w:marBottom w:val="0"/>
              <w:divBdr>
                <w:top w:val="none" w:sz="0" w:space="0" w:color="auto"/>
                <w:left w:val="none" w:sz="0" w:space="0" w:color="auto"/>
                <w:bottom w:val="none" w:sz="0" w:space="0" w:color="auto"/>
                <w:right w:val="none" w:sz="0" w:space="0" w:color="auto"/>
              </w:divBdr>
              <w:divsChild>
                <w:div w:id="1768693912">
                  <w:marLeft w:val="0"/>
                  <w:marRight w:val="0"/>
                  <w:marTop w:val="0"/>
                  <w:marBottom w:val="0"/>
                  <w:divBdr>
                    <w:top w:val="none" w:sz="0" w:space="0" w:color="auto"/>
                    <w:left w:val="none" w:sz="0" w:space="0" w:color="auto"/>
                    <w:bottom w:val="none" w:sz="0" w:space="0" w:color="auto"/>
                    <w:right w:val="none" w:sz="0" w:space="0" w:color="auto"/>
                  </w:divBdr>
                  <w:divsChild>
                    <w:div w:id="1141144964">
                      <w:marLeft w:val="0"/>
                      <w:marRight w:val="0"/>
                      <w:marTop w:val="0"/>
                      <w:marBottom w:val="0"/>
                      <w:divBdr>
                        <w:top w:val="none" w:sz="0" w:space="0" w:color="auto"/>
                        <w:left w:val="none" w:sz="0" w:space="0" w:color="auto"/>
                        <w:bottom w:val="none" w:sz="0" w:space="0" w:color="auto"/>
                        <w:right w:val="none" w:sz="0" w:space="0" w:color="auto"/>
                      </w:divBdr>
                      <w:divsChild>
                        <w:div w:id="1248734777">
                          <w:marLeft w:val="0"/>
                          <w:marRight w:val="0"/>
                          <w:marTop w:val="0"/>
                          <w:marBottom w:val="0"/>
                          <w:divBdr>
                            <w:top w:val="none" w:sz="0" w:space="0" w:color="auto"/>
                            <w:left w:val="none" w:sz="0" w:space="0" w:color="auto"/>
                            <w:bottom w:val="none" w:sz="0" w:space="0" w:color="auto"/>
                            <w:right w:val="none" w:sz="0" w:space="0" w:color="auto"/>
                          </w:divBdr>
                          <w:divsChild>
                            <w:div w:id="1184705945">
                              <w:marLeft w:val="0"/>
                              <w:marRight w:val="0"/>
                              <w:marTop w:val="0"/>
                              <w:marBottom w:val="0"/>
                              <w:divBdr>
                                <w:top w:val="none" w:sz="0" w:space="0" w:color="auto"/>
                                <w:left w:val="none" w:sz="0" w:space="0" w:color="auto"/>
                                <w:bottom w:val="none" w:sz="0" w:space="0" w:color="auto"/>
                                <w:right w:val="none" w:sz="0" w:space="0" w:color="auto"/>
                              </w:divBdr>
                              <w:divsChild>
                                <w:div w:id="2134246662">
                                  <w:marLeft w:val="0"/>
                                  <w:marRight w:val="0"/>
                                  <w:marTop w:val="0"/>
                                  <w:marBottom w:val="0"/>
                                  <w:divBdr>
                                    <w:top w:val="none" w:sz="0" w:space="0" w:color="auto"/>
                                    <w:left w:val="none" w:sz="0" w:space="0" w:color="auto"/>
                                    <w:bottom w:val="none" w:sz="0" w:space="0" w:color="auto"/>
                                    <w:right w:val="none" w:sz="0" w:space="0" w:color="auto"/>
                                  </w:divBdr>
                                  <w:divsChild>
                                    <w:div w:id="2740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582908">
      <w:bodyDiv w:val="1"/>
      <w:marLeft w:val="0"/>
      <w:marRight w:val="0"/>
      <w:marTop w:val="0"/>
      <w:marBottom w:val="0"/>
      <w:divBdr>
        <w:top w:val="none" w:sz="0" w:space="0" w:color="auto"/>
        <w:left w:val="none" w:sz="0" w:space="0" w:color="auto"/>
        <w:bottom w:val="none" w:sz="0" w:space="0" w:color="auto"/>
        <w:right w:val="none" w:sz="0" w:space="0" w:color="auto"/>
      </w:divBdr>
      <w:divsChild>
        <w:div w:id="693384694">
          <w:marLeft w:val="0"/>
          <w:marRight w:val="0"/>
          <w:marTop w:val="0"/>
          <w:marBottom w:val="0"/>
          <w:divBdr>
            <w:top w:val="none" w:sz="0" w:space="0" w:color="auto"/>
            <w:left w:val="none" w:sz="0" w:space="0" w:color="auto"/>
            <w:bottom w:val="none" w:sz="0" w:space="0" w:color="auto"/>
            <w:right w:val="none" w:sz="0" w:space="0" w:color="auto"/>
          </w:divBdr>
          <w:divsChild>
            <w:div w:id="1434013869">
              <w:marLeft w:val="0"/>
              <w:marRight w:val="0"/>
              <w:marTop w:val="0"/>
              <w:marBottom w:val="0"/>
              <w:divBdr>
                <w:top w:val="none" w:sz="0" w:space="0" w:color="auto"/>
                <w:left w:val="none" w:sz="0" w:space="0" w:color="auto"/>
                <w:bottom w:val="none" w:sz="0" w:space="0" w:color="auto"/>
                <w:right w:val="none" w:sz="0" w:space="0" w:color="auto"/>
              </w:divBdr>
              <w:divsChild>
                <w:div w:id="1698575686">
                  <w:marLeft w:val="0"/>
                  <w:marRight w:val="0"/>
                  <w:marTop w:val="0"/>
                  <w:marBottom w:val="0"/>
                  <w:divBdr>
                    <w:top w:val="none" w:sz="0" w:space="0" w:color="auto"/>
                    <w:left w:val="none" w:sz="0" w:space="0" w:color="auto"/>
                    <w:bottom w:val="none" w:sz="0" w:space="0" w:color="auto"/>
                    <w:right w:val="none" w:sz="0" w:space="0" w:color="auto"/>
                  </w:divBdr>
                  <w:divsChild>
                    <w:div w:id="2096515670">
                      <w:marLeft w:val="0"/>
                      <w:marRight w:val="0"/>
                      <w:marTop w:val="0"/>
                      <w:marBottom w:val="0"/>
                      <w:divBdr>
                        <w:top w:val="none" w:sz="0" w:space="0" w:color="auto"/>
                        <w:left w:val="none" w:sz="0" w:space="0" w:color="auto"/>
                        <w:bottom w:val="none" w:sz="0" w:space="0" w:color="auto"/>
                        <w:right w:val="none" w:sz="0" w:space="0" w:color="auto"/>
                      </w:divBdr>
                      <w:divsChild>
                        <w:div w:id="209611370">
                          <w:marLeft w:val="0"/>
                          <w:marRight w:val="0"/>
                          <w:marTop w:val="0"/>
                          <w:marBottom w:val="0"/>
                          <w:divBdr>
                            <w:top w:val="none" w:sz="0" w:space="0" w:color="auto"/>
                            <w:left w:val="none" w:sz="0" w:space="0" w:color="auto"/>
                            <w:bottom w:val="none" w:sz="0" w:space="0" w:color="auto"/>
                            <w:right w:val="none" w:sz="0" w:space="0" w:color="auto"/>
                          </w:divBdr>
                          <w:divsChild>
                            <w:div w:id="675156330">
                              <w:marLeft w:val="0"/>
                              <w:marRight w:val="0"/>
                              <w:marTop w:val="0"/>
                              <w:marBottom w:val="0"/>
                              <w:divBdr>
                                <w:top w:val="none" w:sz="0" w:space="0" w:color="auto"/>
                                <w:left w:val="none" w:sz="0" w:space="0" w:color="auto"/>
                                <w:bottom w:val="none" w:sz="0" w:space="0" w:color="auto"/>
                                <w:right w:val="none" w:sz="0" w:space="0" w:color="auto"/>
                              </w:divBdr>
                              <w:divsChild>
                                <w:div w:id="11490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36342">
      <w:bodyDiv w:val="1"/>
      <w:marLeft w:val="0"/>
      <w:marRight w:val="0"/>
      <w:marTop w:val="0"/>
      <w:marBottom w:val="0"/>
      <w:divBdr>
        <w:top w:val="none" w:sz="0" w:space="0" w:color="auto"/>
        <w:left w:val="none" w:sz="0" w:space="0" w:color="auto"/>
        <w:bottom w:val="none" w:sz="0" w:space="0" w:color="auto"/>
        <w:right w:val="none" w:sz="0" w:space="0" w:color="auto"/>
      </w:divBdr>
      <w:divsChild>
        <w:div w:id="210466065">
          <w:marLeft w:val="0"/>
          <w:marRight w:val="0"/>
          <w:marTop w:val="0"/>
          <w:marBottom w:val="0"/>
          <w:divBdr>
            <w:top w:val="none" w:sz="0" w:space="0" w:color="auto"/>
            <w:left w:val="none" w:sz="0" w:space="0" w:color="auto"/>
            <w:bottom w:val="none" w:sz="0" w:space="0" w:color="auto"/>
            <w:right w:val="none" w:sz="0" w:space="0" w:color="auto"/>
          </w:divBdr>
          <w:divsChild>
            <w:div w:id="1809784474">
              <w:marLeft w:val="0"/>
              <w:marRight w:val="0"/>
              <w:marTop w:val="0"/>
              <w:marBottom w:val="0"/>
              <w:divBdr>
                <w:top w:val="none" w:sz="0" w:space="0" w:color="auto"/>
                <w:left w:val="none" w:sz="0" w:space="0" w:color="auto"/>
                <w:bottom w:val="none" w:sz="0" w:space="0" w:color="auto"/>
                <w:right w:val="none" w:sz="0" w:space="0" w:color="auto"/>
              </w:divBdr>
              <w:divsChild>
                <w:div w:id="295531995">
                  <w:marLeft w:val="0"/>
                  <w:marRight w:val="0"/>
                  <w:marTop w:val="0"/>
                  <w:marBottom w:val="0"/>
                  <w:divBdr>
                    <w:top w:val="none" w:sz="0" w:space="0" w:color="auto"/>
                    <w:left w:val="none" w:sz="0" w:space="0" w:color="auto"/>
                    <w:bottom w:val="none" w:sz="0" w:space="0" w:color="auto"/>
                    <w:right w:val="none" w:sz="0" w:space="0" w:color="auto"/>
                  </w:divBdr>
                  <w:divsChild>
                    <w:div w:id="734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96544">
      <w:bodyDiv w:val="1"/>
      <w:marLeft w:val="0"/>
      <w:marRight w:val="0"/>
      <w:marTop w:val="0"/>
      <w:marBottom w:val="0"/>
      <w:divBdr>
        <w:top w:val="none" w:sz="0" w:space="0" w:color="auto"/>
        <w:left w:val="none" w:sz="0" w:space="0" w:color="auto"/>
        <w:bottom w:val="none" w:sz="0" w:space="0" w:color="auto"/>
        <w:right w:val="none" w:sz="0" w:space="0" w:color="auto"/>
      </w:divBdr>
    </w:div>
    <w:div w:id="891695432">
      <w:bodyDiv w:val="1"/>
      <w:marLeft w:val="0"/>
      <w:marRight w:val="0"/>
      <w:marTop w:val="0"/>
      <w:marBottom w:val="0"/>
      <w:divBdr>
        <w:top w:val="none" w:sz="0" w:space="0" w:color="auto"/>
        <w:left w:val="none" w:sz="0" w:space="0" w:color="auto"/>
        <w:bottom w:val="none" w:sz="0" w:space="0" w:color="auto"/>
        <w:right w:val="none" w:sz="0" w:space="0" w:color="auto"/>
      </w:divBdr>
      <w:divsChild>
        <w:div w:id="341711490">
          <w:marLeft w:val="1166"/>
          <w:marRight w:val="0"/>
          <w:marTop w:val="120"/>
          <w:marBottom w:val="0"/>
          <w:divBdr>
            <w:top w:val="none" w:sz="0" w:space="0" w:color="auto"/>
            <w:left w:val="none" w:sz="0" w:space="0" w:color="auto"/>
            <w:bottom w:val="none" w:sz="0" w:space="0" w:color="auto"/>
            <w:right w:val="none" w:sz="0" w:space="0" w:color="auto"/>
          </w:divBdr>
        </w:div>
        <w:div w:id="1913081803">
          <w:marLeft w:val="1166"/>
          <w:marRight w:val="0"/>
          <w:marTop w:val="120"/>
          <w:marBottom w:val="0"/>
          <w:divBdr>
            <w:top w:val="none" w:sz="0" w:space="0" w:color="auto"/>
            <w:left w:val="none" w:sz="0" w:space="0" w:color="auto"/>
            <w:bottom w:val="none" w:sz="0" w:space="0" w:color="auto"/>
            <w:right w:val="none" w:sz="0" w:space="0" w:color="auto"/>
          </w:divBdr>
        </w:div>
        <w:div w:id="2053262979">
          <w:marLeft w:val="547"/>
          <w:marRight w:val="0"/>
          <w:marTop w:val="120"/>
          <w:marBottom w:val="0"/>
          <w:divBdr>
            <w:top w:val="none" w:sz="0" w:space="0" w:color="auto"/>
            <w:left w:val="none" w:sz="0" w:space="0" w:color="auto"/>
            <w:bottom w:val="none" w:sz="0" w:space="0" w:color="auto"/>
            <w:right w:val="none" w:sz="0" w:space="0" w:color="auto"/>
          </w:divBdr>
        </w:div>
      </w:divsChild>
    </w:div>
    <w:div w:id="940529488">
      <w:bodyDiv w:val="1"/>
      <w:marLeft w:val="0"/>
      <w:marRight w:val="0"/>
      <w:marTop w:val="0"/>
      <w:marBottom w:val="0"/>
      <w:divBdr>
        <w:top w:val="none" w:sz="0" w:space="0" w:color="auto"/>
        <w:left w:val="none" w:sz="0" w:space="0" w:color="auto"/>
        <w:bottom w:val="none" w:sz="0" w:space="0" w:color="auto"/>
        <w:right w:val="none" w:sz="0" w:space="0" w:color="auto"/>
      </w:divBdr>
    </w:div>
    <w:div w:id="949505615">
      <w:bodyDiv w:val="1"/>
      <w:marLeft w:val="0"/>
      <w:marRight w:val="0"/>
      <w:marTop w:val="0"/>
      <w:marBottom w:val="0"/>
      <w:divBdr>
        <w:top w:val="none" w:sz="0" w:space="0" w:color="auto"/>
        <w:left w:val="none" w:sz="0" w:space="0" w:color="auto"/>
        <w:bottom w:val="none" w:sz="0" w:space="0" w:color="auto"/>
        <w:right w:val="none" w:sz="0" w:space="0" w:color="auto"/>
      </w:divBdr>
      <w:divsChild>
        <w:div w:id="591937619">
          <w:marLeft w:val="0"/>
          <w:marRight w:val="0"/>
          <w:marTop w:val="0"/>
          <w:marBottom w:val="0"/>
          <w:divBdr>
            <w:top w:val="none" w:sz="0" w:space="0" w:color="auto"/>
            <w:left w:val="none" w:sz="0" w:space="0" w:color="auto"/>
            <w:bottom w:val="none" w:sz="0" w:space="0" w:color="auto"/>
            <w:right w:val="none" w:sz="0" w:space="0" w:color="auto"/>
          </w:divBdr>
          <w:divsChild>
            <w:div w:id="374737101">
              <w:marLeft w:val="0"/>
              <w:marRight w:val="0"/>
              <w:marTop w:val="0"/>
              <w:marBottom w:val="0"/>
              <w:divBdr>
                <w:top w:val="none" w:sz="0" w:space="0" w:color="auto"/>
                <w:left w:val="none" w:sz="0" w:space="0" w:color="auto"/>
                <w:bottom w:val="none" w:sz="0" w:space="0" w:color="auto"/>
                <w:right w:val="none" w:sz="0" w:space="0" w:color="auto"/>
              </w:divBdr>
              <w:divsChild>
                <w:div w:id="2013988565">
                  <w:marLeft w:val="0"/>
                  <w:marRight w:val="0"/>
                  <w:marTop w:val="0"/>
                  <w:marBottom w:val="0"/>
                  <w:divBdr>
                    <w:top w:val="none" w:sz="0" w:space="0" w:color="auto"/>
                    <w:left w:val="none" w:sz="0" w:space="0" w:color="auto"/>
                    <w:bottom w:val="none" w:sz="0" w:space="0" w:color="auto"/>
                    <w:right w:val="none" w:sz="0" w:space="0" w:color="auto"/>
                  </w:divBdr>
                  <w:divsChild>
                    <w:div w:id="1081483880">
                      <w:marLeft w:val="0"/>
                      <w:marRight w:val="0"/>
                      <w:marTop w:val="0"/>
                      <w:marBottom w:val="0"/>
                      <w:divBdr>
                        <w:top w:val="none" w:sz="0" w:space="0" w:color="auto"/>
                        <w:left w:val="none" w:sz="0" w:space="0" w:color="auto"/>
                        <w:bottom w:val="none" w:sz="0" w:space="0" w:color="auto"/>
                        <w:right w:val="none" w:sz="0" w:space="0" w:color="auto"/>
                      </w:divBdr>
                      <w:divsChild>
                        <w:div w:id="15905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974642">
      <w:bodyDiv w:val="1"/>
      <w:marLeft w:val="0"/>
      <w:marRight w:val="0"/>
      <w:marTop w:val="0"/>
      <w:marBottom w:val="0"/>
      <w:divBdr>
        <w:top w:val="none" w:sz="0" w:space="0" w:color="auto"/>
        <w:left w:val="none" w:sz="0" w:space="0" w:color="auto"/>
        <w:bottom w:val="none" w:sz="0" w:space="0" w:color="auto"/>
        <w:right w:val="none" w:sz="0" w:space="0" w:color="auto"/>
      </w:divBdr>
      <w:divsChild>
        <w:div w:id="541862513">
          <w:marLeft w:val="547"/>
          <w:marRight w:val="0"/>
          <w:marTop w:val="360"/>
          <w:marBottom w:val="0"/>
          <w:divBdr>
            <w:top w:val="none" w:sz="0" w:space="0" w:color="auto"/>
            <w:left w:val="none" w:sz="0" w:space="0" w:color="auto"/>
            <w:bottom w:val="none" w:sz="0" w:space="0" w:color="auto"/>
            <w:right w:val="none" w:sz="0" w:space="0" w:color="auto"/>
          </w:divBdr>
        </w:div>
        <w:div w:id="637806777">
          <w:marLeft w:val="547"/>
          <w:marRight w:val="0"/>
          <w:marTop w:val="360"/>
          <w:marBottom w:val="0"/>
          <w:divBdr>
            <w:top w:val="none" w:sz="0" w:space="0" w:color="auto"/>
            <w:left w:val="none" w:sz="0" w:space="0" w:color="auto"/>
            <w:bottom w:val="none" w:sz="0" w:space="0" w:color="auto"/>
            <w:right w:val="none" w:sz="0" w:space="0" w:color="auto"/>
          </w:divBdr>
        </w:div>
        <w:div w:id="748041475">
          <w:marLeft w:val="547"/>
          <w:marRight w:val="0"/>
          <w:marTop w:val="360"/>
          <w:marBottom w:val="0"/>
          <w:divBdr>
            <w:top w:val="none" w:sz="0" w:space="0" w:color="auto"/>
            <w:left w:val="none" w:sz="0" w:space="0" w:color="auto"/>
            <w:bottom w:val="none" w:sz="0" w:space="0" w:color="auto"/>
            <w:right w:val="none" w:sz="0" w:space="0" w:color="auto"/>
          </w:divBdr>
        </w:div>
        <w:div w:id="1861891620">
          <w:marLeft w:val="547"/>
          <w:marRight w:val="0"/>
          <w:marTop w:val="360"/>
          <w:marBottom w:val="0"/>
          <w:divBdr>
            <w:top w:val="none" w:sz="0" w:space="0" w:color="auto"/>
            <w:left w:val="none" w:sz="0" w:space="0" w:color="auto"/>
            <w:bottom w:val="none" w:sz="0" w:space="0" w:color="auto"/>
            <w:right w:val="none" w:sz="0" w:space="0" w:color="auto"/>
          </w:divBdr>
        </w:div>
      </w:divsChild>
    </w:div>
    <w:div w:id="1052802759">
      <w:bodyDiv w:val="1"/>
      <w:marLeft w:val="0"/>
      <w:marRight w:val="0"/>
      <w:marTop w:val="0"/>
      <w:marBottom w:val="0"/>
      <w:divBdr>
        <w:top w:val="none" w:sz="0" w:space="0" w:color="auto"/>
        <w:left w:val="none" w:sz="0" w:space="0" w:color="auto"/>
        <w:bottom w:val="none" w:sz="0" w:space="0" w:color="auto"/>
        <w:right w:val="none" w:sz="0" w:space="0" w:color="auto"/>
      </w:divBdr>
    </w:div>
    <w:div w:id="1065690316">
      <w:bodyDiv w:val="1"/>
      <w:marLeft w:val="0"/>
      <w:marRight w:val="0"/>
      <w:marTop w:val="0"/>
      <w:marBottom w:val="0"/>
      <w:divBdr>
        <w:top w:val="none" w:sz="0" w:space="0" w:color="auto"/>
        <w:left w:val="none" w:sz="0" w:space="0" w:color="auto"/>
        <w:bottom w:val="none" w:sz="0" w:space="0" w:color="auto"/>
        <w:right w:val="none" w:sz="0" w:space="0" w:color="auto"/>
      </w:divBdr>
    </w:div>
    <w:div w:id="1073502737">
      <w:bodyDiv w:val="1"/>
      <w:marLeft w:val="0"/>
      <w:marRight w:val="0"/>
      <w:marTop w:val="0"/>
      <w:marBottom w:val="0"/>
      <w:divBdr>
        <w:top w:val="none" w:sz="0" w:space="0" w:color="auto"/>
        <w:left w:val="none" w:sz="0" w:space="0" w:color="auto"/>
        <w:bottom w:val="none" w:sz="0" w:space="0" w:color="auto"/>
        <w:right w:val="none" w:sz="0" w:space="0" w:color="auto"/>
      </w:divBdr>
    </w:div>
    <w:div w:id="1076824058">
      <w:bodyDiv w:val="1"/>
      <w:marLeft w:val="0"/>
      <w:marRight w:val="0"/>
      <w:marTop w:val="0"/>
      <w:marBottom w:val="0"/>
      <w:divBdr>
        <w:top w:val="none" w:sz="0" w:space="0" w:color="auto"/>
        <w:left w:val="none" w:sz="0" w:space="0" w:color="auto"/>
        <w:bottom w:val="none" w:sz="0" w:space="0" w:color="auto"/>
        <w:right w:val="none" w:sz="0" w:space="0" w:color="auto"/>
      </w:divBdr>
      <w:divsChild>
        <w:div w:id="1622880214">
          <w:marLeft w:val="0"/>
          <w:marRight w:val="0"/>
          <w:marTop w:val="0"/>
          <w:marBottom w:val="0"/>
          <w:divBdr>
            <w:top w:val="none" w:sz="0" w:space="0" w:color="auto"/>
            <w:left w:val="none" w:sz="0" w:space="0" w:color="auto"/>
            <w:bottom w:val="none" w:sz="0" w:space="0" w:color="auto"/>
            <w:right w:val="none" w:sz="0" w:space="0" w:color="auto"/>
          </w:divBdr>
          <w:divsChild>
            <w:div w:id="2123567248">
              <w:marLeft w:val="0"/>
              <w:marRight w:val="0"/>
              <w:marTop w:val="0"/>
              <w:marBottom w:val="0"/>
              <w:divBdr>
                <w:top w:val="none" w:sz="0" w:space="0" w:color="auto"/>
                <w:left w:val="none" w:sz="0" w:space="0" w:color="auto"/>
                <w:bottom w:val="none" w:sz="0" w:space="0" w:color="auto"/>
                <w:right w:val="none" w:sz="0" w:space="0" w:color="auto"/>
              </w:divBdr>
              <w:divsChild>
                <w:div w:id="348720442">
                  <w:marLeft w:val="0"/>
                  <w:marRight w:val="0"/>
                  <w:marTop w:val="0"/>
                  <w:marBottom w:val="0"/>
                  <w:divBdr>
                    <w:top w:val="none" w:sz="0" w:space="0" w:color="auto"/>
                    <w:left w:val="none" w:sz="0" w:space="0" w:color="auto"/>
                    <w:bottom w:val="none" w:sz="0" w:space="0" w:color="auto"/>
                    <w:right w:val="none" w:sz="0" w:space="0" w:color="auto"/>
                  </w:divBdr>
                  <w:divsChild>
                    <w:div w:id="1757902023">
                      <w:marLeft w:val="0"/>
                      <w:marRight w:val="0"/>
                      <w:marTop w:val="0"/>
                      <w:marBottom w:val="0"/>
                      <w:divBdr>
                        <w:top w:val="none" w:sz="0" w:space="0" w:color="auto"/>
                        <w:left w:val="none" w:sz="0" w:space="0" w:color="auto"/>
                        <w:bottom w:val="none" w:sz="0" w:space="0" w:color="auto"/>
                        <w:right w:val="none" w:sz="0" w:space="0" w:color="auto"/>
                      </w:divBdr>
                      <w:divsChild>
                        <w:div w:id="2427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788">
      <w:bodyDiv w:val="1"/>
      <w:marLeft w:val="0"/>
      <w:marRight w:val="0"/>
      <w:marTop w:val="0"/>
      <w:marBottom w:val="0"/>
      <w:divBdr>
        <w:top w:val="none" w:sz="0" w:space="0" w:color="auto"/>
        <w:left w:val="none" w:sz="0" w:space="0" w:color="auto"/>
        <w:bottom w:val="none" w:sz="0" w:space="0" w:color="auto"/>
        <w:right w:val="none" w:sz="0" w:space="0" w:color="auto"/>
      </w:divBdr>
      <w:divsChild>
        <w:div w:id="798694534">
          <w:marLeft w:val="0"/>
          <w:marRight w:val="0"/>
          <w:marTop w:val="0"/>
          <w:marBottom w:val="0"/>
          <w:divBdr>
            <w:top w:val="none" w:sz="0" w:space="0" w:color="auto"/>
            <w:left w:val="none" w:sz="0" w:space="0" w:color="auto"/>
            <w:bottom w:val="none" w:sz="0" w:space="0" w:color="auto"/>
            <w:right w:val="none" w:sz="0" w:space="0" w:color="auto"/>
          </w:divBdr>
          <w:divsChild>
            <w:div w:id="185606287">
              <w:marLeft w:val="0"/>
              <w:marRight w:val="0"/>
              <w:marTop w:val="0"/>
              <w:marBottom w:val="0"/>
              <w:divBdr>
                <w:top w:val="none" w:sz="0" w:space="0" w:color="auto"/>
                <w:left w:val="none" w:sz="0" w:space="0" w:color="auto"/>
                <w:bottom w:val="none" w:sz="0" w:space="0" w:color="auto"/>
                <w:right w:val="none" w:sz="0" w:space="0" w:color="auto"/>
              </w:divBdr>
              <w:divsChild>
                <w:div w:id="1042175409">
                  <w:marLeft w:val="0"/>
                  <w:marRight w:val="0"/>
                  <w:marTop w:val="0"/>
                  <w:marBottom w:val="0"/>
                  <w:divBdr>
                    <w:top w:val="none" w:sz="0" w:space="0" w:color="auto"/>
                    <w:left w:val="none" w:sz="0" w:space="0" w:color="auto"/>
                    <w:bottom w:val="none" w:sz="0" w:space="0" w:color="auto"/>
                    <w:right w:val="none" w:sz="0" w:space="0" w:color="auto"/>
                  </w:divBdr>
                  <w:divsChild>
                    <w:div w:id="1819222180">
                      <w:marLeft w:val="0"/>
                      <w:marRight w:val="0"/>
                      <w:marTop w:val="0"/>
                      <w:marBottom w:val="0"/>
                      <w:divBdr>
                        <w:top w:val="none" w:sz="0" w:space="0" w:color="auto"/>
                        <w:left w:val="none" w:sz="0" w:space="0" w:color="auto"/>
                        <w:bottom w:val="none" w:sz="0" w:space="0" w:color="auto"/>
                        <w:right w:val="none" w:sz="0" w:space="0" w:color="auto"/>
                      </w:divBdr>
                      <w:divsChild>
                        <w:div w:id="1486386570">
                          <w:marLeft w:val="0"/>
                          <w:marRight w:val="0"/>
                          <w:marTop w:val="0"/>
                          <w:marBottom w:val="0"/>
                          <w:divBdr>
                            <w:top w:val="none" w:sz="0" w:space="0" w:color="auto"/>
                            <w:left w:val="none" w:sz="0" w:space="0" w:color="auto"/>
                            <w:bottom w:val="none" w:sz="0" w:space="0" w:color="auto"/>
                            <w:right w:val="none" w:sz="0" w:space="0" w:color="auto"/>
                          </w:divBdr>
                          <w:divsChild>
                            <w:div w:id="2050300595">
                              <w:marLeft w:val="0"/>
                              <w:marRight w:val="0"/>
                              <w:marTop w:val="0"/>
                              <w:marBottom w:val="0"/>
                              <w:divBdr>
                                <w:top w:val="none" w:sz="0" w:space="0" w:color="auto"/>
                                <w:left w:val="none" w:sz="0" w:space="0" w:color="auto"/>
                                <w:bottom w:val="none" w:sz="0" w:space="0" w:color="auto"/>
                                <w:right w:val="none" w:sz="0" w:space="0" w:color="auto"/>
                              </w:divBdr>
                              <w:divsChild>
                                <w:div w:id="1753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269936">
      <w:bodyDiv w:val="1"/>
      <w:marLeft w:val="0"/>
      <w:marRight w:val="0"/>
      <w:marTop w:val="0"/>
      <w:marBottom w:val="0"/>
      <w:divBdr>
        <w:top w:val="none" w:sz="0" w:space="0" w:color="auto"/>
        <w:left w:val="none" w:sz="0" w:space="0" w:color="auto"/>
        <w:bottom w:val="none" w:sz="0" w:space="0" w:color="auto"/>
        <w:right w:val="none" w:sz="0" w:space="0" w:color="auto"/>
      </w:divBdr>
    </w:div>
    <w:div w:id="1181697705">
      <w:bodyDiv w:val="1"/>
      <w:marLeft w:val="0"/>
      <w:marRight w:val="0"/>
      <w:marTop w:val="0"/>
      <w:marBottom w:val="0"/>
      <w:divBdr>
        <w:top w:val="none" w:sz="0" w:space="0" w:color="auto"/>
        <w:left w:val="none" w:sz="0" w:space="0" w:color="auto"/>
        <w:bottom w:val="none" w:sz="0" w:space="0" w:color="auto"/>
        <w:right w:val="none" w:sz="0" w:space="0" w:color="auto"/>
      </w:divBdr>
    </w:div>
    <w:div w:id="1206790181">
      <w:bodyDiv w:val="1"/>
      <w:marLeft w:val="0"/>
      <w:marRight w:val="0"/>
      <w:marTop w:val="0"/>
      <w:marBottom w:val="0"/>
      <w:divBdr>
        <w:top w:val="none" w:sz="0" w:space="0" w:color="auto"/>
        <w:left w:val="none" w:sz="0" w:space="0" w:color="auto"/>
        <w:bottom w:val="none" w:sz="0" w:space="0" w:color="auto"/>
        <w:right w:val="none" w:sz="0" w:space="0" w:color="auto"/>
      </w:divBdr>
    </w:div>
    <w:div w:id="1224411062">
      <w:bodyDiv w:val="1"/>
      <w:marLeft w:val="0"/>
      <w:marRight w:val="0"/>
      <w:marTop w:val="0"/>
      <w:marBottom w:val="0"/>
      <w:divBdr>
        <w:top w:val="none" w:sz="0" w:space="0" w:color="auto"/>
        <w:left w:val="none" w:sz="0" w:space="0" w:color="auto"/>
        <w:bottom w:val="none" w:sz="0" w:space="0" w:color="auto"/>
        <w:right w:val="none" w:sz="0" w:space="0" w:color="auto"/>
      </w:divBdr>
    </w:div>
    <w:div w:id="1247423134">
      <w:bodyDiv w:val="1"/>
      <w:marLeft w:val="0"/>
      <w:marRight w:val="0"/>
      <w:marTop w:val="0"/>
      <w:marBottom w:val="0"/>
      <w:divBdr>
        <w:top w:val="none" w:sz="0" w:space="0" w:color="auto"/>
        <w:left w:val="none" w:sz="0" w:space="0" w:color="auto"/>
        <w:bottom w:val="none" w:sz="0" w:space="0" w:color="auto"/>
        <w:right w:val="none" w:sz="0" w:space="0" w:color="auto"/>
      </w:divBdr>
    </w:div>
    <w:div w:id="1251692398">
      <w:bodyDiv w:val="1"/>
      <w:marLeft w:val="0"/>
      <w:marRight w:val="0"/>
      <w:marTop w:val="0"/>
      <w:marBottom w:val="0"/>
      <w:divBdr>
        <w:top w:val="none" w:sz="0" w:space="0" w:color="auto"/>
        <w:left w:val="none" w:sz="0" w:space="0" w:color="auto"/>
        <w:bottom w:val="none" w:sz="0" w:space="0" w:color="auto"/>
        <w:right w:val="none" w:sz="0" w:space="0" w:color="auto"/>
      </w:divBdr>
    </w:div>
    <w:div w:id="1281448235">
      <w:bodyDiv w:val="1"/>
      <w:marLeft w:val="0"/>
      <w:marRight w:val="0"/>
      <w:marTop w:val="0"/>
      <w:marBottom w:val="0"/>
      <w:divBdr>
        <w:top w:val="none" w:sz="0" w:space="0" w:color="auto"/>
        <w:left w:val="none" w:sz="0" w:space="0" w:color="auto"/>
        <w:bottom w:val="none" w:sz="0" w:space="0" w:color="auto"/>
        <w:right w:val="none" w:sz="0" w:space="0" w:color="auto"/>
      </w:divBdr>
      <w:divsChild>
        <w:div w:id="275720844">
          <w:marLeft w:val="0"/>
          <w:marRight w:val="0"/>
          <w:marTop w:val="0"/>
          <w:marBottom w:val="0"/>
          <w:divBdr>
            <w:top w:val="none" w:sz="0" w:space="0" w:color="auto"/>
            <w:left w:val="none" w:sz="0" w:space="0" w:color="auto"/>
            <w:bottom w:val="none" w:sz="0" w:space="0" w:color="auto"/>
            <w:right w:val="none" w:sz="0" w:space="0" w:color="auto"/>
          </w:divBdr>
          <w:divsChild>
            <w:div w:id="1343430135">
              <w:marLeft w:val="0"/>
              <w:marRight w:val="0"/>
              <w:marTop w:val="0"/>
              <w:marBottom w:val="0"/>
              <w:divBdr>
                <w:top w:val="none" w:sz="0" w:space="0" w:color="auto"/>
                <w:left w:val="none" w:sz="0" w:space="0" w:color="auto"/>
                <w:bottom w:val="none" w:sz="0" w:space="0" w:color="auto"/>
                <w:right w:val="none" w:sz="0" w:space="0" w:color="auto"/>
              </w:divBdr>
              <w:divsChild>
                <w:div w:id="145971438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130592812">
                          <w:marLeft w:val="0"/>
                          <w:marRight w:val="0"/>
                          <w:marTop w:val="0"/>
                          <w:marBottom w:val="0"/>
                          <w:divBdr>
                            <w:top w:val="none" w:sz="0" w:space="0" w:color="auto"/>
                            <w:left w:val="none" w:sz="0" w:space="0" w:color="auto"/>
                            <w:bottom w:val="none" w:sz="0" w:space="0" w:color="auto"/>
                            <w:right w:val="none" w:sz="0" w:space="0" w:color="auto"/>
                          </w:divBdr>
                          <w:divsChild>
                            <w:div w:id="2059889800">
                              <w:marLeft w:val="0"/>
                              <w:marRight w:val="0"/>
                              <w:marTop w:val="0"/>
                              <w:marBottom w:val="0"/>
                              <w:divBdr>
                                <w:top w:val="none" w:sz="0" w:space="0" w:color="auto"/>
                                <w:left w:val="none" w:sz="0" w:space="0" w:color="auto"/>
                                <w:bottom w:val="none" w:sz="0" w:space="0" w:color="auto"/>
                                <w:right w:val="none" w:sz="0" w:space="0" w:color="auto"/>
                              </w:divBdr>
                              <w:divsChild>
                                <w:div w:id="1848404979">
                                  <w:marLeft w:val="0"/>
                                  <w:marRight w:val="0"/>
                                  <w:marTop w:val="0"/>
                                  <w:marBottom w:val="0"/>
                                  <w:divBdr>
                                    <w:top w:val="none" w:sz="0" w:space="0" w:color="auto"/>
                                    <w:left w:val="none" w:sz="0" w:space="0" w:color="auto"/>
                                    <w:bottom w:val="none" w:sz="0" w:space="0" w:color="auto"/>
                                    <w:right w:val="none" w:sz="0" w:space="0" w:color="auto"/>
                                  </w:divBdr>
                                  <w:divsChild>
                                    <w:div w:id="8441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861887">
      <w:bodyDiv w:val="1"/>
      <w:marLeft w:val="0"/>
      <w:marRight w:val="0"/>
      <w:marTop w:val="0"/>
      <w:marBottom w:val="0"/>
      <w:divBdr>
        <w:top w:val="none" w:sz="0" w:space="0" w:color="auto"/>
        <w:left w:val="none" w:sz="0" w:space="0" w:color="auto"/>
        <w:bottom w:val="none" w:sz="0" w:space="0" w:color="auto"/>
        <w:right w:val="none" w:sz="0" w:space="0" w:color="auto"/>
      </w:divBdr>
      <w:divsChild>
        <w:div w:id="435564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395407">
      <w:bodyDiv w:val="1"/>
      <w:marLeft w:val="0"/>
      <w:marRight w:val="0"/>
      <w:marTop w:val="0"/>
      <w:marBottom w:val="0"/>
      <w:divBdr>
        <w:top w:val="none" w:sz="0" w:space="0" w:color="auto"/>
        <w:left w:val="none" w:sz="0" w:space="0" w:color="auto"/>
        <w:bottom w:val="none" w:sz="0" w:space="0" w:color="auto"/>
        <w:right w:val="none" w:sz="0" w:space="0" w:color="auto"/>
      </w:divBdr>
      <w:divsChild>
        <w:div w:id="1016225155">
          <w:marLeft w:val="547"/>
          <w:marRight w:val="0"/>
          <w:marTop w:val="120"/>
          <w:marBottom w:val="0"/>
          <w:divBdr>
            <w:top w:val="none" w:sz="0" w:space="0" w:color="auto"/>
            <w:left w:val="none" w:sz="0" w:space="0" w:color="auto"/>
            <w:bottom w:val="none" w:sz="0" w:space="0" w:color="auto"/>
            <w:right w:val="none" w:sz="0" w:space="0" w:color="auto"/>
          </w:divBdr>
        </w:div>
        <w:div w:id="1200779164">
          <w:marLeft w:val="547"/>
          <w:marRight w:val="0"/>
          <w:marTop w:val="120"/>
          <w:marBottom w:val="0"/>
          <w:divBdr>
            <w:top w:val="none" w:sz="0" w:space="0" w:color="auto"/>
            <w:left w:val="none" w:sz="0" w:space="0" w:color="auto"/>
            <w:bottom w:val="none" w:sz="0" w:space="0" w:color="auto"/>
            <w:right w:val="none" w:sz="0" w:space="0" w:color="auto"/>
          </w:divBdr>
        </w:div>
        <w:div w:id="1850562597">
          <w:marLeft w:val="1166"/>
          <w:marRight w:val="0"/>
          <w:marTop w:val="120"/>
          <w:marBottom w:val="0"/>
          <w:divBdr>
            <w:top w:val="none" w:sz="0" w:space="0" w:color="auto"/>
            <w:left w:val="none" w:sz="0" w:space="0" w:color="auto"/>
            <w:bottom w:val="none" w:sz="0" w:space="0" w:color="auto"/>
            <w:right w:val="none" w:sz="0" w:space="0" w:color="auto"/>
          </w:divBdr>
        </w:div>
        <w:div w:id="1931504403">
          <w:marLeft w:val="1166"/>
          <w:marRight w:val="0"/>
          <w:marTop w:val="120"/>
          <w:marBottom w:val="0"/>
          <w:divBdr>
            <w:top w:val="none" w:sz="0" w:space="0" w:color="auto"/>
            <w:left w:val="none" w:sz="0" w:space="0" w:color="auto"/>
            <w:bottom w:val="none" w:sz="0" w:space="0" w:color="auto"/>
            <w:right w:val="none" w:sz="0" w:space="0" w:color="auto"/>
          </w:divBdr>
        </w:div>
        <w:div w:id="2039894261">
          <w:marLeft w:val="547"/>
          <w:marRight w:val="0"/>
          <w:marTop w:val="120"/>
          <w:marBottom w:val="0"/>
          <w:divBdr>
            <w:top w:val="none" w:sz="0" w:space="0" w:color="auto"/>
            <w:left w:val="none" w:sz="0" w:space="0" w:color="auto"/>
            <w:bottom w:val="none" w:sz="0" w:space="0" w:color="auto"/>
            <w:right w:val="none" w:sz="0" w:space="0" w:color="auto"/>
          </w:divBdr>
        </w:div>
      </w:divsChild>
    </w:div>
    <w:div w:id="1328553129">
      <w:bodyDiv w:val="1"/>
      <w:marLeft w:val="0"/>
      <w:marRight w:val="0"/>
      <w:marTop w:val="0"/>
      <w:marBottom w:val="0"/>
      <w:divBdr>
        <w:top w:val="none" w:sz="0" w:space="0" w:color="auto"/>
        <w:left w:val="none" w:sz="0" w:space="0" w:color="auto"/>
        <w:bottom w:val="none" w:sz="0" w:space="0" w:color="auto"/>
        <w:right w:val="none" w:sz="0" w:space="0" w:color="auto"/>
      </w:divBdr>
      <w:divsChild>
        <w:div w:id="2010982251">
          <w:marLeft w:val="0"/>
          <w:marRight w:val="0"/>
          <w:marTop w:val="0"/>
          <w:marBottom w:val="0"/>
          <w:divBdr>
            <w:top w:val="none" w:sz="0" w:space="0" w:color="auto"/>
            <w:left w:val="none" w:sz="0" w:space="0" w:color="auto"/>
            <w:bottom w:val="none" w:sz="0" w:space="0" w:color="auto"/>
            <w:right w:val="none" w:sz="0" w:space="0" w:color="auto"/>
          </w:divBdr>
          <w:divsChild>
            <w:div w:id="1337344791">
              <w:marLeft w:val="0"/>
              <w:marRight w:val="0"/>
              <w:marTop w:val="0"/>
              <w:marBottom w:val="0"/>
              <w:divBdr>
                <w:top w:val="none" w:sz="0" w:space="0" w:color="auto"/>
                <w:left w:val="none" w:sz="0" w:space="0" w:color="auto"/>
                <w:bottom w:val="none" w:sz="0" w:space="0" w:color="auto"/>
                <w:right w:val="none" w:sz="0" w:space="0" w:color="auto"/>
              </w:divBdr>
              <w:divsChild>
                <w:div w:id="843128449">
                  <w:marLeft w:val="4050"/>
                  <w:marRight w:val="4050"/>
                  <w:marTop w:val="0"/>
                  <w:marBottom w:val="0"/>
                  <w:divBdr>
                    <w:top w:val="none" w:sz="0" w:space="0" w:color="auto"/>
                    <w:left w:val="none" w:sz="0" w:space="0" w:color="auto"/>
                    <w:bottom w:val="none" w:sz="0" w:space="0" w:color="auto"/>
                    <w:right w:val="none" w:sz="0" w:space="0" w:color="auto"/>
                  </w:divBdr>
                  <w:divsChild>
                    <w:div w:id="847410292">
                      <w:marLeft w:val="-15"/>
                      <w:marRight w:val="-15"/>
                      <w:marTop w:val="75"/>
                      <w:marBottom w:val="0"/>
                      <w:divBdr>
                        <w:top w:val="none" w:sz="0" w:space="0" w:color="auto"/>
                        <w:left w:val="none" w:sz="0" w:space="0" w:color="auto"/>
                        <w:bottom w:val="none" w:sz="0" w:space="0" w:color="auto"/>
                        <w:right w:val="none" w:sz="0" w:space="0" w:color="auto"/>
                      </w:divBdr>
                      <w:divsChild>
                        <w:div w:id="5352397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43508282">
      <w:bodyDiv w:val="1"/>
      <w:marLeft w:val="0"/>
      <w:marRight w:val="0"/>
      <w:marTop w:val="0"/>
      <w:marBottom w:val="0"/>
      <w:divBdr>
        <w:top w:val="none" w:sz="0" w:space="0" w:color="auto"/>
        <w:left w:val="none" w:sz="0" w:space="0" w:color="auto"/>
        <w:bottom w:val="none" w:sz="0" w:space="0" w:color="auto"/>
        <w:right w:val="none" w:sz="0" w:space="0" w:color="auto"/>
      </w:divBdr>
    </w:div>
    <w:div w:id="1370104404">
      <w:bodyDiv w:val="1"/>
      <w:marLeft w:val="0"/>
      <w:marRight w:val="0"/>
      <w:marTop w:val="0"/>
      <w:marBottom w:val="0"/>
      <w:divBdr>
        <w:top w:val="none" w:sz="0" w:space="0" w:color="auto"/>
        <w:left w:val="none" w:sz="0" w:space="0" w:color="auto"/>
        <w:bottom w:val="none" w:sz="0" w:space="0" w:color="auto"/>
        <w:right w:val="none" w:sz="0" w:space="0" w:color="auto"/>
      </w:divBdr>
      <w:divsChild>
        <w:div w:id="1854539098">
          <w:marLeft w:val="0"/>
          <w:marRight w:val="0"/>
          <w:marTop w:val="0"/>
          <w:marBottom w:val="0"/>
          <w:divBdr>
            <w:top w:val="none" w:sz="0" w:space="0" w:color="auto"/>
            <w:left w:val="none" w:sz="0" w:space="0" w:color="auto"/>
            <w:bottom w:val="none" w:sz="0" w:space="0" w:color="auto"/>
            <w:right w:val="none" w:sz="0" w:space="0" w:color="auto"/>
          </w:divBdr>
          <w:divsChild>
            <w:div w:id="427698712">
              <w:marLeft w:val="0"/>
              <w:marRight w:val="0"/>
              <w:marTop w:val="0"/>
              <w:marBottom w:val="0"/>
              <w:divBdr>
                <w:top w:val="none" w:sz="0" w:space="0" w:color="auto"/>
                <w:left w:val="none" w:sz="0" w:space="0" w:color="auto"/>
                <w:bottom w:val="none" w:sz="0" w:space="0" w:color="auto"/>
                <w:right w:val="none" w:sz="0" w:space="0" w:color="auto"/>
              </w:divBdr>
              <w:divsChild>
                <w:div w:id="540939833">
                  <w:marLeft w:val="4050"/>
                  <w:marRight w:val="4050"/>
                  <w:marTop w:val="0"/>
                  <w:marBottom w:val="0"/>
                  <w:divBdr>
                    <w:top w:val="none" w:sz="0" w:space="0" w:color="auto"/>
                    <w:left w:val="none" w:sz="0" w:space="0" w:color="auto"/>
                    <w:bottom w:val="none" w:sz="0" w:space="0" w:color="auto"/>
                    <w:right w:val="none" w:sz="0" w:space="0" w:color="auto"/>
                  </w:divBdr>
                  <w:divsChild>
                    <w:div w:id="776096224">
                      <w:marLeft w:val="-4050"/>
                      <w:marRight w:val="0"/>
                      <w:marTop w:val="0"/>
                      <w:marBottom w:val="0"/>
                      <w:divBdr>
                        <w:top w:val="none" w:sz="0" w:space="0" w:color="auto"/>
                        <w:left w:val="none" w:sz="0" w:space="0" w:color="auto"/>
                        <w:bottom w:val="none" w:sz="0" w:space="0" w:color="auto"/>
                        <w:right w:val="none" w:sz="0" w:space="0" w:color="auto"/>
                      </w:divBdr>
                      <w:divsChild>
                        <w:div w:id="1682974987">
                          <w:marLeft w:val="675"/>
                          <w:marRight w:val="0"/>
                          <w:marTop w:val="0"/>
                          <w:marBottom w:val="300"/>
                          <w:divBdr>
                            <w:top w:val="none" w:sz="0" w:space="0" w:color="auto"/>
                            <w:left w:val="none" w:sz="0" w:space="0" w:color="auto"/>
                            <w:bottom w:val="none" w:sz="0" w:space="0" w:color="auto"/>
                            <w:right w:val="none" w:sz="0" w:space="0" w:color="auto"/>
                          </w:divBdr>
                        </w:div>
                      </w:divsChild>
                    </w:div>
                    <w:div w:id="839808299">
                      <w:marLeft w:val="-15"/>
                      <w:marRight w:val="-15"/>
                      <w:marTop w:val="75"/>
                      <w:marBottom w:val="0"/>
                      <w:divBdr>
                        <w:top w:val="none" w:sz="0" w:space="0" w:color="auto"/>
                        <w:left w:val="none" w:sz="0" w:space="0" w:color="auto"/>
                        <w:bottom w:val="none" w:sz="0" w:space="0" w:color="auto"/>
                        <w:right w:val="none" w:sz="0" w:space="0" w:color="auto"/>
                      </w:divBdr>
                      <w:divsChild>
                        <w:div w:id="123234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78505946">
      <w:bodyDiv w:val="1"/>
      <w:marLeft w:val="0"/>
      <w:marRight w:val="0"/>
      <w:marTop w:val="0"/>
      <w:marBottom w:val="0"/>
      <w:divBdr>
        <w:top w:val="none" w:sz="0" w:space="0" w:color="auto"/>
        <w:left w:val="none" w:sz="0" w:space="0" w:color="auto"/>
        <w:bottom w:val="none" w:sz="0" w:space="0" w:color="auto"/>
        <w:right w:val="none" w:sz="0" w:space="0" w:color="auto"/>
      </w:divBdr>
    </w:div>
    <w:div w:id="1381858910">
      <w:bodyDiv w:val="1"/>
      <w:marLeft w:val="0"/>
      <w:marRight w:val="0"/>
      <w:marTop w:val="0"/>
      <w:marBottom w:val="0"/>
      <w:divBdr>
        <w:top w:val="none" w:sz="0" w:space="0" w:color="auto"/>
        <w:left w:val="none" w:sz="0" w:space="0" w:color="auto"/>
        <w:bottom w:val="none" w:sz="0" w:space="0" w:color="auto"/>
        <w:right w:val="none" w:sz="0" w:space="0" w:color="auto"/>
      </w:divBdr>
      <w:divsChild>
        <w:div w:id="1103574309">
          <w:marLeft w:val="0"/>
          <w:marRight w:val="0"/>
          <w:marTop w:val="0"/>
          <w:marBottom w:val="0"/>
          <w:divBdr>
            <w:top w:val="none" w:sz="0" w:space="0" w:color="auto"/>
            <w:left w:val="none" w:sz="0" w:space="0" w:color="auto"/>
            <w:bottom w:val="none" w:sz="0" w:space="0" w:color="auto"/>
            <w:right w:val="none" w:sz="0" w:space="0" w:color="auto"/>
          </w:divBdr>
          <w:divsChild>
            <w:div w:id="1088387482">
              <w:marLeft w:val="0"/>
              <w:marRight w:val="0"/>
              <w:marTop w:val="0"/>
              <w:marBottom w:val="0"/>
              <w:divBdr>
                <w:top w:val="none" w:sz="0" w:space="0" w:color="auto"/>
                <w:left w:val="none" w:sz="0" w:space="0" w:color="auto"/>
                <w:bottom w:val="none" w:sz="0" w:space="0" w:color="auto"/>
                <w:right w:val="none" w:sz="0" w:space="0" w:color="auto"/>
              </w:divBdr>
              <w:divsChild>
                <w:div w:id="714737279">
                  <w:marLeft w:val="0"/>
                  <w:marRight w:val="0"/>
                  <w:marTop w:val="0"/>
                  <w:marBottom w:val="0"/>
                  <w:divBdr>
                    <w:top w:val="none" w:sz="0" w:space="0" w:color="auto"/>
                    <w:left w:val="none" w:sz="0" w:space="0" w:color="auto"/>
                    <w:bottom w:val="none" w:sz="0" w:space="0" w:color="auto"/>
                    <w:right w:val="none" w:sz="0" w:space="0" w:color="auto"/>
                  </w:divBdr>
                  <w:divsChild>
                    <w:div w:id="255024459">
                      <w:marLeft w:val="0"/>
                      <w:marRight w:val="0"/>
                      <w:marTop w:val="0"/>
                      <w:marBottom w:val="0"/>
                      <w:divBdr>
                        <w:top w:val="none" w:sz="0" w:space="0" w:color="auto"/>
                        <w:left w:val="none" w:sz="0" w:space="0" w:color="auto"/>
                        <w:bottom w:val="none" w:sz="0" w:space="0" w:color="auto"/>
                        <w:right w:val="none" w:sz="0" w:space="0" w:color="auto"/>
                      </w:divBdr>
                      <w:divsChild>
                        <w:div w:id="1228152227">
                          <w:marLeft w:val="90"/>
                          <w:marRight w:val="90"/>
                          <w:marTop w:val="0"/>
                          <w:marBottom w:val="0"/>
                          <w:divBdr>
                            <w:top w:val="none" w:sz="0" w:space="0" w:color="auto"/>
                            <w:left w:val="none" w:sz="0" w:space="0" w:color="auto"/>
                            <w:bottom w:val="none" w:sz="0" w:space="0" w:color="auto"/>
                            <w:right w:val="none" w:sz="0" w:space="0" w:color="auto"/>
                          </w:divBdr>
                          <w:divsChild>
                            <w:div w:id="233702412">
                              <w:marLeft w:val="0"/>
                              <w:marRight w:val="0"/>
                              <w:marTop w:val="0"/>
                              <w:marBottom w:val="0"/>
                              <w:divBdr>
                                <w:top w:val="none" w:sz="0" w:space="0" w:color="auto"/>
                                <w:left w:val="none" w:sz="0" w:space="0" w:color="auto"/>
                                <w:bottom w:val="none" w:sz="0" w:space="0" w:color="auto"/>
                                <w:right w:val="none" w:sz="0" w:space="0" w:color="auto"/>
                              </w:divBdr>
                              <w:divsChild>
                                <w:div w:id="2091077294">
                                  <w:marLeft w:val="0"/>
                                  <w:marRight w:val="0"/>
                                  <w:marTop w:val="0"/>
                                  <w:marBottom w:val="0"/>
                                  <w:divBdr>
                                    <w:top w:val="none" w:sz="0" w:space="0" w:color="auto"/>
                                    <w:left w:val="none" w:sz="0" w:space="0" w:color="auto"/>
                                    <w:bottom w:val="none" w:sz="0" w:space="0" w:color="auto"/>
                                    <w:right w:val="none" w:sz="0" w:space="0" w:color="auto"/>
                                  </w:divBdr>
                                  <w:divsChild>
                                    <w:div w:id="2116710481">
                                      <w:marLeft w:val="90"/>
                                      <w:marRight w:val="90"/>
                                      <w:marTop w:val="0"/>
                                      <w:marBottom w:val="0"/>
                                      <w:divBdr>
                                        <w:top w:val="none" w:sz="0" w:space="0" w:color="auto"/>
                                        <w:left w:val="none" w:sz="0" w:space="0" w:color="auto"/>
                                        <w:bottom w:val="none" w:sz="0" w:space="0" w:color="auto"/>
                                        <w:right w:val="none" w:sz="0" w:space="0" w:color="auto"/>
                                      </w:divBdr>
                                      <w:divsChild>
                                        <w:div w:id="219024028">
                                          <w:marLeft w:val="0"/>
                                          <w:marRight w:val="0"/>
                                          <w:marTop w:val="0"/>
                                          <w:marBottom w:val="0"/>
                                          <w:divBdr>
                                            <w:top w:val="none" w:sz="0" w:space="0" w:color="auto"/>
                                            <w:left w:val="none" w:sz="0" w:space="0" w:color="auto"/>
                                            <w:bottom w:val="none" w:sz="0" w:space="0" w:color="auto"/>
                                            <w:right w:val="none" w:sz="0" w:space="0" w:color="auto"/>
                                          </w:divBdr>
                                          <w:divsChild>
                                            <w:div w:id="2076199621">
                                              <w:marLeft w:val="0"/>
                                              <w:marRight w:val="0"/>
                                              <w:marTop w:val="0"/>
                                              <w:marBottom w:val="0"/>
                                              <w:divBdr>
                                                <w:top w:val="none" w:sz="0" w:space="0" w:color="auto"/>
                                                <w:left w:val="none" w:sz="0" w:space="0" w:color="auto"/>
                                                <w:bottom w:val="none" w:sz="0" w:space="0" w:color="auto"/>
                                                <w:right w:val="none" w:sz="0" w:space="0" w:color="auto"/>
                                              </w:divBdr>
                                              <w:divsChild>
                                                <w:div w:id="855001363">
                                                  <w:marLeft w:val="0"/>
                                                  <w:marRight w:val="0"/>
                                                  <w:marTop w:val="0"/>
                                                  <w:marBottom w:val="0"/>
                                                  <w:divBdr>
                                                    <w:top w:val="none" w:sz="0" w:space="0" w:color="auto"/>
                                                    <w:left w:val="none" w:sz="0" w:space="0" w:color="auto"/>
                                                    <w:bottom w:val="none" w:sz="0" w:space="0" w:color="auto"/>
                                                    <w:right w:val="none" w:sz="0" w:space="0" w:color="auto"/>
                                                  </w:divBdr>
                                                  <w:divsChild>
                                                    <w:div w:id="603197839">
                                                      <w:marLeft w:val="90"/>
                                                      <w:marRight w:val="90"/>
                                                      <w:marTop w:val="0"/>
                                                      <w:marBottom w:val="0"/>
                                                      <w:divBdr>
                                                        <w:top w:val="none" w:sz="0" w:space="0" w:color="auto"/>
                                                        <w:left w:val="none" w:sz="0" w:space="0" w:color="auto"/>
                                                        <w:bottom w:val="none" w:sz="0" w:space="0" w:color="auto"/>
                                                        <w:right w:val="none" w:sz="0" w:space="0" w:color="auto"/>
                                                      </w:divBdr>
                                                      <w:divsChild>
                                                        <w:div w:id="1467505428">
                                                          <w:marLeft w:val="0"/>
                                                          <w:marRight w:val="0"/>
                                                          <w:marTop w:val="0"/>
                                                          <w:marBottom w:val="0"/>
                                                          <w:divBdr>
                                                            <w:top w:val="none" w:sz="0" w:space="0" w:color="auto"/>
                                                            <w:left w:val="none" w:sz="0" w:space="0" w:color="auto"/>
                                                            <w:bottom w:val="none" w:sz="0" w:space="0" w:color="auto"/>
                                                            <w:right w:val="none" w:sz="0" w:space="0" w:color="auto"/>
                                                          </w:divBdr>
                                                          <w:divsChild>
                                                            <w:div w:id="2044163162">
                                                              <w:marLeft w:val="0"/>
                                                              <w:marRight w:val="0"/>
                                                              <w:marTop w:val="0"/>
                                                              <w:marBottom w:val="0"/>
                                                              <w:divBdr>
                                                                <w:top w:val="none" w:sz="0" w:space="0" w:color="auto"/>
                                                                <w:left w:val="none" w:sz="0" w:space="0" w:color="auto"/>
                                                                <w:bottom w:val="none" w:sz="0" w:space="0" w:color="auto"/>
                                                                <w:right w:val="none" w:sz="0" w:space="0" w:color="auto"/>
                                                              </w:divBdr>
                                                              <w:divsChild>
                                                                <w:div w:id="2050833102">
                                                                  <w:marLeft w:val="0"/>
                                                                  <w:marRight w:val="0"/>
                                                                  <w:marTop w:val="0"/>
                                                                  <w:marBottom w:val="0"/>
                                                                  <w:divBdr>
                                                                    <w:top w:val="none" w:sz="0" w:space="0" w:color="auto"/>
                                                                    <w:left w:val="none" w:sz="0" w:space="0" w:color="auto"/>
                                                                    <w:bottom w:val="none" w:sz="0" w:space="0" w:color="auto"/>
                                                                    <w:right w:val="none" w:sz="0" w:space="0" w:color="auto"/>
                                                                  </w:divBdr>
                                                                  <w:divsChild>
                                                                    <w:div w:id="512692418">
                                                                      <w:marLeft w:val="0"/>
                                                                      <w:marRight w:val="0"/>
                                                                      <w:marTop w:val="0"/>
                                                                      <w:marBottom w:val="0"/>
                                                                      <w:divBdr>
                                                                        <w:top w:val="none" w:sz="0" w:space="0" w:color="auto"/>
                                                                        <w:left w:val="none" w:sz="0" w:space="0" w:color="auto"/>
                                                                        <w:bottom w:val="none" w:sz="0" w:space="0" w:color="auto"/>
                                                                        <w:right w:val="none" w:sz="0" w:space="0" w:color="auto"/>
                                                                      </w:divBdr>
                                                                      <w:divsChild>
                                                                        <w:div w:id="18266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747220">
      <w:bodyDiv w:val="1"/>
      <w:marLeft w:val="0"/>
      <w:marRight w:val="0"/>
      <w:marTop w:val="0"/>
      <w:marBottom w:val="0"/>
      <w:divBdr>
        <w:top w:val="none" w:sz="0" w:space="0" w:color="auto"/>
        <w:left w:val="none" w:sz="0" w:space="0" w:color="auto"/>
        <w:bottom w:val="none" w:sz="0" w:space="0" w:color="auto"/>
        <w:right w:val="none" w:sz="0" w:space="0" w:color="auto"/>
      </w:divBdr>
    </w:div>
    <w:div w:id="1391226249">
      <w:bodyDiv w:val="1"/>
      <w:marLeft w:val="0"/>
      <w:marRight w:val="0"/>
      <w:marTop w:val="0"/>
      <w:marBottom w:val="0"/>
      <w:divBdr>
        <w:top w:val="none" w:sz="0" w:space="0" w:color="auto"/>
        <w:left w:val="none" w:sz="0" w:space="0" w:color="auto"/>
        <w:bottom w:val="none" w:sz="0" w:space="0" w:color="auto"/>
        <w:right w:val="none" w:sz="0" w:space="0" w:color="auto"/>
      </w:divBdr>
    </w:div>
    <w:div w:id="1425151575">
      <w:bodyDiv w:val="1"/>
      <w:marLeft w:val="0"/>
      <w:marRight w:val="0"/>
      <w:marTop w:val="0"/>
      <w:marBottom w:val="0"/>
      <w:divBdr>
        <w:top w:val="single" w:sz="48" w:space="0" w:color="006430"/>
        <w:left w:val="none" w:sz="0" w:space="0" w:color="auto"/>
        <w:bottom w:val="none" w:sz="0" w:space="0" w:color="auto"/>
        <w:right w:val="none" w:sz="0" w:space="0" w:color="auto"/>
      </w:divBdr>
      <w:divsChild>
        <w:div w:id="582421754">
          <w:marLeft w:val="0"/>
          <w:marRight w:val="0"/>
          <w:marTop w:val="0"/>
          <w:marBottom w:val="0"/>
          <w:divBdr>
            <w:top w:val="none" w:sz="0" w:space="0" w:color="auto"/>
            <w:left w:val="none" w:sz="0" w:space="0" w:color="auto"/>
            <w:bottom w:val="none" w:sz="0" w:space="0" w:color="auto"/>
            <w:right w:val="none" w:sz="0" w:space="0" w:color="auto"/>
          </w:divBdr>
          <w:divsChild>
            <w:div w:id="1969429737">
              <w:marLeft w:val="0"/>
              <w:marRight w:val="0"/>
              <w:marTop w:val="0"/>
              <w:marBottom w:val="0"/>
              <w:divBdr>
                <w:top w:val="none" w:sz="0" w:space="0" w:color="auto"/>
                <w:left w:val="none" w:sz="0" w:space="0" w:color="auto"/>
                <w:bottom w:val="none" w:sz="0" w:space="0" w:color="auto"/>
                <w:right w:val="none" w:sz="0" w:space="0" w:color="auto"/>
              </w:divBdr>
              <w:divsChild>
                <w:div w:id="165639072">
                  <w:marLeft w:val="0"/>
                  <w:marRight w:val="0"/>
                  <w:marTop w:val="0"/>
                  <w:marBottom w:val="0"/>
                  <w:divBdr>
                    <w:top w:val="none" w:sz="0" w:space="0" w:color="auto"/>
                    <w:left w:val="none" w:sz="0" w:space="0" w:color="auto"/>
                    <w:bottom w:val="none" w:sz="0" w:space="0" w:color="auto"/>
                    <w:right w:val="none" w:sz="0" w:space="0" w:color="auto"/>
                  </w:divBdr>
                  <w:divsChild>
                    <w:div w:id="1539662802">
                      <w:marLeft w:val="150"/>
                      <w:marRight w:val="150"/>
                      <w:marTop w:val="0"/>
                      <w:marBottom w:val="0"/>
                      <w:divBdr>
                        <w:top w:val="none" w:sz="0" w:space="0" w:color="auto"/>
                        <w:left w:val="none" w:sz="0" w:space="0" w:color="auto"/>
                        <w:bottom w:val="none" w:sz="0" w:space="0" w:color="auto"/>
                        <w:right w:val="none" w:sz="0" w:space="0" w:color="auto"/>
                      </w:divBdr>
                      <w:divsChild>
                        <w:div w:id="2063482580">
                          <w:marLeft w:val="0"/>
                          <w:marRight w:val="0"/>
                          <w:marTop w:val="0"/>
                          <w:marBottom w:val="0"/>
                          <w:divBdr>
                            <w:top w:val="none" w:sz="0" w:space="0" w:color="auto"/>
                            <w:left w:val="none" w:sz="0" w:space="0" w:color="auto"/>
                            <w:bottom w:val="none" w:sz="0" w:space="0" w:color="auto"/>
                            <w:right w:val="none" w:sz="0" w:space="0" w:color="auto"/>
                          </w:divBdr>
                          <w:divsChild>
                            <w:div w:id="1152482402">
                              <w:marLeft w:val="0"/>
                              <w:marRight w:val="0"/>
                              <w:marTop w:val="0"/>
                              <w:marBottom w:val="0"/>
                              <w:divBdr>
                                <w:top w:val="none" w:sz="0" w:space="0" w:color="auto"/>
                                <w:left w:val="none" w:sz="0" w:space="0" w:color="auto"/>
                                <w:bottom w:val="none" w:sz="0" w:space="0" w:color="auto"/>
                                <w:right w:val="none" w:sz="0" w:space="0" w:color="auto"/>
                              </w:divBdr>
                              <w:divsChild>
                                <w:div w:id="676731137">
                                  <w:marLeft w:val="0"/>
                                  <w:marRight w:val="0"/>
                                  <w:marTop w:val="0"/>
                                  <w:marBottom w:val="0"/>
                                  <w:divBdr>
                                    <w:top w:val="none" w:sz="0" w:space="0" w:color="auto"/>
                                    <w:left w:val="none" w:sz="0" w:space="0" w:color="auto"/>
                                    <w:bottom w:val="none" w:sz="0" w:space="0" w:color="auto"/>
                                    <w:right w:val="none" w:sz="0" w:space="0" w:color="auto"/>
                                  </w:divBdr>
                                  <w:divsChild>
                                    <w:div w:id="76950989">
                                      <w:marLeft w:val="0"/>
                                      <w:marRight w:val="0"/>
                                      <w:marTop w:val="0"/>
                                      <w:marBottom w:val="0"/>
                                      <w:divBdr>
                                        <w:top w:val="none" w:sz="0" w:space="0" w:color="auto"/>
                                        <w:left w:val="none" w:sz="0" w:space="0" w:color="auto"/>
                                        <w:bottom w:val="none" w:sz="0" w:space="0" w:color="auto"/>
                                        <w:right w:val="none" w:sz="0" w:space="0" w:color="auto"/>
                                      </w:divBdr>
                                      <w:divsChild>
                                        <w:div w:id="916862436">
                                          <w:marLeft w:val="0"/>
                                          <w:marRight w:val="0"/>
                                          <w:marTop w:val="0"/>
                                          <w:marBottom w:val="0"/>
                                          <w:divBdr>
                                            <w:top w:val="none" w:sz="0" w:space="0" w:color="auto"/>
                                            <w:left w:val="none" w:sz="0" w:space="0" w:color="auto"/>
                                            <w:bottom w:val="none" w:sz="0" w:space="0" w:color="auto"/>
                                            <w:right w:val="none" w:sz="0" w:space="0" w:color="auto"/>
                                          </w:divBdr>
                                          <w:divsChild>
                                            <w:div w:id="8801794">
                                              <w:marLeft w:val="0"/>
                                              <w:marRight w:val="0"/>
                                              <w:marTop w:val="0"/>
                                              <w:marBottom w:val="0"/>
                                              <w:divBdr>
                                                <w:top w:val="none" w:sz="0" w:space="0" w:color="auto"/>
                                                <w:left w:val="none" w:sz="0" w:space="0" w:color="auto"/>
                                                <w:bottom w:val="none" w:sz="0" w:space="0" w:color="auto"/>
                                                <w:right w:val="none" w:sz="0" w:space="0" w:color="auto"/>
                                              </w:divBdr>
                                              <w:divsChild>
                                                <w:div w:id="1276016285">
                                                  <w:marLeft w:val="0"/>
                                                  <w:marRight w:val="0"/>
                                                  <w:marTop w:val="0"/>
                                                  <w:marBottom w:val="0"/>
                                                  <w:divBdr>
                                                    <w:top w:val="none" w:sz="0" w:space="0" w:color="auto"/>
                                                    <w:left w:val="none" w:sz="0" w:space="0" w:color="auto"/>
                                                    <w:bottom w:val="none" w:sz="0" w:space="0" w:color="auto"/>
                                                    <w:right w:val="none" w:sz="0" w:space="0" w:color="auto"/>
                                                  </w:divBdr>
                                                  <w:divsChild>
                                                    <w:div w:id="6834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332883">
      <w:bodyDiv w:val="1"/>
      <w:marLeft w:val="0"/>
      <w:marRight w:val="0"/>
      <w:marTop w:val="0"/>
      <w:marBottom w:val="0"/>
      <w:divBdr>
        <w:top w:val="none" w:sz="0" w:space="0" w:color="auto"/>
        <w:left w:val="none" w:sz="0" w:space="0" w:color="auto"/>
        <w:bottom w:val="none" w:sz="0" w:space="0" w:color="auto"/>
        <w:right w:val="none" w:sz="0" w:space="0" w:color="auto"/>
      </w:divBdr>
      <w:divsChild>
        <w:div w:id="164633080">
          <w:marLeft w:val="0"/>
          <w:marRight w:val="0"/>
          <w:marTop w:val="0"/>
          <w:marBottom w:val="0"/>
          <w:divBdr>
            <w:top w:val="none" w:sz="0" w:space="0" w:color="auto"/>
            <w:left w:val="none" w:sz="0" w:space="0" w:color="auto"/>
            <w:bottom w:val="none" w:sz="0" w:space="0" w:color="auto"/>
            <w:right w:val="none" w:sz="0" w:space="0" w:color="auto"/>
          </w:divBdr>
          <w:divsChild>
            <w:div w:id="613172716">
              <w:marLeft w:val="0"/>
              <w:marRight w:val="0"/>
              <w:marTop w:val="0"/>
              <w:marBottom w:val="0"/>
              <w:divBdr>
                <w:top w:val="none" w:sz="0" w:space="0" w:color="auto"/>
                <w:left w:val="none" w:sz="0" w:space="0" w:color="auto"/>
                <w:bottom w:val="none" w:sz="0" w:space="0" w:color="auto"/>
                <w:right w:val="none" w:sz="0" w:space="0" w:color="auto"/>
              </w:divBdr>
              <w:divsChild>
                <w:div w:id="947665521">
                  <w:marLeft w:val="0"/>
                  <w:marRight w:val="0"/>
                  <w:marTop w:val="0"/>
                  <w:marBottom w:val="0"/>
                  <w:divBdr>
                    <w:top w:val="none" w:sz="0" w:space="0" w:color="auto"/>
                    <w:left w:val="none" w:sz="0" w:space="0" w:color="auto"/>
                    <w:bottom w:val="none" w:sz="0" w:space="0" w:color="auto"/>
                    <w:right w:val="none" w:sz="0" w:space="0" w:color="auto"/>
                  </w:divBdr>
                  <w:divsChild>
                    <w:div w:id="159662530">
                      <w:marLeft w:val="0"/>
                      <w:marRight w:val="0"/>
                      <w:marTop w:val="0"/>
                      <w:marBottom w:val="0"/>
                      <w:divBdr>
                        <w:top w:val="none" w:sz="0" w:space="0" w:color="auto"/>
                        <w:left w:val="none" w:sz="0" w:space="0" w:color="auto"/>
                        <w:bottom w:val="none" w:sz="0" w:space="0" w:color="auto"/>
                        <w:right w:val="none" w:sz="0" w:space="0" w:color="auto"/>
                      </w:divBdr>
                      <w:divsChild>
                        <w:div w:id="1237131360">
                          <w:marLeft w:val="0"/>
                          <w:marRight w:val="0"/>
                          <w:marTop w:val="0"/>
                          <w:marBottom w:val="0"/>
                          <w:divBdr>
                            <w:top w:val="none" w:sz="0" w:space="0" w:color="auto"/>
                            <w:left w:val="none" w:sz="0" w:space="0" w:color="auto"/>
                            <w:bottom w:val="none" w:sz="0" w:space="0" w:color="auto"/>
                            <w:right w:val="none" w:sz="0" w:space="0" w:color="auto"/>
                          </w:divBdr>
                          <w:divsChild>
                            <w:div w:id="31392133">
                              <w:marLeft w:val="0"/>
                              <w:marRight w:val="0"/>
                              <w:marTop w:val="0"/>
                              <w:marBottom w:val="0"/>
                              <w:divBdr>
                                <w:top w:val="none" w:sz="0" w:space="0" w:color="auto"/>
                                <w:left w:val="none" w:sz="0" w:space="0" w:color="auto"/>
                                <w:bottom w:val="none" w:sz="0" w:space="0" w:color="auto"/>
                                <w:right w:val="none" w:sz="0" w:space="0" w:color="auto"/>
                              </w:divBdr>
                              <w:divsChild>
                                <w:div w:id="1743676323">
                                  <w:marLeft w:val="0"/>
                                  <w:marRight w:val="0"/>
                                  <w:marTop w:val="0"/>
                                  <w:marBottom w:val="0"/>
                                  <w:divBdr>
                                    <w:top w:val="none" w:sz="0" w:space="0" w:color="auto"/>
                                    <w:left w:val="none" w:sz="0" w:space="0" w:color="auto"/>
                                    <w:bottom w:val="none" w:sz="0" w:space="0" w:color="auto"/>
                                    <w:right w:val="none" w:sz="0" w:space="0" w:color="auto"/>
                                  </w:divBdr>
                                  <w:divsChild>
                                    <w:div w:id="2105220291">
                                      <w:marLeft w:val="0"/>
                                      <w:marRight w:val="0"/>
                                      <w:marTop w:val="0"/>
                                      <w:marBottom w:val="0"/>
                                      <w:divBdr>
                                        <w:top w:val="none" w:sz="0" w:space="0" w:color="auto"/>
                                        <w:left w:val="none" w:sz="0" w:space="0" w:color="auto"/>
                                        <w:bottom w:val="none" w:sz="0" w:space="0" w:color="auto"/>
                                        <w:right w:val="none" w:sz="0" w:space="0" w:color="auto"/>
                                      </w:divBdr>
                                      <w:divsChild>
                                        <w:div w:id="954868511">
                                          <w:marLeft w:val="0"/>
                                          <w:marRight w:val="0"/>
                                          <w:marTop w:val="0"/>
                                          <w:marBottom w:val="0"/>
                                          <w:divBdr>
                                            <w:top w:val="none" w:sz="0" w:space="0" w:color="auto"/>
                                            <w:left w:val="none" w:sz="0" w:space="0" w:color="auto"/>
                                            <w:bottom w:val="none" w:sz="0" w:space="0" w:color="auto"/>
                                            <w:right w:val="none" w:sz="0" w:space="0" w:color="auto"/>
                                          </w:divBdr>
                                          <w:divsChild>
                                            <w:div w:id="942421301">
                                              <w:marLeft w:val="0"/>
                                              <w:marRight w:val="0"/>
                                              <w:marTop w:val="0"/>
                                              <w:marBottom w:val="0"/>
                                              <w:divBdr>
                                                <w:top w:val="none" w:sz="0" w:space="0" w:color="auto"/>
                                                <w:left w:val="none" w:sz="0" w:space="0" w:color="auto"/>
                                                <w:bottom w:val="none" w:sz="0" w:space="0" w:color="auto"/>
                                                <w:right w:val="none" w:sz="0" w:space="0" w:color="auto"/>
                                              </w:divBdr>
                                              <w:divsChild>
                                                <w:div w:id="2138135129">
                                                  <w:marLeft w:val="0"/>
                                                  <w:marRight w:val="0"/>
                                                  <w:marTop w:val="0"/>
                                                  <w:marBottom w:val="0"/>
                                                  <w:divBdr>
                                                    <w:top w:val="none" w:sz="0" w:space="0" w:color="auto"/>
                                                    <w:left w:val="none" w:sz="0" w:space="0" w:color="auto"/>
                                                    <w:bottom w:val="none" w:sz="0" w:space="0" w:color="auto"/>
                                                    <w:right w:val="none" w:sz="0" w:space="0" w:color="auto"/>
                                                  </w:divBdr>
                                                  <w:divsChild>
                                                    <w:div w:id="166486249">
                                                      <w:marLeft w:val="0"/>
                                                      <w:marRight w:val="0"/>
                                                      <w:marTop w:val="0"/>
                                                      <w:marBottom w:val="0"/>
                                                      <w:divBdr>
                                                        <w:top w:val="none" w:sz="0" w:space="0" w:color="auto"/>
                                                        <w:left w:val="none" w:sz="0" w:space="0" w:color="auto"/>
                                                        <w:bottom w:val="none" w:sz="0" w:space="0" w:color="auto"/>
                                                        <w:right w:val="none" w:sz="0" w:space="0" w:color="auto"/>
                                                      </w:divBdr>
                                                      <w:divsChild>
                                                        <w:div w:id="402411606">
                                                          <w:marLeft w:val="0"/>
                                                          <w:marRight w:val="0"/>
                                                          <w:marTop w:val="0"/>
                                                          <w:marBottom w:val="0"/>
                                                          <w:divBdr>
                                                            <w:top w:val="none" w:sz="0" w:space="0" w:color="auto"/>
                                                            <w:left w:val="none" w:sz="0" w:space="0" w:color="auto"/>
                                                            <w:bottom w:val="none" w:sz="0" w:space="0" w:color="auto"/>
                                                            <w:right w:val="none" w:sz="0" w:space="0" w:color="auto"/>
                                                          </w:divBdr>
                                                          <w:divsChild>
                                                            <w:div w:id="2083213125">
                                                              <w:marLeft w:val="0"/>
                                                              <w:marRight w:val="0"/>
                                                              <w:marTop w:val="0"/>
                                                              <w:marBottom w:val="0"/>
                                                              <w:divBdr>
                                                                <w:top w:val="none" w:sz="0" w:space="0" w:color="auto"/>
                                                                <w:left w:val="none" w:sz="0" w:space="0" w:color="auto"/>
                                                                <w:bottom w:val="none" w:sz="0" w:space="0" w:color="auto"/>
                                                                <w:right w:val="none" w:sz="0" w:space="0" w:color="auto"/>
                                                              </w:divBdr>
                                                              <w:divsChild>
                                                                <w:div w:id="18898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6384470">
      <w:bodyDiv w:val="1"/>
      <w:marLeft w:val="0"/>
      <w:marRight w:val="0"/>
      <w:marTop w:val="0"/>
      <w:marBottom w:val="0"/>
      <w:divBdr>
        <w:top w:val="none" w:sz="0" w:space="0" w:color="auto"/>
        <w:left w:val="none" w:sz="0" w:space="0" w:color="auto"/>
        <w:bottom w:val="none" w:sz="0" w:space="0" w:color="auto"/>
        <w:right w:val="none" w:sz="0" w:space="0" w:color="auto"/>
      </w:divBdr>
      <w:divsChild>
        <w:div w:id="557978784">
          <w:marLeft w:val="0"/>
          <w:marRight w:val="0"/>
          <w:marTop w:val="0"/>
          <w:marBottom w:val="0"/>
          <w:divBdr>
            <w:top w:val="none" w:sz="0" w:space="0" w:color="auto"/>
            <w:left w:val="none" w:sz="0" w:space="0" w:color="auto"/>
            <w:bottom w:val="none" w:sz="0" w:space="0" w:color="auto"/>
            <w:right w:val="none" w:sz="0" w:space="0" w:color="auto"/>
          </w:divBdr>
          <w:divsChild>
            <w:div w:id="1427770376">
              <w:marLeft w:val="0"/>
              <w:marRight w:val="0"/>
              <w:marTop w:val="0"/>
              <w:marBottom w:val="0"/>
              <w:divBdr>
                <w:top w:val="none" w:sz="0" w:space="0" w:color="auto"/>
                <w:left w:val="none" w:sz="0" w:space="0" w:color="auto"/>
                <w:bottom w:val="none" w:sz="0" w:space="0" w:color="auto"/>
                <w:right w:val="none" w:sz="0" w:space="0" w:color="auto"/>
              </w:divBdr>
              <w:divsChild>
                <w:div w:id="847406720">
                  <w:marLeft w:val="0"/>
                  <w:marRight w:val="0"/>
                  <w:marTop w:val="0"/>
                  <w:marBottom w:val="0"/>
                  <w:divBdr>
                    <w:top w:val="none" w:sz="0" w:space="0" w:color="auto"/>
                    <w:left w:val="none" w:sz="0" w:space="0" w:color="auto"/>
                    <w:bottom w:val="none" w:sz="0" w:space="0" w:color="auto"/>
                    <w:right w:val="none" w:sz="0" w:space="0" w:color="auto"/>
                  </w:divBdr>
                  <w:divsChild>
                    <w:div w:id="1619526571">
                      <w:marLeft w:val="0"/>
                      <w:marRight w:val="0"/>
                      <w:marTop w:val="0"/>
                      <w:marBottom w:val="0"/>
                      <w:divBdr>
                        <w:top w:val="none" w:sz="0" w:space="0" w:color="auto"/>
                        <w:left w:val="none" w:sz="0" w:space="0" w:color="auto"/>
                        <w:bottom w:val="none" w:sz="0" w:space="0" w:color="auto"/>
                        <w:right w:val="none" w:sz="0" w:space="0" w:color="auto"/>
                      </w:divBdr>
                      <w:divsChild>
                        <w:div w:id="641888176">
                          <w:marLeft w:val="0"/>
                          <w:marRight w:val="0"/>
                          <w:marTop w:val="0"/>
                          <w:marBottom w:val="0"/>
                          <w:divBdr>
                            <w:top w:val="none" w:sz="0" w:space="0" w:color="auto"/>
                            <w:left w:val="none" w:sz="0" w:space="0" w:color="auto"/>
                            <w:bottom w:val="none" w:sz="0" w:space="0" w:color="auto"/>
                            <w:right w:val="none" w:sz="0" w:space="0" w:color="auto"/>
                          </w:divBdr>
                          <w:divsChild>
                            <w:div w:id="389111352">
                              <w:marLeft w:val="0"/>
                              <w:marRight w:val="0"/>
                              <w:marTop w:val="0"/>
                              <w:marBottom w:val="0"/>
                              <w:divBdr>
                                <w:top w:val="none" w:sz="0" w:space="0" w:color="auto"/>
                                <w:left w:val="none" w:sz="0" w:space="0" w:color="auto"/>
                                <w:bottom w:val="none" w:sz="0" w:space="0" w:color="auto"/>
                                <w:right w:val="none" w:sz="0" w:space="0" w:color="auto"/>
                              </w:divBdr>
                              <w:divsChild>
                                <w:div w:id="986662464">
                                  <w:marLeft w:val="0"/>
                                  <w:marRight w:val="0"/>
                                  <w:marTop w:val="0"/>
                                  <w:marBottom w:val="0"/>
                                  <w:divBdr>
                                    <w:top w:val="none" w:sz="0" w:space="0" w:color="auto"/>
                                    <w:left w:val="none" w:sz="0" w:space="0" w:color="auto"/>
                                    <w:bottom w:val="none" w:sz="0" w:space="0" w:color="auto"/>
                                    <w:right w:val="none" w:sz="0" w:space="0" w:color="auto"/>
                                  </w:divBdr>
                                  <w:divsChild>
                                    <w:div w:id="547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757701">
      <w:bodyDiv w:val="1"/>
      <w:marLeft w:val="0"/>
      <w:marRight w:val="0"/>
      <w:marTop w:val="0"/>
      <w:marBottom w:val="0"/>
      <w:divBdr>
        <w:top w:val="none" w:sz="0" w:space="0" w:color="auto"/>
        <w:left w:val="none" w:sz="0" w:space="0" w:color="auto"/>
        <w:bottom w:val="none" w:sz="0" w:space="0" w:color="auto"/>
        <w:right w:val="none" w:sz="0" w:space="0" w:color="auto"/>
      </w:divBdr>
      <w:divsChild>
        <w:div w:id="248348062">
          <w:marLeft w:val="0"/>
          <w:marRight w:val="0"/>
          <w:marTop w:val="0"/>
          <w:marBottom w:val="0"/>
          <w:divBdr>
            <w:top w:val="none" w:sz="0" w:space="0" w:color="auto"/>
            <w:left w:val="none" w:sz="0" w:space="0" w:color="auto"/>
            <w:bottom w:val="none" w:sz="0" w:space="0" w:color="auto"/>
            <w:right w:val="none" w:sz="0" w:space="0" w:color="auto"/>
          </w:divBdr>
          <w:divsChild>
            <w:div w:id="15661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4944">
      <w:bodyDiv w:val="1"/>
      <w:marLeft w:val="0"/>
      <w:marRight w:val="0"/>
      <w:marTop w:val="0"/>
      <w:marBottom w:val="0"/>
      <w:divBdr>
        <w:top w:val="none" w:sz="0" w:space="0" w:color="auto"/>
        <w:left w:val="none" w:sz="0" w:space="0" w:color="auto"/>
        <w:bottom w:val="none" w:sz="0" w:space="0" w:color="auto"/>
        <w:right w:val="none" w:sz="0" w:space="0" w:color="auto"/>
      </w:divBdr>
    </w:div>
    <w:div w:id="1555854298">
      <w:bodyDiv w:val="1"/>
      <w:marLeft w:val="0"/>
      <w:marRight w:val="0"/>
      <w:marTop w:val="0"/>
      <w:marBottom w:val="0"/>
      <w:divBdr>
        <w:top w:val="none" w:sz="0" w:space="0" w:color="auto"/>
        <w:left w:val="none" w:sz="0" w:space="0" w:color="auto"/>
        <w:bottom w:val="none" w:sz="0" w:space="0" w:color="auto"/>
        <w:right w:val="none" w:sz="0" w:space="0" w:color="auto"/>
      </w:divBdr>
      <w:divsChild>
        <w:div w:id="2321211">
          <w:marLeft w:val="1526"/>
          <w:marRight w:val="0"/>
          <w:marTop w:val="120"/>
          <w:marBottom w:val="0"/>
          <w:divBdr>
            <w:top w:val="none" w:sz="0" w:space="0" w:color="auto"/>
            <w:left w:val="none" w:sz="0" w:space="0" w:color="auto"/>
            <w:bottom w:val="none" w:sz="0" w:space="0" w:color="auto"/>
            <w:right w:val="none" w:sz="0" w:space="0" w:color="auto"/>
          </w:divBdr>
        </w:div>
        <w:div w:id="99110076">
          <w:marLeft w:val="1526"/>
          <w:marRight w:val="0"/>
          <w:marTop w:val="120"/>
          <w:marBottom w:val="0"/>
          <w:divBdr>
            <w:top w:val="none" w:sz="0" w:space="0" w:color="auto"/>
            <w:left w:val="none" w:sz="0" w:space="0" w:color="auto"/>
            <w:bottom w:val="none" w:sz="0" w:space="0" w:color="auto"/>
            <w:right w:val="none" w:sz="0" w:space="0" w:color="auto"/>
          </w:divBdr>
        </w:div>
        <w:div w:id="865603922">
          <w:marLeft w:val="634"/>
          <w:marRight w:val="0"/>
          <w:marTop w:val="120"/>
          <w:marBottom w:val="0"/>
          <w:divBdr>
            <w:top w:val="none" w:sz="0" w:space="0" w:color="auto"/>
            <w:left w:val="none" w:sz="0" w:space="0" w:color="auto"/>
            <w:bottom w:val="none" w:sz="0" w:space="0" w:color="auto"/>
            <w:right w:val="none" w:sz="0" w:space="0" w:color="auto"/>
          </w:divBdr>
        </w:div>
        <w:div w:id="1806923119">
          <w:marLeft w:val="1526"/>
          <w:marRight w:val="0"/>
          <w:marTop w:val="120"/>
          <w:marBottom w:val="0"/>
          <w:divBdr>
            <w:top w:val="none" w:sz="0" w:space="0" w:color="auto"/>
            <w:left w:val="none" w:sz="0" w:space="0" w:color="auto"/>
            <w:bottom w:val="none" w:sz="0" w:space="0" w:color="auto"/>
            <w:right w:val="none" w:sz="0" w:space="0" w:color="auto"/>
          </w:divBdr>
        </w:div>
        <w:div w:id="2050641206">
          <w:marLeft w:val="1526"/>
          <w:marRight w:val="0"/>
          <w:marTop w:val="120"/>
          <w:marBottom w:val="0"/>
          <w:divBdr>
            <w:top w:val="none" w:sz="0" w:space="0" w:color="auto"/>
            <w:left w:val="none" w:sz="0" w:space="0" w:color="auto"/>
            <w:bottom w:val="none" w:sz="0" w:space="0" w:color="auto"/>
            <w:right w:val="none" w:sz="0" w:space="0" w:color="auto"/>
          </w:divBdr>
        </w:div>
      </w:divsChild>
    </w:div>
    <w:div w:id="1576427240">
      <w:bodyDiv w:val="1"/>
      <w:marLeft w:val="0"/>
      <w:marRight w:val="0"/>
      <w:marTop w:val="0"/>
      <w:marBottom w:val="0"/>
      <w:divBdr>
        <w:top w:val="none" w:sz="0" w:space="0" w:color="auto"/>
        <w:left w:val="none" w:sz="0" w:space="0" w:color="auto"/>
        <w:bottom w:val="none" w:sz="0" w:space="0" w:color="auto"/>
        <w:right w:val="none" w:sz="0" w:space="0" w:color="auto"/>
      </w:divBdr>
    </w:div>
    <w:div w:id="1609965699">
      <w:bodyDiv w:val="1"/>
      <w:marLeft w:val="0"/>
      <w:marRight w:val="0"/>
      <w:marTop w:val="0"/>
      <w:marBottom w:val="0"/>
      <w:divBdr>
        <w:top w:val="single" w:sz="48" w:space="0" w:color="006430"/>
        <w:left w:val="none" w:sz="0" w:space="0" w:color="auto"/>
        <w:bottom w:val="none" w:sz="0" w:space="0" w:color="auto"/>
        <w:right w:val="none" w:sz="0" w:space="0" w:color="auto"/>
      </w:divBdr>
      <w:divsChild>
        <w:div w:id="1500346622">
          <w:marLeft w:val="0"/>
          <w:marRight w:val="0"/>
          <w:marTop w:val="0"/>
          <w:marBottom w:val="0"/>
          <w:divBdr>
            <w:top w:val="none" w:sz="0" w:space="0" w:color="auto"/>
            <w:left w:val="none" w:sz="0" w:space="0" w:color="auto"/>
            <w:bottom w:val="none" w:sz="0" w:space="0" w:color="auto"/>
            <w:right w:val="none" w:sz="0" w:space="0" w:color="auto"/>
          </w:divBdr>
          <w:divsChild>
            <w:div w:id="639966249">
              <w:marLeft w:val="0"/>
              <w:marRight w:val="0"/>
              <w:marTop w:val="0"/>
              <w:marBottom w:val="0"/>
              <w:divBdr>
                <w:top w:val="none" w:sz="0" w:space="0" w:color="auto"/>
                <w:left w:val="none" w:sz="0" w:space="0" w:color="auto"/>
                <w:bottom w:val="none" w:sz="0" w:space="0" w:color="auto"/>
                <w:right w:val="none" w:sz="0" w:space="0" w:color="auto"/>
              </w:divBdr>
              <w:divsChild>
                <w:div w:id="11878355">
                  <w:marLeft w:val="0"/>
                  <w:marRight w:val="0"/>
                  <w:marTop w:val="0"/>
                  <w:marBottom w:val="0"/>
                  <w:divBdr>
                    <w:top w:val="none" w:sz="0" w:space="0" w:color="auto"/>
                    <w:left w:val="none" w:sz="0" w:space="0" w:color="auto"/>
                    <w:bottom w:val="none" w:sz="0" w:space="0" w:color="auto"/>
                    <w:right w:val="none" w:sz="0" w:space="0" w:color="auto"/>
                  </w:divBdr>
                  <w:divsChild>
                    <w:div w:id="1287352394">
                      <w:marLeft w:val="150"/>
                      <w:marRight w:val="150"/>
                      <w:marTop w:val="0"/>
                      <w:marBottom w:val="0"/>
                      <w:divBdr>
                        <w:top w:val="none" w:sz="0" w:space="0" w:color="auto"/>
                        <w:left w:val="none" w:sz="0" w:space="0" w:color="auto"/>
                        <w:bottom w:val="none" w:sz="0" w:space="0" w:color="auto"/>
                        <w:right w:val="none" w:sz="0" w:space="0" w:color="auto"/>
                      </w:divBdr>
                      <w:divsChild>
                        <w:div w:id="830825838">
                          <w:marLeft w:val="0"/>
                          <w:marRight w:val="0"/>
                          <w:marTop w:val="0"/>
                          <w:marBottom w:val="0"/>
                          <w:divBdr>
                            <w:top w:val="none" w:sz="0" w:space="0" w:color="auto"/>
                            <w:left w:val="none" w:sz="0" w:space="0" w:color="auto"/>
                            <w:bottom w:val="none" w:sz="0" w:space="0" w:color="auto"/>
                            <w:right w:val="none" w:sz="0" w:space="0" w:color="auto"/>
                          </w:divBdr>
                          <w:divsChild>
                            <w:div w:id="1908344126">
                              <w:marLeft w:val="0"/>
                              <w:marRight w:val="0"/>
                              <w:marTop w:val="0"/>
                              <w:marBottom w:val="0"/>
                              <w:divBdr>
                                <w:top w:val="none" w:sz="0" w:space="0" w:color="auto"/>
                                <w:left w:val="none" w:sz="0" w:space="0" w:color="auto"/>
                                <w:bottom w:val="none" w:sz="0" w:space="0" w:color="auto"/>
                                <w:right w:val="none" w:sz="0" w:space="0" w:color="auto"/>
                              </w:divBdr>
                              <w:divsChild>
                                <w:div w:id="3899217">
                                  <w:marLeft w:val="0"/>
                                  <w:marRight w:val="0"/>
                                  <w:marTop w:val="0"/>
                                  <w:marBottom w:val="0"/>
                                  <w:divBdr>
                                    <w:top w:val="none" w:sz="0" w:space="0" w:color="auto"/>
                                    <w:left w:val="none" w:sz="0" w:space="0" w:color="auto"/>
                                    <w:bottom w:val="none" w:sz="0" w:space="0" w:color="auto"/>
                                    <w:right w:val="none" w:sz="0" w:space="0" w:color="auto"/>
                                  </w:divBdr>
                                  <w:divsChild>
                                    <w:div w:id="1849364588">
                                      <w:marLeft w:val="0"/>
                                      <w:marRight w:val="0"/>
                                      <w:marTop w:val="0"/>
                                      <w:marBottom w:val="0"/>
                                      <w:divBdr>
                                        <w:top w:val="none" w:sz="0" w:space="0" w:color="auto"/>
                                        <w:left w:val="none" w:sz="0" w:space="0" w:color="auto"/>
                                        <w:bottom w:val="none" w:sz="0" w:space="0" w:color="auto"/>
                                        <w:right w:val="none" w:sz="0" w:space="0" w:color="auto"/>
                                      </w:divBdr>
                                      <w:divsChild>
                                        <w:div w:id="898250171">
                                          <w:marLeft w:val="0"/>
                                          <w:marRight w:val="0"/>
                                          <w:marTop w:val="0"/>
                                          <w:marBottom w:val="0"/>
                                          <w:divBdr>
                                            <w:top w:val="none" w:sz="0" w:space="0" w:color="auto"/>
                                            <w:left w:val="none" w:sz="0" w:space="0" w:color="auto"/>
                                            <w:bottom w:val="none" w:sz="0" w:space="0" w:color="auto"/>
                                            <w:right w:val="none" w:sz="0" w:space="0" w:color="auto"/>
                                          </w:divBdr>
                                          <w:divsChild>
                                            <w:div w:id="1245071797">
                                              <w:marLeft w:val="0"/>
                                              <w:marRight w:val="0"/>
                                              <w:marTop w:val="0"/>
                                              <w:marBottom w:val="0"/>
                                              <w:divBdr>
                                                <w:top w:val="none" w:sz="0" w:space="0" w:color="auto"/>
                                                <w:left w:val="none" w:sz="0" w:space="0" w:color="auto"/>
                                                <w:bottom w:val="none" w:sz="0" w:space="0" w:color="auto"/>
                                                <w:right w:val="none" w:sz="0" w:space="0" w:color="auto"/>
                                              </w:divBdr>
                                              <w:divsChild>
                                                <w:div w:id="316690853">
                                                  <w:marLeft w:val="0"/>
                                                  <w:marRight w:val="0"/>
                                                  <w:marTop w:val="0"/>
                                                  <w:marBottom w:val="0"/>
                                                  <w:divBdr>
                                                    <w:top w:val="none" w:sz="0" w:space="0" w:color="auto"/>
                                                    <w:left w:val="none" w:sz="0" w:space="0" w:color="auto"/>
                                                    <w:bottom w:val="none" w:sz="0" w:space="0" w:color="auto"/>
                                                    <w:right w:val="none" w:sz="0" w:space="0" w:color="auto"/>
                                                  </w:divBdr>
                                                  <w:divsChild>
                                                    <w:div w:id="4102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279417">
      <w:bodyDiv w:val="1"/>
      <w:marLeft w:val="0"/>
      <w:marRight w:val="0"/>
      <w:marTop w:val="0"/>
      <w:marBottom w:val="0"/>
      <w:divBdr>
        <w:top w:val="none" w:sz="0" w:space="0" w:color="auto"/>
        <w:left w:val="none" w:sz="0" w:space="0" w:color="auto"/>
        <w:bottom w:val="none" w:sz="0" w:space="0" w:color="auto"/>
        <w:right w:val="none" w:sz="0" w:space="0" w:color="auto"/>
      </w:divBdr>
    </w:div>
    <w:div w:id="1672752146">
      <w:bodyDiv w:val="1"/>
      <w:marLeft w:val="0"/>
      <w:marRight w:val="0"/>
      <w:marTop w:val="0"/>
      <w:marBottom w:val="0"/>
      <w:divBdr>
        <w:top w:val="none" w:sz="0" w:space="0" w:color="auto"/>
        <w:left w:val="none" w:sz="0" w:space="0" w:color="auto"/>
        <w:bottom w:val="none" w:sz="0" w:space="0" w:color="auto"/>
        <w:right w:val="none" w:sz="0" w:space="0" w:color="auto"/>
      </w:divBdr>
    </w:div>
    <w:div w:id="1678119860">
      <w:bodyDiv w:val="1"/>
      <w:marLeft w:val="0"/>
      <w:marRight w:val="0"/>
      <w:marTop w:val="0"/>
      <w:marBottom w:val="0"/>
      <w:divBdr>
        <w:top w:val="none" w:sz="0" w:space="0" w:color="auto"/>
        <w:left w:val="none" w:sz="0" w:space="0" w:color="auto"/>
        <w:bottom w:val="none" w:sz="0" w:space="0" w:color="auto"/>
        <w:right w:val="none" w:sz="0" w:space="0" w:color="auto"/>
      </w:divBdr>
      <w:divsChild>
        <w:div w:id="1072896728">
          <w:marLeft w:val="0"/>
          <w:marRight w:val="0"/>
          <w:marTop w:val="0"/>
          <w:marBottom w:val="0"/>
          <w:divBdr>
            <w:top w:val="none" w:sz="0" w:space="0" w:color="auto"/>
            <w:left w:val="none" w:sz="0" w:space="0" w:color="auto"/>
            <w:bottom w:val="none" w:sz="0" w:space="0" w:color="auto"/>
            <w:right w:val="none" w:sz="0" w:space="0" w:color="auto"/>
          </w:divBdr>
        </w:div>
      </w:divsChild>
    </w:div>
    <w:div w:id="1702364406">
      <w:bodyDiv w:val="1"/>
      <w:marLeft w:val="0"/>
      <w:marRight w:val="0"/>
      <w:marTop w:val="0"/>
      <w:marBottom w:val="0"/>
      <w:divBdr>
        <w:top w:val="none" w:sz="0" w:space="0" w:color="auto"/>
        <w:left w:val="none" w:sz="0" w:space="0" w:color="auto"/>
        <w:bottom w:val="none" w:sz="0" w:space="0" w:color="auto"/>
        <w:right w:val="none" w:sz="0" w:space="0" w:color="auto"/>
      </w:divBdr>
      <w:divsChild>
        <w:div w:id="1159997659">
          <w:marLeft w:val="0"/>
          <w:marRight w:val="0"/>
          <w:marTop w:val="0"/>
          <w:marBottom w:val="0"/>
          <w:divBdr>
            <w:top w:val="none" w:sz="0" w:space="0" w:color="auto"/>
            <w:left w:val="none" w:sz="0" w:space="0" w:color="auto"/>
            <w:bottom w:val="none" w:sz="0" w:space="0" w:color="auto"/>
            <w:right w:val="none" w:sz="0" w:space="0" w:color="auto"/>
          </w:divBdr>
          <w:divsChild>
            <w:div w:id="788477270">
              <w:marLeft w:val="0"/>
              <w:marRight w:val="0"/>
              <w:marTop w:val="0"/>
              <w:marBottom w:val="0"/>
              <w:divBdr>
                <w:top w:val="none" w:sz="0" w:space="0" w:color="auto"/>
                <w:left w:val="none" w:sz="0" w:space="0" w:color="auto"/>
                <w:bottom w:val="none" w:sz="0" w:space="0" w:color="auto"/>
                <w:right w:val="none" w:sz="0" w:space="0" w:color="auto"/>
              </w:divBdr>
              <w:divsChild>
                <w:div w:id="1077939989">
                  <w:marLeft w:val="0"/>
                  <w:marRight w:val="0"/>
                  <w:marTop w:val="0"/>
                  <w:marBottom w:val="0"/>
                  <w:divBdr>
                    <w:top w:val="none" w:sz="0" w:space="0" w:color="auto"/>
                    <w:left w:val="none" w:sz="0" w:space="0" w:color="auto"/>
                    <w:bottom w:val="none" w:sz="0" w:space="0" w:color="auto"/>
                    <w:right w:val="none" w:sz="0" w:space="0" w:color="auto"/>
                  </w:divBdr>
                  <w:divsChild>
                    <w:div w:id="323165408">
                      <w:marLeft w:val="0"/>
                      <w:marRight w:val="0"/>
                      <w:marTop w:val="0"/>
                      <w:marBottom w:val="0"/>
                      <w:divBdr>
                        <w:top w:val="none" w:sz="0" w:space="0" w:color="auto"/>
                        <w:left w:val="none" w:sz="0" w:space="0" w:color="auto"/>
                        <w:bottom w:val="none" w:sz="0" w:space="0" w:color="auto"/>
                        <w:right w:val="none" w:sz="0" w:space="0" w:color="auto"/>
                      </w:divBdr>
                      <w:divsChild>
                        <w:div w:id="1732459685">
                          <w:marLeft w:val="0"/>
                          <w:marRight w:val="0"/>
                          <w:marTop w:val="0"/>
                          <w:marBottom w:val="0"/>
                          <w:divBdr>
                            <w:top w:val="none" w:sz="0" w:space="0" w:color="auto"/>
                            <w:left w:val="none" w:sz="0" w:space="0" w:color="auto"/>
                            <w:bottom w:val="none" w:sz="0" w:space="0" w:color="auto"/>
                            <w:right w:val="none" w:sz="0" w:space="0" w:color="auto"/>
                          </w:divBdr>
                          <w:divsChild>
                            <w:div w:id="171604172">
                              <w:marLeft w:val="0"/>
                              <w:marRight w:val="0"/>
                              <w:marTop w:val="0"/>
                              <w:marBottom w:val="0"/>
                              <w:divBdr>
                                <w:top w:val="none" w:sz="0" w:space="0" w:color="auto"/>
                                <w:left w:val="none" w:sz="0" w:space="0" w:color="auto"/>
                                <w:bottom w:val="none" w:sz="0" w:space="0" w:color="auto"/>
                                <w:right w:val="none" w:sz="0" w:space="0" w:color="auto"/>
                              </w:divBdr>
                            </w:div>
                            <w:div w:id="1047727501">
                              <w:marLeft w:val="0"/>
                              <w:marRight w:val="0"/>
                              <w:marTop w:val="109"/>
                              <w:marBottom w:val="0"/>
                              <w:divBdr>
                                <w:top w:val="none" w:sz="0" w:space="0" w:color="auto"/>
                                <w:left w:val="none" w:sz="0" w:space="0" w:color="auto"/>
                                <w:bottom w:val="none" w:sz="0" w:space="0" w:color="auto"/>
                                <w:right w:val="none" w:sz="0" w:space="0" w:color="auto"/>
                              </w:divBdr>
                              <w:divsChild>
                                <w:div w:id="346951432">
                                  <w:marLeft w:val="0"/>
                                  <w:marRight w:val="240"/>
                                  <w:marTop w:val="0"/>
                                  <w:marBottom w:val="0"/>
                                  <w:divBdr>
                                    <w:top w:val="none" w:sz="0" w:space="0" w:color="auto"/>
                                    <w:left w:val="none" w:sz="0" w:space="0" w:color="auto"/>
                                    <w:bottom w:val="none" w:sz="0" w:space="0" w:color="auto"/>
                                    <w:right w:val="none" w:sz="0" w:space="0" w:color="auto"/>
                                  </w:divBdr>
                                </w:div>
                                <w:div w:id="1555241126">
                                  <w:marLeft w:val="0"/>
                                  <w:marRight w:val="240"/>
                                  <w:marTop w:val="0"/>
                                  <w:marBottom w:val="0"/>
                                  <w:divBdr>
                                    <w:top w:val="none" w:sz="0" w:space="0" w:color="auto"/>
                                    <w:left w:val="none" w:sz="0" w:space="0" w:color="auto"/>
                                    <w:bottom w:val="none" w:sz="0" w:space="0" w:color="auto"/>
                                    <w:right w:val="none" w:sz="0" w:space="0" w:color="auto"/>
                                  </w:divBdr>
                                </w:div>
                              </w:divsChild>
                            </w:div>
                            <w:div w:id="1181507263">
                              <w:marLeft w:val="0"/>
                              <w:marRight w:val="0"/>
                              <w:marTop w:val="0"/>
                              <w:marBottom w:val="0"/>
                              <w:divBdr>
                                <w:top w:val="none" w:sz="0" w:space="0" w:color="auto"/>
                                <w:left w:val="none" w:sz="0" w:space="0" w:color="auto"/>
                                <w:bottom w:val="none" w:sz="0" w:space="0" w:color="auto"/>
                                <w:right w:val="none" w:sz="0" w:space="0" w:color="auto"/>
                              </w:divBdr>
                              <w:divsChild>
                                <w:div w:id="1551769757">
                                  <w:marLeft w:val="0"/>
                                  <w:marRight w:val="0"/>
                                  <w:marTop w:val="0"/>
                                  <w:marBottom w:val="0"/>
                                  <w:divBdr>
                                    <w:top w:val="none" w:sz="0" w:space="0" w:color="auto"/>
                                    <w:left w:val="none" w:sz="0" w:space="0" w:color="auto"/>
                                    <w:bottom w:val="none" w:sz="0" w:space="0" w:color="auto"/>
                                    <w:right w:val="none" w:sz="0" w:space="0" w:color="auto"/>
                                  </w:divBdr>
                                  <w:divsChild>
                                    <w:div w:id="15087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72241">
      <w:bodyDiv w:val="1"/>
      <w:marLeft w:val="0"/>
      <w:marRight w:val="0"/>
      <w:marTop w:val="0"/>
      <w:marBottom w:val="0"/>
      <w:divBdr>
        <w:top w:val="none" w:sz="0" w:space="0" w:color="auto"/>
        <w:left w:val="none" w:sz="0" w:space="0" w:color="auto"/>
        <w:bottom w:val="none" w:sz="0" w:space="0" w:color="auto"/>
        <w:right w:val="none" w:sz="0" w:space="0" w:color="auto"/>
      </w:divBdr>
      <w:divsChild>
        <w:div w:id="2120447320">
          <w:marLeft w:val="0"/>
          <w:marRight w:val="0"/>
          <w:marTop w:val="0"/>
          <w:marBottom w:val="0"/>
          <w:divBdr>
            <w:top w:val="none" w:sz="0" w:space="0" w:color="auto"/>
            <w:left w:val="none" w:sz="0" w:space="0" w:color="auto"/>
            <w:bottom w:val="none" w:sz="0" w:space="0" w:color="auto"/>
            <w:right w:val="none" w:sz="0" w:space="0" w:color="auto"/>
          </w:divBdr>
          <w:divsChild>
            <w:div w:id="201551659">
              <w:marLeft w:val="0"/>
              <w:marRight w:val="0"/>
              <w:marTop w:val="0"/>
              <w:marBottom w:val="0"/>
              <w:divBdr>
                <w:top w:val="none" w:sz="0" w:space="0" w:color="auto"/>
                <w:left w:val="none" w:sz="0" w:space="0" w:color="auto"/>
                <w:bottom w:val="none" w:sz="0" w:space="0" w:color="auto"/>
                <w:right w:val="none" w:sz="0" w:space="0" w:color="auto"/>
              </w:divBdr>
              <w:divsChild>
                <w:div w:id="656152841">
                  <w:marLeft w:val="0"/>
                  <w:marRight w:val="0"/>
                  <w:marTop w:val="0"/>
                  <w:marBottom w:val="0"/>
                  <w:divBdr>
                    <w:top w:val="none" w:sz="0" w:space="0" w:color="auto"/>
                    <w:left w:val="none" w:sz="0" w:space="0" w:color="auto"/>
                    <w:bottom w:val="none" w:sz="0" w:space="0" w:color="auto"/>
                    <w:right w:val="none" w:sz="0" w:space="0" w:color="auto"/>
                  </w:divBdr>
                  <w:divsChild>
                    <w:div w:id="2007659609">
                      <w:marLeft w:val="0"/>
                      <w:marRight w:val="0"/>
                      <w:marTop w:val="0"/>
                      <w:marBottom w:val="0"/>
                      <w:divBdr>
                        <w:top w:val="none" w:sz="0" w:space="0" w:color="auto"/>
                        <w:left w:val="none" w:sz="0" w:space="0" w:color="auto"/>
                        <w:bottom w:val="none" w:sz="0" w:space="0" w:color="auto"/>
                        <w:right w:val="none" w:sz="0" w:space="0" w:color="auto"/>
                      </w:divBdr>
                      <w:divsChild>
                        <w:div w:id="940526293">
                          <w:marLeft w:val="0"/>
                          <w:marRight w:val="0"/>
                          <w:marTop w:val="0"/>
                          <w:marBottom w:val="0"/>
                          <w:divBdr>
                            <w:top w:val="none" w:sz="0" w:space="0" w:color="auto"/>
                            <w:left w:val="none" w:sz="0" w:space="0" w:color="auto"/>
                            <w:bottom w:val="none" w:sz="0" w:space="0" w:color="auto"/>
                            <w:right w:val="none" w:sz="0" w:space="0" w:color="auto"/>
                          </w:divBdr>
                          <w:divsChild>
                            <w:div w:id="1122309563">
                              <w:marLeft w:val="0"/>
                              <w:marRight w:val="0"/>
                              <w:marTop w:val="0"/>
                              <w:marBottom w:val="0"/>
                              <w:divBdr>
                                <w:top w:val="none" w:sz="0" w:space="0" w:color="auto"/>
                                <w:left w:val="none" w:sz="0" w:space="0" w:color="auto"/>
                                <w:bottom w:val="none" w:sz="0" w:space="0" w:color="auto"/>
                                <w:right w:val="none" w:sz="0" w:space="0" w:color="auto"/>
                              </w:divBdr>
                              <w:divsChild>
                                <w:div w:id="441413261">
                                  <w:marLeft w:val="0"/>
                                  <w:marRight w:val="0"/>
                                  <w:marTop w:val="0"/>
                                  <w:marBottom w:val="0"/>
                                  <w:divBdr>
                                    <w:top w:val="none" w:sz="0" w:space="0" w:color="auto"/>
                                    <w:left w:val="none" w:sz="0" w:space="0" w:color="auto"/>
                                    <w:bottom w:val="none" w:sz="0" w:space="0" w:color="auto"/>
                                    <w:right w:val="none" w:sz="0" w:space="0" w:color="auto"/>
                                  </w:divBdr>
                                  <w:divsChild>
                                    <w:div w:id="1614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545181">
      <w:bodyDiv w:val="1"/>
      <w:marLeft w:val="0"/>
      <w:marRight w:val="0"/>
      <w:marTop w:val="0"/>
      <w:marBottom w:val="0"/>
      <w:divBdr>
        <w:top w:val="none" w:sz="0" w:space="0" w:color="auto"/>
        <w:left w:val="none" w:sz="0" w:space="0" w:color="auto"/>
        <w:bottom w:val="none" w:sz="0" w:space="0" w:color="auto"/>
        <w:right w:val="none" w:sz="0" w:space="0" w:color="auto"/>
      </w:divBdr>
    </w:div>
    <w:div w:id="1741369506">
      <w:bodyDiv w:val="1"/>
      <w:marLeft w:val="0"/>
      <w:marRight w:val="0"/>
      <w:marTop w:val="0"/>
      <w:marBottom w:val="0"/>
      <w:divBdr>
        <w:top w:val="none" w:sz="0" w:space="0" w:color="auto"/>
        <w:left w:val="none" w:sz="0" w:space="0" w:color="auto"/>
        <w:bottom w:val="none" w:sz="0" w:space="0" w:color="auto"/>
        <w:right w:val="none" w:sz="0" w:space="0" w:color="auto"/>
      </w:divBdr>
    </w:div>
    <w:div w:id="1744836452">
      <w:bodyDiv w:val="1"/>
      <w:marLeft w:val="0"/>
      <w:marRight w:val="0"/>
      <w:marTop w:val="0"/>
      <w:marBottom w:val="0"/>
      <w:divBdr>
        <w:top w:val="none" w:sz="0" w:space="0" w:color="auto"/>
        <w:left w:val="none" w:sz="0" w:space="0" w:color="auto"/>
        <w:bottom w:val="none" w:sz="0" w:space="0" w:color="auto"/>
        <w:right w:val="none" w:sz="0" w:space="0" w:color="auto"/>
      </w:divBdr>
    </w:div>
    <w:div w:id="1775781651">
      <w:bodyDiv w:val="1"/>
      <w:marLeft w:val="0"/>
      <w:marRight w:val="0"/>
      <w:marTop w:val="0"/>
      <w:marBottom w:val="0"/>
      <w:divBdr>
        <w:top w:val="none" w:sz="0" w:space="0" w:color="auto"/>
        <w:left w:val="none" w:sz="0" w:space="0" w:color="auto"/>
        <w:bottom w:val="none" w:sz="0" w:space="0" w:color="auto"/>
        <w:right w:val="none" w:sz="0" w:space="0" w:color="auto"/>
      </w:divBdr>
    </w:div>
    <w:div w:id="1784765384">
      <w:bodyDiv w:val="1"/>
      <w:marLeft w:val="0"/>
      <w:marRight w:val="0"/>
      <w:marTop w:val="0"/>
      <w:marBottom w:val="0"/>
      <w:divBdr>
        <w:top w:val="none" w:sz="0" w:space="0" w:color="auto"/>
        <w:left w:val="none" w:sz="0" w:space="0" w:color="auto"/>
        <w:bottom w:val="none" w:sz="0" w:space="0" w:color="auto"/>
        <w:right w:val="none" w:sz="0" w:space="0" w:color="auto"/>
      </w:divBdr>
    </w:div>
    <w:div w:id="1796172656">
      <w:bodyDiv w:val="1"/>
      <w:marLeft w:val="0"/>
      <w:marRight w:val="0"/>
      <w:marTop w:val="0"/>
      <w:marBottom w:val="0"/>
      <w:divBdr>
        <w:top w:val="none" w:sz="0" w:space="0" w:color="auto"/>
        <w:left w:val="none" w:sz="0" w:space="0" w:color="auto"/>
        <w:bottom w:val="none" w:sz="0" w:space="0" w:color="auto"/>
        <w:right w:val="none" w:sz="0" w:space="0" w:color="auto"/>
      </w:divBdr>
      <w:divsChild>
        <w:div w:id="1498838564">
          <w:marLeft w:val="0"/>
          <w:marRight w:val="0"/>
          <w:marTop w:val="0"/>
          <w:marBottom w:val="0"/>
          <w:divBdr>
            <w:top w:val="none" w:sz="0" w:space="0" w:color="auto"/>
            <w:left w:val="none" w:sz="0" w:space="0" w:color="auto"/>
            <w:bottom w:val="none" w:sz="0" w:space="0" w:color="auto"/>
            <w:right w:val="none" w:sz="0" w:space="0" w:color="auto"/>
          </w:divBdr>
          <w:divsChild>
            <w:div w:id="1609122176">
              <w:marLeft w:val="0"/>
              <w:marRight w:val="0"/>
              <w:marTop w:val="0"/>
              <w:marBottom w:val="0"/>
              <w:divBdr>
                <w:top w:val="none" w:sz="0" w:space="0" w:color="auto"/>
                <w:left w:val="none" w:sz="0" w:space="0" w:color="auto"/>
                <w:bottom w:val="none" w:sz="0" w:space="0" w:color="auto"/>
                <w:right w:val="none" w:sz="0" w:space="0" w:color="auto"/>
              </w:divBdr>
              <w:divsChild>
                <w:div w:id="966399340">
                  <w:marLeft w:val="0"/>
                  <w:marRight w:val="0"/>
                  <w:marTop w:val="0"/>
                  <w:marBottom w:val="0"/>
                  <w:divBdr>
                    <w:top w:val="none" w:sz="0" w:space="0" w:color="auto"/>
                    <w:left w:val="none" w:sz="0" w:space="0" w:color="auto"/>
                    <w:bottom w:val="none" w:sz="0" w:space="0" w:color="auto"/>
                    <w:right w:val="none" w:sz="0" w:space="0" w:color="auto"/>
                  </w:divBdr>
                  <w:divsChild>
                    <w:div w:id="310788956">
                      <w:marLeft w:val="0"/>
                      <w:marRight w:val="0"/>
                      <w:marTop w:val="0"/>
                      <w:marBottom w:val="0"/>
                      <w:divBdr>
                        <w:top w:val="none" w:sz="0" w:space="0" w:color="auto"/>
                        <w:left w:val="none" w:sz="0" w:space="0" w:color="auto"/>
                        <w:bottom w:val="none" w:sz="0" w:space="0" w:color="auto"/>
                        <w:right w:val="none" w:sz="0" w:space="0" w:color="auto"/>
                      </w:divBdr>
                      <w:divsChild>
                        <w:div w:id="2066022671">
                          <w:marLeft w:val="0"/>
                          <w:marRight w:val="0"/>
                          <w:marTop w:val="0"/>
                          <w:marBottom w:val="0"/>
                          <w:divBdr>
                            <w:top w:val="none" w:sz="0" w:space="0" w:color="auto"/>
                            <w:left w:val="none" w:sz="0" w:space="0" w:color="auto"/>
                            <w:bottom w:val="none" w:sz="0" w:space="0" w:color="auto"/>
                            <w:right w:val="none" w:sz="0" w:space="0" w:color="auto"/>
                          </w:divBdr>
                          <w:divsChild>
                            <w:div w:id="1725106063">
                              <w:marLeft w:val="0"/>
                              <w:marRight w:val="0"/>
                              <w:marTop w:val="0"/>
                              <w:marBottom w:val="0"/>
                              <w:divBdr>
                                <w:top w:val="none" w:sz="0" w:space="0" w:color="auto"/>
                                <w:left w:val="none" w:sz="0" w:space="0" w:color="auto"/>
                                <w:bottom w:val="none" w:sz="0" w:space="0" w:color="auto"/>
                                <w:right w:val="none" w:sz="0" w:space="0" w:color="auto"/>
                              </w:divBdr>
                              <w:divsChild>
                                <w:div w:id="5834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540764">
      <w:bodyDiv w:val="1"/>
      <w:marLeft w:val="0"/>
      <w:marRight w:val="0"/>
      <w:marTop w:val="0"/>
      <w:marBottom w:val="0"/>
      <w:divBdr>
        <w:top w:val="none" w:sz="0" w:space="0" w:color="auto"/>
        <w:left w:val="none" w:sz="0" w:space="0" w:color="auto"/>
        <w:bottom w:val="none" w:sz="0" w:space="0" w:color="auto"/>
        <w:right w:val="none" w:sz="0" w:space="0" w:color="auto"/>
      </w:divBdr>
      <w:divsChild>
        <w:div w:id="373121764">
          <w:marLeft w:val="0"/>
          <w:marRight w:val="0"/>
          <w:marTop w:val="0"/>
          <w:marBottom w:val="0"/>
          <w:divBdr>
            <w:top w:val="none" w:sz="0" w:space="0" w:color="auto"/>
            <w:left w:val="none" w:sz="0" w:space="0" w:color="auto"/>
            <w:bottom w:val="none" w:sz="0" w:space="0" w:color="auto"/>
            <w:right w:val="none" w:sz="0" w:space="0" w:color="auto"/>
          </w:divBdr>
          <w:divsChild>
            <w:div w:id="1772240744">
              <w:marLeft w:val="0"/>
              <w:marRight w:val="0"/>
              <w:marTop w:val="0"/>
              <w:marBottom w:val="0"/>
              <w:divBdr>
                <w:top w:val="none" w:sz="0" w:space="0" w:color="auto"/>
                <w:left w:val="none" w:sz="0" w:space="0" w:color="auto"/>
                <w:bottom w:val="none" w:sz="0" w:space="0" w:color="auto"/>
                <w:right w:val="none" w:sz="0" w:space="0" w:color="auto"/>
              </w:divBdr>
              <w:divsChild>
                <w:div w:id="837425820">
                  <w:marLeft w:val="0"/>
                  <w:marRight w:val="0"/>
                  <w:marTop w:val="0"/>
                  <w:marBottom w:val="0"/>
                  <w:divBdr>
                    <w:top w:val="none" w:sz="0" w:space="0" w:color="auto"/>
                    <w:left w:val="none" w:sz="0" w:space="0" w:color="auto"/>
                    <w:bottom w:val="none" w:sz="0" w:space="0" w:color="auto"/>
                    <w:right w:val="none" w:sz="0" w:space="0" w:color="auto"/>
                  </w:divBdr>
                  <w:divsChild>
                    <w:div w:id="762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22039">
      <w:bodyDiv w:val="1"/>
      <w:marLeft w:val="0"/>
      <w:marRight w:val="0"/>
      <w:marTop w:val="0"/>
      <w:marBottom w:val="0"/>
      <w:divBdr>
        <w:top w:val="none" w:sz="0" w:space="0" w:color="auto"/>
        <w:left w:val="none" w:sz="0" w:space="0" w:color="auto"/>
        <w:bottom w:val="none" w:sz="0" w:space="0" w:color="auto"/>
        <w:right w:val="none" w:sz="0" w:space="0" w:color="auto"/>
      </w:divBdr>
    </w:div>
    <w:div w:id="1828475838">
      <w:bodyDiv w:val="1"/>
      <w:marLeft w:val="0"/>
      <w:marRight w:val="0"/>
      <w:marTop w:val="0"/>
      <w:marBottom w:val="0"/>
      <w:divBdr>
        <w:top w:val="none" w:sz="0" w:space="0" w:color="auto"/>
        <w:left w:val="none" w:sz="0" w:space="0" w:color="auto"/>
        <w:bottom w:val="none" w:sz="0" w:space="0" w:color="auto"/>
        <w:right w:val="none" w:sz="0" w:space="0" w:color="auto"/>
      </w:divBdr>
      <w:divsChild>
        <w:div w:id="157428628">
          <w:marLeft w:val="0"/>
          <w:marRight w:val="0"/>
          <w:marTop w:val="0"/>
          <w:marBottom w:val="0"/>
          <w:divBdr>
            <w:top w:val="none" w:sz="0" w:space="0" w:color="auto"/>
            <w:left w:val="none" w:sz="0" w:space="0" w:color="auto"/>
            <w:bottom w:val="none" w:sz="0" w:space="0" w:color="auto"/>
            <w:right w:val="none" w:sz="0" w:space="0" w:color="auto"/>
          </w:divBdr>
        </w:div>
      </w:divsChild>
    </w:div>
    <w:div w:id="1870948651">
      <w:bodyDiv w:val="1"/>
      <w:marLeft w:val="0"/>
      <w:marRight w:val="0"/>
      <w:marTop w:val="0"/>
      <w:marBottom w:val="0"/>
      <w:divBdr>
        <w:top w:val="none" w:sz="0" w:space="0" w:color="auto"/>
        <w:left w:val="none" w:sz="0" w:space="0" w:color="auto"/>
        <w:bottom w:val="none" w:sz="0" w:space="0" w:color="auto"/>
        <w:right w:val="none" w:sz="0" w:space="0" w:color="auto"/>
      </w:divBdr>
      <w:divsChild>
        <w:div w:id="492450455">
          <w:marLeft w:val="720"/>
          <w:marRight w:val="0"/>
          <w:marTop w:val="192"/>
          <w:marBottom w:val="0"/>
          <w:divBdr>
            <w:top w:val="none" w:sz="0" w:space="0" w:color="auto"/>
            <w:left w:val="none" w:sz="0" w:space="0" w:color="auto"/>
            <w:bottom w:val="none" w:sz="0" w:space="0" w:color="auto"/>
            <w:right w:val="none" w:sz="0" w:space="0" w:color="auto"/>
          </w:divBdr>
        </w:div>
        <w:div w:id="1080716243">
          <w:marLeft w:val="720"/>
          <w:marRight w:val="0"/>
          <w:marTop w:val="192"/>
          <w:marBottom w:val="0"/>
          <w:divBdr>
            <w:top w:val="none" w:sz="0" w:space="0" w:color="auto"/>
            <w:left w:val="none" w:sz="0" w:space="0" w:color="auto"/>
            <w:bottom w:val="none" w:sz="0" w:space="0" w:color="auto"/>
            <w:right w:val="none" w:sz="0" w:space="0" w:color="auto"/>
          </w:divBdr>
        </w:div>
      </w:divsChild>
    </w:div>
    <w:div w:id="1880896132">
      <w:bodyDiv w:val="1"/>
      <w:marLeft w:val="0"/>
      <w:marRight w:val="0"/>
      <w:marTop w:val="0"/>
      <w:marBottom w:val="0"/>
      <w:divBdr>
        <w:top w:val="none" w:sz="0" w:space="0" w:color="auto"/>
        <w:left w:val="none" w:sz="0" w:space="0" w:color="auto"/>
        <w:bottom w:val="none" w:sz="0" w:space="0" w:color="auto"/>
        <w:right w:val="none" w:sz="0" w:space="0" w:color="auto"/>
      </w:divBdr>
      <w:divsChild>
        <w:div w:id="869025506">
          <w:marLeft w:val="0"/>
          <w:marRight w:val="0"/>
          <w:marTop w:val="0"/>
          <w:marBottom w:val="0"/>
          <w:divBdr>
            <w:top w:val="none" w:sz="0" w:space="0" w:color="auto"/>
            <w:left w:val="none" w:sz="0" w:space="0" w:color="auto"/>
            <w:bottom w:val="none" w:sz="0" w:space="0" w:color="auto"/>
            <w:right w:val="none" w:sz="0" w:space="0" w:color="auto"/>
          </w:divBdr>
          <w:divsChild>
            <w:div w:id="357781064">
              <w:marLeft w:val="0"/>
              <w:marRight w:val="0"/>
              <w:marTop w:val="0"/>
              <w:marBottom w:val="0"/>
              <w:divBdr>
                <w:top w:val="none" w:sz="0" w:space="0" w:color="auto"/>
                <w:left w:val="none" w:sz="0" w:space="0" w:color="auto"/>
                <w:bottom w:val="none" w:sz="0" w:space="0" w:color="auto"/>
                <w:right w:val="none" w:sz="0" w:space="0" w:color="auto"/>
              </w:divBdr>
              <w:divsChild>
                <w:div w:id="1963730420">
                  <w:marLeft w:val="0"/>
                  <w:marRight w:val="0"/>
                  <w:marTop w:val="225"/>
                  <w:marBottom w:val="0"/>
                  <w:divBdr>
                    <w:top w:val="none" w:sz="0" w:space="0" w:color="auto"/>
                    <w:left w:val="none" w:sz="0" w:space="0" w:color="auto"/>
                    <w:bottom w:val="none" w:sz="0" w:space="0" w:color="auto"/>
                    <w:right w:val="single" w:sz="6" w:space="14" w:color="DDDDDD"/>
                  </w:divBdr>
                  <w:divsChild>
                    <w:div w:id="333727905">
                      <w:marLeft w:val="0"/>
                      <w:marRight w:val="0"/>
                      <w:marTop w:val="0"/>
                      <w:marBottom w:val="0"/>
                      <w:divBdr>
                        <w:top w:val="none" w:sz="0" w:space="0" w:color="auto"/>
                        <w:left w:val="none" w:sz="0" w:space="0" w:color="auto"/>
                        <w:bottom w:val="none" w:sz="0" w:space="0" w:color="auto"/>
                        <w:right w:val="none" w:sz="0" w:space="0" w:color="auto"/>
                      </w:divBdr>
                      <w:divsChild>
                        <w:div w:id="3336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32459">
      <w:bodyDiv w:val="1"/>
      <w:marLeft w:val="0"/>
      <w:marRight w:val="0"/>
      <w:marTop w:val="0"/>
      <w:marBottom w:val="0"/>
      <w:divBdr>
        <w:top w:val="none" w:sz="0" w:space="0" w:color="auto"/>
        <w:left w:val="none" w:sz="0" w:space="0" w:color="auto"/>
        <w:bottom w:val="none" w:sz="0" w:space="0" w:color="auto"/>
        <w:right w:val="none" w:sz="0" w:space="0" w:color="auto"/>
      </w:divBdr>
    </w:div>
    <w:div w:id="1938708715">
      <w:bodyDiv w:val="1"/>
      <w:marLeft w:val="0"/>
      <w:marRight w:val="0"/>
      <w:marTop w:val="0"/>
      <w:marBottom w:val="0"/>
      <w:divBdr>
        <w:top w:val="none" w:sz="0" w:space="0" w:color="auto"/>
        <w:left w:val="none" w:sz="0" w:space="0" w:color="auto"/>
        <w:bottom w:val="none" w:sz="0" w:space="0" w:color="auto"/>
        <w:right w:val="none" w:sz="0" w:space="0" w:color="auto"/>
      </w:divBdr>
    </w:div>
    <w:div w:id="1953170118">
      <w:bodyDiv w:val="1"/>
      <w:marLeft w:val="0"/>
      <w:marRight w:val="0"/>
      <w:marTop w:val="0"/>
      <w:marBottom w:val="0"/>
      <w:divBdr>
        <w:top w:val="none" w:sz="0" w:space="0" w:color="auto"/>
        <w:left w:val="none" w:sz="0" w:space="0" w:color="auto"/>
        <w:bottom w:val="none" w:sz="0" w:space="0" w:color="auto"/>
        <w:right w:val="none" w:sz="0" w:space="0" w:color="auto"/>
      </w:divBdr>
      <w:divsChild>
        <w:div w:id="894778649">
          <w:marLeft w:val="0"/>
          <w:marRight w:val="0"/>
          <w:marTop w:val="0"/>
          <w:marBottom w:val="0"/>
          <w:divBdr>
            <w:top w:val="none" w:sz="0" w:space="0" w:color="auto"/>
            <w:left w:val="none" w:sz="0" w:space="0" w:color="auto"/>
            <w:bottom w:val="none" w:sz="0" w:space="0" w:color="auto"/>
            <w:right w:val="none" w:sz="0" w:space="0" w:color="auto"/>
          </w:divBdr>
        </w:div>
      </w:divsChild>
    </w:div>
    <w:div w:id="2010939160">
      <w:bodyDiv w:val="1"/>
      <w:marLeft w:val="0"/>
      <w:marRight w:val="0"/>
      <w:marTop w:val="0"/>
      <w:marBottom w:val="0"/>
      <w:divBdr>
        <w:top w:val="none" w:sz="0" w:space="0" w:color="auto"/>
        <w:left w:val="none" w:sz="0" w:space="0" w:color="auto"/>
        <w:bottom w:val="none" w:sz="0" w:space="0" w:color="auto"/>
        <w:right w:val="none" w:sz="0" w:space="0" w:color="auto"/>
      </w:divBdr>
      <w:divsChild>
        <w:div w:id="872234849">
          <w:marLeft w:val="0"/>
          <w:marRight w:val="0"/>
          <w:marTop w:val="0"/>
          <w:marBottom w:val="0"/>
          <w:divBdr>
            <w:top w:val="none" w:sz="0" w:space="0" w:color="auto"/>
            <w:left w:val="none" w:sz="0" w:space="0" w:color="auto"/>
            <w:bottom w:val="none" w:sz="0" w:space="0" w:color="auto"/>
            <w:right w:val="none" w:sz="0" w:space="0" w:color="auto"/>
          </w:divBdr>
          <w:divsChild>
            <w:div w:id="47649277">
              <w:marLeft w:val="0"/>
              <w:marRight w:val="0"/>
              <w:marTop w:val="0"/>
              <w:marBottom w:val="0"/>
              <w:divBdr>
                <w:top w:val="none" w:sz="0" w:space="0" w:color="auto"/>
                <w:left w:val="none" w:sz="0" w:space="0" w:color="auto"/>
                <w:bottom w:val="none" w:sz="0" w:space="0" w:color="auto"/>
                <w:right w:val="none" w:sz="0" w:space="0" w:color="auto"/>
              </w:divBdr>
              <w:divsChild>
                <w:div w:id="131294415">
                  <w:marLeft w:val="0"/>
                  <w:marRight w:val="0"/>
                  <w:marTop w:val="0"/>
                  <w:marBottom w:val="0"/>
                  <w:divBdr>
                    <w:top w:val="none" w:sz="0" w:space="0" w:color="auto"/>
                    <w:left w:val="none" w:sz="0" w:space="0" w:color="auto"/>
                    <w:bottom w:val="none" w:sz="0" w:space="0" w:color="auto"/>
                    <w:right w:val="none" w:sz="0" w:space="0" w:color="auto"/>
                  </w:divBdr>
                  <w:divsChild>
                    <w:div w:id="1590651241">
                      <w:marLeft w:val="0"/>
                      <w:marRight w:val="0"/>
                      <w:marTop w:val="0"/>
                      <w:marBottom w:val="0"/>
                      <w:divBdr>
                        <w:top w:val="none" w:sz="0" w:space="0" w:color="auto"/>
                        <w:left w:val="none" w:sz="0" w:space="0" w:color="auto"/>
                        <w:bottom w:val="none" w:sz="0" w:space="0" w:color="auto"/>
                        <w:right w:val="none" w:sz="0" w:space="0" w:color="auto"/>
                      </w:divBdr>
                      <w:divsChild>
                        <w:div w:id="671875158">
                          <w:marLeft w:val="0"/>
                          <w:marRight w:val="0"/>
                          <w:marTop w:val="0"/>
                          <w:marBottom w:val="0"/>
                          <w:divBdr>
                            <w:top w:val="none" w:sz="0" w:space="0" w:color="auto"/>
                            <w:left w:val="none" w:sz="0" w:space="0" w:color="auto"/>
                            <w:bottom w:val="none" w:sz="0" w:space="0" w:color="auto"/>
                            <w:right w:val="none" w:sz="0" w:space="0" w:color="auto"/>
                          </w:divBdr>
                          <w:divsChild>
                            <w:div w:id="1981882928">
                              <w:marLeft w:val="0"/>
                              <w:marRight w:val="0"/>
                              <w:marTop w:val="0"/>
                              <w:marBottom w:val="0"/>
                              <w:divBdr>
                                <w:top w:val="none" w:sz="0" w:space="0" w:color="auto"/>
                                <w:left w:val="none" w:sz="0" w:space="0" w:color="auto"/>
                                <w:bottom w:val="none" w:sz="0" w:space="0" w:color="auto"/>
                                <w:right w:val="none" w:sz="0" w:space="0" w:color="auto"/>
                              </w:divBdr>
                              <w:divsChild>
                                <w:div w:id="3062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421826">
      <w:bodyDiv w:val="1"/>
      <w:marLeft w:val="0"/>
      <w:marRight w:val="0"/>
      <w:marTop w:val="0"/>
      <w:marBottom w:val="0"/>
      <w:divBdr>
        <w:top w:val="none" w:sz="0" w:space="0" w:color="auto"/>
        <w:left w:val="none" w:sz="0" w:space="0" w:color="auto"/>
        <w:bottom w:val="none" w:sz="0" w:space="0" w:color="auto"/>
        <w:right w:val="none" w:sz="0" w:space="0" w:color="auto"/>
      </w:divBdr>
      <w:divsChild>
        <w:div w:id="606889364">
          <w:marLeft w:val="0"/>
          <w:marRight w:val="0"/>
          <w:marTop w:val="0"/>
          <w:marBottom w:val="0"/>
          <w:divBdr>
            <w:top w:val="none" w:sz="0" w:space="0" w:color="auto"/>
            <w:left w:val="none" w:sz="0" w:space="0" w:color="auto"/>
            <w:bottom w:val="none" w:sz="0" w:space="0" w:color="auto"/>
            <w:right w:val="none" w:sz="0" w:space="0" w:color="auto"/>
          </w:divBdr>
          <w:divsChild>
            <w:div w:id="2086607571">
              <w:marLeft w:val="0"/>
              <w:marRight w:val="0"/>
              <w:marTop w:val="0"/>
              <w:marBottom w:val="0"/>
              <w:divBdr>
                <w:top w:val="none" w:sz="0" w:space="0" w:color="auto"/>
                <w:left w:val="none" w:sz="0" w:space="0" w:color="auto"/>
                <w:bottom w:val="none" w:sz="0" w:space="0" w:color="auto"/>
                <w:right w:val="none" w:sz="0" w:space="0" w:color="auto"/>
              </w:divBdr>
              <w:divsChild>
                <w:div w:id="638993616">
                  <w:marLeft w:val="0"/>
                  <w:marRight w:val="0"/>
                  <w:marTop w:val="0"/>
                  <w:marBottom w:val="0"/>
                  <w:divBdr>
                    <w:top w:val="none" w:sz="0" w:space="0" w:color="auto"/>
                    <w:left w:val="none" w:sz="0" w:space="0" w:color="auto"/>
                    <w:bottom w:val="none" w:sz="0" w:space="0" w:color="auto"/>
                    <w:right w:val="none" w:sz="0" w:space="0" w:color="auto"/>
                  </w:divBdr>
                  <w:divsChild>
                    <w:div w:id="242372521">
                      <w:marLeft w:val="0"/>
                      <w:marRight w:val="0"/>
                      <w:marTop w:val="0"/>
                      <w:marBottom w:val="0"/>
                      <w:divBdr>
                        <w:top w:val="none" w:sz="0" w:space="0" w:color="auto"/>
                        <w:left w:val="none" w:sz="0" w:space="0" w:color="auto"/>
                        <w:bottom w:val="none" w:sz="0" w:space="0" w:color="auto"/>
                        <w:right w:val="none" w:sz="0" w:space="0" w:color="auto"/>
                      </w:divBdr>
                      <w:divsChild>
                        <w:div w:id="1667902354">
                          <w:marLeft w:val="0"/>
                          <w:marRight w:val="0"/>
                          <w:marTop w:val="0"/>
                          <w:marBottom w:val="0"/>
                          <w:divBdr>
                            <w:top w:val="none" w:sz="0" w:space="0" w:color="auto"/>
                            <w:left w:val="none" w:sz="0" w:space="0" w:color="auto"/>
                            <w:bottom w:val="none" w:sz="0" w:space="0" w:color="auto"/>
                            <w:right w:val="none" w:sz="0" w:space="0" w:color="auto"/>
                          </w:divBdr>
                          <w:divsChild>
                            <w:div w:id="1305358029">
                              <w:marLeft w:val="0"/>
                              <w:marRight w:val="0"/>
                              <w:marTop w:val="0"/>
                              <w:marBottom w:val="0"/>
                              <w:divBdr>
                                <w:top w:val="none" w:sz="0" w:space="0" w:color="auto"/>
                                <w:left w:val="none" w:sz="0" w:space="0" w:color="auto"/>
                                <w:bottom w:val="none" w:sz="0" w:space="0" w:color="auto"/>
                                <w:right w:val="none" w:sz="0" w:space="0" w:color="auto"/>
                              </w:divBdr>
                            </w:div>
                            <w:div w:id="1413815467">
                              <w:marLeft w:val="0"/>
                              <w:marRight w:val="0"/>
                              <w:marTop w:val="0"/>
                              <w:marBottom w:val="0"/>
                              <w:divBdr>
                                <w:top w:val="none" w:sz="0" w:space="0" w:color="auto"/>
                                <w:left w:val="none" w:sz="0" w:space="0" w:color="auto"/>
                                <w:bottom w:val="none" w:sz="0" w:space="0" w:color="auto"/>
                                <w:right w:val="none" w:sz="0" w:space="0" w:color="auto"/>
                              </w:divBdr>
                              <w:divsChild>
                                <w:div w:id="839539777">
                                  <w:marLeft w:val="0"/>
                                  <w:marRight w:val="0"/>
                                  <w:marTop w:val="0"/>
                                  <w:marBottom w:val="0"/>
                                  <w:divBdr>
                                    <w:top w:val="none" w:sz="0" w:space="0" w:color="auto"/>
                                    <w:left w:val="none" w:sz="0" w:space="0" w:color="auto"/>
                                    <w:bottom w:val="none" w:sz="0" w:space="0" w:color="auto"/>
                                    <w:right w:val="none" w:sz="0" w:space="0" w:color="auto"/>
                                  </w:divBdr>
                                  <w:divsChild>
                                    <w:div w:id="3781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955318">
      <w:bodyDiv w:val="1"/>
      <w:marLeft w:val="0"/>
      <w:marRight w:val="0"/>
      <w:marTop w:val="0"/>
      <w:marBottom w:val="0"/>
      <w:divBdr>
        <w:top w:val="none" w:sz="0" w:space="0" w:color="auto"/>
        <w:left w:val="none" w:sz="0" w:space="0" w:color="auto"/>
        <w:bottom w:val="none" w:sz="0" w:space="0" w:color="auto"/>
        <w:right w:val="none" w:sz="0" w:space="0" w:color="auto"/>
      </w:divBdr>
      <w:divsChild>
        <w:div w:id="1178958686">
          <w:marLeft w:val="0"/>
          <w:marRight w:val="0"/>
          <w:marTop w:val="0"/>
          <w:marBottom w:val="0"/>
          <w:divBdr>
            <w:top w:val="none" w:sz="0" w:space="0" w:color="auto"/>
            <w:left w:val="none" w:sz="0" w:space="0" w:color="auto"/>
            <w:bottom w:val="none" w:sz="0" w:space="0" w:color="auto"/>
            <w:right w:val="none" w:sz="0" w:space="0" w:color="auto"/>
          </w:divBdr>
          <w:divsChild>
            <w:div w:id="126240835">
              <w:marLeft w:val="0"/>
              <w:marRight w:val="0"/>
              <w:marTop w:val="0"/>
              <w:marBottom w:val="0"/>
              <w:divBdr>
                <w:top w:val="none" w:sz="0" w:space="0" w:color="auto"/>
                <w:left w:val="none" w:sz="0" w:space="0" w:color="auto"/>
                <w:bottom w:val="none" w:sz="0" w:space="0" w:color="auto"/>
                <w:right w:val="none" w:sz="0" w:space="0" w:color="auto"/>
              </w:divBdr>
              <w:divsChild>
                <w:div w:id="2145536052">
                  <w:marLeft w:val="0"/>
                  <w:marRight w:val="0"/>
                  <w:marTop w:val="0"/>
                  <w:marBottom w:val="0"/>
                  <w:divBdr>
                    <w:top w:val="none" w:sz="0" w:space="0" w:color="auto"/>
                    <w:left w:val="none" w:sz="0" w:space="0" w:color="auto"/>
                    <w:bottom w:val="none" w:sz="0" w:space="0" w:color="auto"/>
                    <w:right w:val="none" w:sz="0" w:space="0" w:color="auto"/>
                  </w:divBdr>
                  <w:divsChild>
                    <w:div w:id="833109089">
                      <w:marLeft w:val="0"/>
                      <w:marRight w:val="0"/>
                      <w:marTop w:val="0"/>
                      <w:marBottom w:val="0"/>
                      <w:divBdr>
                        <w:top w:val="none" w:sz="0" w:space="0" w:color="auto"/>
                        <w:left w:val="none" w:sz="0" w:space="0" w:color="auto"/>
                        <w:bottom w:val="none" w:sz="0" w:space="0" w:color="auto"/>
                        <w:right w:val="none" w:sz="0" w:space="0" w:color="auto"/>
                      </w:divBdr>
                      <w:divsChild>
                        <w:div w:id="300429233">
                          <w:marLeft w:val="0"/>
                          <w:marRight w:val="0"/>
                          <w:marTop w:val="0"/>
                          <w:marBottom w:val="0"/>
                          <w:divBdr>
                            <w:top w:val="none" w:sz="0" w:space="0" w:color="auto"/>
                            <w:left w:val="none" w:sz="0" w:space="0" w:color="auto"/>
                            <w:bottom w:val="none" w:sz="0" w:space="0" w:color="auto"/>
                            <w:right w:val="none" w:sz="0" w:space="0" w:color="auto"/>
                          </w:divBdr>
                          <w:divsChild>
                            <w:div w:id="593170317">
                              <w:marLeft w:val="0"/>
                              <w:marRight w:val="0"/>
                              <w:marTop w:val="0"/>
                              <w:marBottom w:val="0"/>
                              <w:divBdr>
                                <w:top w:val="none" w:sz="0" w:space="0" w:color="auto"/>
                                <w:left w:val="none" w:sz="0" w:space="0" w:color="auto"/>
                                <w:bottom w:val="none" w:sz="0" w:space="0" w:color="auto"/>
                                <w:right w:val="none" w:sz="0" w:space="0" w:color="auto"/>
                              </w:divBdr>
                              <w:divsChild>
                                <w:div w:id="432746490">
                                  <w:marLeft w:val="0"/>
                                  <w:marRight w:val="0"/>
                                  <w:marTop w:val="0"/>
                                  <w:marBottom w:val="0"/>
                                  <w:divBdr>
                                    <w:top w:val="none" w:sz="0" w:space="0" w:color="auto"/>
                                    <w:left w:val="none" w:sz="0" w:space="0" w:color="auto"/>
                                    <w:bottom w:val="none" w:sz="0" w:space="0" w:color="auto"/>
                                    <w:right w:val="none" w:sz="0" w:space="0" w:color="auto"/>
                                  </w:divBdr>
                                  <w:divsChild>
                                    <w:div w:id="438452589">
                                      <w:marLeft w:val="0"/>
                                      <w:marRight w:val="0"/>
                                      <w:marTop w:val="0"/>
                                      <w:marBottom w:val="0"/>
                                      <w:divBdr>
                                        <w:top w:val="none" w:sz="0" w:space="0" w:color="auto"/>
                                        <w:left w:val="none" w:sz="0" w:space="0" w:color="auto"/>
                                        <w:bottom w:val="none" w:sz="0" w:space="0" w:color="auto"/>
                                        <w:right w:val="none" w:sz="0" w:space="0" w:color="auto"/>
                                      </w:divBdr>
                                      <w:divsChild>
                                        <w:div w:id="1643734030">
                                          <w:marLeft w:val="0"/>
                                          <w:marRight w:val="0"/>
                                          <w:marTop w:val="0"/>
                                          <w:marBottom w:val="0"/>
                                          <w:divBdr>
                                            <w:top w:val="none" w:sz="0" w:space="0" w:color="auto"/>
                                            <w:left w:val="none" w:sz="0" w:space="0" w:color="auto"/>
                                            <w:bottom w:val="none" w:sz="0" w:space="0" w:color="auto"/>
                                            <w:right w:val="none" w:sz="0" w:space="0" w:color="auto"/>
                                          </w:divBdr>
                                          <w:divsChild>
                                            <w:div w:id="606349821">
                                              <w:marLeft w:val="0"/>
                                              <w:marRight w:val="0"/>
                                              <w:marTop w:val="0"/>
                                              <w:marBottom w:val="0"/>
                                              <w:divBdr>
                                                <w:top w:val="none" w:sz="0" w:space="0" w:color="auto"/>
                                                <w:left w:val="none" w:sz="0" w:space="0" w:color="auto"/>
                                                <w:bottom w:val="none" w:sz="0" w:space="0" w:color="auto"/>
                                                <w:right w:val="none" w:sz="0" w:space="0" w:color="auto"/>
                                              </w:divBdr>
                                              <w:divsChild>
                                                <w:div w:id="211503600">
                                                  <w:marLeft w:val="0"/>
                                                  <w:marRight w:val="0"/>
                                                  <w:marTop w:val="0"/>
                                                  <w:marBottom w:val="0"/>
                                                  <w:divBdr>
                                                    <w:top w:val="none" w:sz="0" w:space="0" w:color="auto"/>
                                                    <w:left w:val="none" w:sz="0" w:space="0" w:color="auto"/>
                                                    <w:bottom w:val="none" w:sz="0" w:space="0" w:color="auto"/>
                                                    <w:right w:val="none" w:sz="0" w:space="0" w:color="auto"/>
                                                  </w:divBdr>
                                                  <w:divsChild>
                                                    <w:div w:id="1081488371">
                                                      <w:marLeft w:val="0"/>
                                                      <w:marRight w:val="0"/>
                                                      <w:marTop w:val="0"/>
                                                      <w:marBottom w:val="0"/>
                                                      <w:divBdr>
                                                        <w:top w:val="none" w:sz="0" w:space="0" w:color="auto"/>
                                                        <w:left w:val="none" w:sz="0" w:space="0" w:color="auto"/>
                                                        <w:bottom w:val="none" w:sz="0" w:space="0" w:color="auto"/>
                                                        <w:right w:val="none" w:sz="0" w:space="0" w:color="auto"/>
                                                      </w:divBdr>
                                                      <w:divsChild>
                                                        <w:div w:id="1703555764">
                                                          <w:marLeft w:val="0"/>
                                                          <w:marRight w:val="0"/>
                                                          <w:marTop w:val="0"/>
                                                          <w:marBottom w:val="0"/>
                                                          <w:divBdr>
                                                            <w:top w:val="none" w:sz="0" w:space="0" w:color="auto"/>
                                                            <w:left w:val="none" w:sz="0" w:space="0" w:color="auto"/>
                                                            <w:bottom w:val="none" w:sz="0" w:space="0" w:color="auto"/>
                                                            <w:right w:val="none" w:sz="0" w:space="0" w:color="auto"/>
                                                          </w:divBdr>
                                                          <w:divsChild>
                                                            <w:div w:id="1472164097">
                                                              <w:marLeft w:val="0"/>
                                                              <w:marRight w:val="0"/>
                                                              <w:marTop w:val="0"/>
                                                              <w:marBottom w:val="0"/>
                                                              <w:divBdr>
                                                                <w:top w:val="none" w:sz="0" w:space="0" w:color="auto"/>
                                                                <w:left w:val="none" w:sz="0" w:space="0" w:color="auto"/>
                                                                <w:bottom w:val="none" w:sz="0" w:space="0" w:color="auto"/>
                                                                <w:right w:val="none" w:sz="0" w:space="0" w:color="auto"/>
                                                              </w:divBdr>
                                                              <w:divsChild>
                                                                <w:div w:id="15924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8534999">
      <w:bodyDiv w:val="1"/>
      <w:marLeft w:val="0"/>
      <w:marRight w:val="0"/>
      <w:marTop w:val="0"/>
      <w:marBottom w:val="0"/>
      <w:divBdr>
        <w:top w:val="none" w:sz="0" w:space="0" w:color="auto"/>
        <w:left w:val="none" w:sz="0" w:space="0" w:color="auto"/>
        <w:bottom w:val="none" w:sz="0" w:space="0" w:color="auto"/>
        <w:right w:val="none" w:sz="0" w:space="0" w:color="auto"/>
      </w:divBdr>
      <w:divsChild>
        <w:div w:id="834145567">
          <w:marLeft w:val="0"/>
          <w:marRight w:val="0"/>
          <w:marTop w:val="0"/>
          <w:marBottom w:val="0"/>
          <w:divBdr>
            <w:top w:val="none" w:sz="0" w:space="0" w:color="auto"/>
            <w:left w:val="none" w:sz="0" w:space="0" w:color="auto"/>
            <w:bottom w:val="none" w:sz="0" w:space="0" w:color="auto"/>
            <w:right w:val="none" w:sz="0" w:space="0" w:color="auto"/>
          </w:divBdr>
          <w:divsChild>
            <w:div w:id="670640779">
              <w:marLeft w:val="0"/>
              <w:marRight w:val="0"/>
              <w:marTop w:val="0"/>
              <w:marBottom w:val="0"/>
              <w:divBdr>
                <w:top w:val="none" w:sz="0" w:space="0" w:color="auto"/>
                <w:left w:val="none" w:sz="0" w:space="0" w:color="auto"/>
                <w:bottom w:val="none" w:sz="0" w:space="0" w:color="auto"/>
                <w:right w:val="none" w:sz="0" w:space="0" w:color="auto"/>
              </w:divBdr>
              <w:divsChild>
                <w:div w:id="1830711328">
                  <w:marLeft w:val="0"/>
                  <w:marRight w:val="0"/>
                  <w:marTop w:val="0"/>
                  <w:marBottom w:val="0"/>
                  <w:divBdr>
                    <w:top w:val="none" w:sz="0" w:space="0" w:color="auto"/>
                    <w:left w:val="none" w:sz="0" w:space="0" w:color="auto"/>
                    <w:bottom w:val="none" w:sz="0" w:space="0" w:color="auto"/>
                    <w:right w:val="none" w:sz="0" w:space="0" w:color="auto"/>
                  </w:divBdr>
                  <w:divsChild>
                    <w:div w:id="1438939347">
                      <w:marLeft w:val="0"/>
                      <w:marRight w:val="0"/>
                      <w:marTop w:val="0"/>
                      <w:marBottom w:val="0"/>
                      <w:divBdr>
                        <w:top w:val="none" w:sz="0" w:space="0" w:color="auto"/>
                        <w:left w:val="none" w:sz="0" w:space="0" w:color="auto"/>
                        <w:bottom w:val="none" w:sz="0" w:space="0" w:color="auto"/>
                        <w:right w:val="none" w:sz="0" w:space="0" w:color="auto"/>
                      </w:divBdr>
                      <w:divsChild>
                        <w:div w:id="122119721">
                          <w:marLeft w:val="0"/>
                          <w:marRight w:val="0"/>
                          <w:marTop w:val="0"/>
                          <w:marBottom w:val="0"/>
                          <w:divBdr>
                            <w:top w:val="none" w:sz="0" w:space="0" w:color="auto"/>
                            <w:left w:val="none" w:sz="0" w:space="0" w:color="auto"/>
                            <w:bottom w:val="none" w:sz="0" w:space="0" w:color="auto"/>
                            <w:right w:val="none" w:sz="0" w:space="0" w:color="auto"/>
                          </w:divBdr>
                          <w:divsChild>
                            <w:div w:id="513500077">
                              <w:marLeft w:val="0"/>
                              <w:marRight w:val="0"/>
                              <w:marTop w:val="0"/>
                              <w:marBottom w:val="0"/>
                              <w:divBdr>
                                <w:top w:val="none" w:sz="0" w:space="0" w:color="auto"/>
                                <w:left w:val="none" w:sz="0" w:space="0" w:color="auto"/>
                                <w:bottom w:val="none" w:sz="0" w:space="0" w:color="auto"/>
                                <w:right w:val="none" w:sz="0" w:space="0" w:color="auto"/>
                              </w:divBdr>
                              <w:divsChild>
                                <w:div w:id="816148612">
                                  <w:marLeft w:val="0"/>
                                  <w:marRight w:val="0"/>
                                  <w:marTop w:val="0"/>
                                  <w:marBottom w:val="0"/>
                                  <w:divBdr>
                                    <w:top w:val="none" w:sz="0" w:space="0" w:color="auto"/>
                                    <w:left w:val="none" w:sz="0" w:space="0" w:color="auto"/>
                                    <w:bottom w:val="none" w:sz="0" w:space="0" w:color="auto"/>
                                    <w:right w:val="none" w:sz="0" w:space="0" w:color="auto"/>
                                  </w:divBdr>
                                  <w:divsChild>
                                    <w:div w:id="990671951">
                                      <w:marLeft w:val="0"/>
                                      <w:marRight w:val="0"/>
                                      <w:marTop w:val="0"/>
                                      <w:marBottom w:val="0"/>
                                      <w:divBdr>
                                        <w:top w:val="none" w:sz="0" w:space="0" w:color="auto"/>
                                        <w:left w:val="none" w:sz="0" w:space="0" w:color="auto"/>
                                        <w:bottom w:val="none" w:sz="0" w:space="0" w:color="auto"/>
                                        <w:right w:val="none" w:sz="0" w:space="0" w:color="auto"/>
                                      </w:divBdr>
                                      <w:divsChild>
                                        <w:div w:id="165563265">
                                          <w:marLeft w:val="0"/>
                                          <w:marRight w:val="0"/>
                                          <w:marTop w:val="0"/>
                                          <w:marBottom w:val="0"/>
                                          <w:divBdr>
                                            <w:top w:val="none" w:sz="0" w:space="0" w:color="auto"/>
                                            <w:left w:val="none" w:sz="0" w:space="0" w:color="auto"/>
                                            <w:bottom w:val="none" w:sz="0" w:space="0" w:color="auto"/>
                                            <w:right w:val="none" w:sz="0" w:space="0" w:color="auto"/>
                                          </w:divBdr>
                                          <w:divsChild>
                                            <w:div w:id="179663647">
                                              <w:marLeft w:val="0"/>
                                              <w:marRight w:val="0"/>
                                              <w:marTop w:val="0"/>
                                              <w:marBottom w:val="0"/>
                                              <w:divBdr>
                                                <w:top w:val="none" w:sz="0" w:space="0" w:color="auto"/>
                                                <w:left w:val="none" w:sz="0" w:space="0" w:color="auto"/>
                                                <w:bottom w:val="none" w:sz="0" w:space="0" w:color="auto"/>
                                                <w:right w:val="none" w:sz="0" w:space="0" w:color="auto"/>
                                              </w:divBdr>
                                              <w:divsChild>
                                                <w:div w:id="853616466">
                                                  <w:marLeft w:val="0"/>
                                                  <w:marRight w:val="0"/>
                                                  <w:marTop w:val="0"/>
                                                  <w:marBottom w:val="0"/>
                                                  <w:divBdr>
                                                    <w:top w:val="none" w:sz="0" w:space="0" w:color="auto"/>
                                                    <w:left w:val="none" w:sz="0" w:space="0" w:color="auto"/>
                                                    <w:bottom w:val="none" w:sz="0" w:space="0" w:color="auto"/>
                                                    <w:right w:val="none" w:sz="0" w:space="0" w:color="auto"/>
                                                  </w:divBdr>
                                                  <w:divsChild>
                                                    <w:div w:id="1013990459">
                                                      <w:marLeft w:val="0"/>
                                                      <w:marRight w:val="0"/>
                                                      <w:marTop w:val="0"/>
                                                      <w:marBottom w:val="0"/>
                                                      <w:divBdr>
                                                        <w:top w:val="none" w:sz="0" w:space="0" w:color="auto"/>
                                                        <w:left w:val="none" w:sz="0" w:space="0" w:color="auto"/>
                                                        <w:bottom w:val="none" w:sz="0" w:space="0" w:color="auto"/>
                                                        <w:right w:val="none" w:sz="0" w:space="0" w:color="auto"/>
                                                      </w:divBdr>
                                                      <w:divsChild>
                                                        <w:div w:id="1392313950">
                                                          <w:marLeft w:val="0"/>
                                                          <w:marRight w:val="0"/>
                                                          <w:marTop w:val="0"/>
                                                          <w:marBottom w:val="0"/>
                                                          <w:divBdr>
                                                            <w:top w:val="none" w:sz="0" w:space="0" w:color="auto"/>
                                                            <w:left w:val="none" w:sz="0" w:space="0" w:color="auto"/>
                                                            <w:bottom w:val="none" w:sz="0" w:space="0" w:color="auto"/>
                                                            <w:right w:val="none" w:sz="0" w:space="0" w:color="auto"/>
                                                          </w:divBdr>
                                                          <w:divsChild>
                                                            <w:div w:id="256182391">
                                                              <w:marLeft w:val="0"/>
                                                              <w:marRight w:val="0"/>
                                                              <w:marTop w:val="0"/>
                                                              <w:marBottom w:val="0"/>
                                                              <w:divBdr>
                                                                <w:top w:val="none" w:sz="0" w:space="0" w:color="auto"/>
                                                                <w:left w:val="none" w:sz="0" w:space="0" w:color="auto"/>
                                                                <w:bottom w:val="none" w:sz="0" w:space="0" w:color="auto"/>
                                                                <w:right w:val="none" w:sz="0" w:space="0" w:color="auto"/>
                                                              </w:divBdr>
                                                              <w:divsChild>
                                                                <w:div w:id="477964908">
                                                                  <w:marLeft w:val="0"/>
                                                                  <w:marRight w:val="0"/>
                                                                  <w:marTop w:val="0"/>
                                                                  <w:marBottom w:val="0"/>
                                                                  <w:divBdr>
                                                                    <w:top w:val="none" w:sz="0" w:space="0" w:color="auto"/>
                                                                    <w:left w:val="none" w:sz="0" w:space="0" w:color="auto"/>
                                                                    <w:bottom w:val="none" w:sz="0" w:space="0" w:color="auto"/>
                                                                    <w:right w:val="none" w:sz="0" w:space="0" w:color="auto"/>
                                                                  </w:divBdr>
                                                                  <w:divsChild>
                                                                    <w:div w:id="1281033507">
                                                                      <w:marLeft w:val="0"/>
                                                                      <w:marRight w:val="0"/>
                                                                      <w:marTop w:val="0"/>
                                                                      <w:marBottom w:val="0"/>
                                                                      <w:divBdr>
                                                                        <w:top w:val="none" w:sz="0" w:space="0" w:color="auto"/>
                                                                        <w:left w:val="none" w:sz="0" w:space="0" w:color="auto"/>
                                                                        <w:bottom w:val="none" w:sz="0" w:space="0" w:color="auto"/>
                                                                        <w:right w:val="none" w:sz="0" w:space="0" w:color="auto"/>
                                                                      </w:divBdr>
                                                                      <w:divsChild>
                                                                        <w:div w:id="864367848">
                                                                          <w:marLeft w:val="0"/>
                                                                          <w:marRight w:val="0"/>
                                                                          <w:marTop w:val="0"/>
                                                                          <w:marBottom w:val="0"/>
                                                                          <w:divBdr>
                                                                            <w:top w:val="none" w:sz="0" w:space="0" w:color="auto"/>
                                                                            <w:left w:val="none" w:sz="0" w:space="0" w:color="auto"/>
                                                                            <w:bottom w:val="none" w:sz="0" w:space="0" w:color="auto"/>
                                                                            <w:right w:val="none" w:sz="0" w:space="0" w:color="auto"/>
                                                                          </w:divBdr>
                                                                          <w:divsChild>
                                                                            <w:div w:id="184589886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441320">
      <w:bodyDiv w:val="1"/>
      <w:marLeft w:val="0"/>
      <w:marRight w:val="0"/>
      <w:marTop w:val="0"/>
      <w:marBottom w:val="0"/>
      <w:divBdr>
        <w:top w:val="none" w:sz="0" w:space="0" w:color="auto"/>
        <w:left w:val="none" w:sz="0" w:space="0" w:color="auto"/>
        <w:bottom w:val="none" w:sz="0" w:space="0" w:color="auto"/>
        <w:right w:val="none" w:sz="0" w:space="0" w:color="auto"/>
      </w:divBdr>
      <w:divsChild>
        <w:div w:id="1614942926">
          <w:marLeft w:val="0"/>
          <w:marRight w:val="0"/>
          <w:marTop w:val="0"/>
          <w:marBottom w:val="0"/>
          <w:divBdr>
            <w:top w:val="none" w:sz="0" w:space="0" w:color="auto"/>
            <w:left w:val="none" w:sz="0" w:space="0" w:color="auto"/>
            <w:bottom w:val="none" w:sz="0" w:space="0" w:color="auto"/>
            <w:right w:val="none" w:sz="0" w:space="0" w:color="auto"/>
          </w:divBdr>
          <w:divsChild>
            <w:div w:id="763653987">
              <w:marLeft w:val="0"/>
              <w:marRight w:val="0"/>
              <w:marTop w:val="0"/>
              <w:marBottom w:val="0"/>
              <w:divBdr>
                <w:top w:val="none" w:sz="0" w:space="0" w:color="auto"/>
                <w:left w:val="none" w:sz="0" w:space="0" w:color="auto"/>
                <w:bottom w:val="none" w:sz="0" w:space="0" w:color="auto"/>
                <w:right w:val="none" w:sz="0" w:space="0" w:color="auto"/>
              </w:divBdr>
              <w:divsChild>
                <w:div w:id="243147249">
                  <w:marLeft w:val="0"/>
                  <w:marRight w:val="0"/>
                  <w:marTop w:val="0"/>
                  <w:marBottom w:val="0"/>
                  <w:divBdr>
                    <w:top w:val="none" w:sz="0" w:space="0" w:color="auto"/>
                    <w:left w:val="none" w:sz="0" w:space="0" w:color="auto"/>
                    <w:bottom w:val="none" w:sz="0" w:space="0" w:color="auto"/>
                    <w:right w:val="none" w:sz="0" w:space="0" w:color="auto"/>
                  </w:divBdr>
                  <w:divsChild>
                    <w:div w:id="1611661879">
                      <w:marLeft w:val="0"/>
                      <w:marRight w:val="0"/>
                      <w:marTop w:val="0"/>
                      <w:marBottom w:val="0"/>
                      <w:divBdr>
                        <w:top w:val="none" w:sz="0" w:space="0" w:color="auto"/>
                        <w:left w:val="none" w:sz="0" w:space="0" w:color="auto"/>
                        <w:bottom w:val="none" w:sz="0" w:space="0" w:color="auto"/>
                        <w:right w:val="none" w:sz="0" w:space="0" w:color="auto"/>
                      </w:divBdr>
                      <w:divsChild>
                        <w:div w:id="95906721">
                          <w:marLeft w:val="0"/>
                          <w:marRight w:val="0"/>
                          <w:marTop w:val="0"/>
                          <w:marBottom w:val="0"/>
                          <w:divBdr>
                            <w:top w:val="none" w:sz="0" w:space="0" w:color="auto"/>
                            <w:left w:val="none" w:sz="0" w:space="0" w:color="auto"/>
                            <w:bottom w:val="none" w:sz="0" w:space="0" w:color="auto"/>
                            <w:right w:val="none" w:sz="0" w:space="0" w:color="auto"/>
                          </w:divBdr>
                          <w:divsChild>
                            <w:div w:id="536091011">
                              <w:marLeft w:val="0"/>
                              <w:marRight w:val="0"/>
                              <w:marTop w:val="0"/>
                              <w:marBottom w:val="0"/>
                              <w:divBdr>
                                <w:top w:val="none" w:sz="0" w:space="0" w:color="auto"/>
                                <w:left w:val="none" w:sz="0" w:space="0" w:color="auto"/>
                                <w:bottom w:val="none" w:sz="0" w:space="0" w:color="auto"/>
                                <w:right w:val="none" w:sz="0" w:space="0" w:color="auto"/>
                              </w:divBdr>
                              <w:divsChild>
                                <w:div w:id="214048414">
                                  <w:marLeft w:val="0"/>
                                  <w:marRight w:val="0"/>
                                  <w:marTop w:val="0"/>
                                  <w:marBottom w:val="0"/>
                                  <w:divBdr>
                                    <w:top w:val="none" w:sz="0" w:space="0" w:color="auto"/>
                                    <w:left w:val="none" w:sz="0" w:space="0" w:color="auto"/>
                                    <w:bottom w:val="none" w:sz="0" w:space="0" w:color="auto"/>
                                    <w:right w:val="none" w:sz="0" w:space="0" w:color="auto"/>
                                  </w:divBdr>
                                  <w:divsChild>
                                    <w:div w:id="2636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1424">
                              <w:marLeft w:val="0"/>
                              <w:marRight w:val="0"/>
                              <w:marTop w:val="120"/>
                              <w:marBottom w:val="0"/>
                              <w:divBdr>
                                <w:top w:val="none" w:sz="0" w:space="0" w:color="auto"/>
                                <w:left w:val="none" w:sz="0" w:space="0" w:color="auto"/>
                                <w:bottom w:val="none" w:sz="0" w:space="0" w:color="auto"/>
                                <w:right w:val="none" w:sz="0" w:space="0" w:color="auto"/>
                              </w:divBdr>
                              <w:divsChild>
                                <w:div w:id="1356737192">
                                  <w:marLeft w:val="0"/>
                                  <w:marRight w:val="240"/>
                                  <w:marTop w:val="0"/>
                                  <w:marBottom w:val="0"/>
                                  <w:divBdr>
                                    <w:top w:val="none" w:sz="0" w:space="0" w:color="auto"/>
                                    <w:left w:val="none" w:sz="0" w:space="0" w:color="auto"/>
                                    <w:bottom w:val="none" w:sz="0" w:space="0" w:color="auto"/>
                                    <w:right w:val="none" w:sz="0" w:space="0" w:color="auto"/>
                                  </w:divBdr>
                                </w:div>
                                <w:div w:id="2047833308">
                                  <w:marLeft w:val="0"/>
                                  <w:marRight w:val="240"/>
                                  <w:marTop w:val="0"/>
                                  <w:marBottom w:val="0"/>
                                  <w:divBdr>
                                    <w:top w:val="none" w:sz="0" w:space="0" w:color="auto"/>
                                    <w:left w:val="none" w:sz="0" w:space="0" w:color="auto"/>
                                    <w:bottom w:val="none" w:sz="0" w:space="0" w:color="auto"/>
                                    <w:right w:val="none" w:sz="0" w:space="0" w:color="auto"/>
                                  </w:divBdr>
                                </w:div>
                              </w:divsChild>
                            </w:div>
                            <w:div w:id="1382943882">
                              <w:marLeft w:val="0"/>
                              <w:marRight w:val="0"/>
                              <w:marTop w:val="0"/>
                              <w:marBottom w:val="0"/>
                              <w:divBdr>
                                <w:top w:val="none" w:sz="0" w:space="0" w:color="auto"/>
                                <w:left w:val="none" w:sz="0" w:space="0" w:color="auto"/>
                                <w:bottom w:val="none" w:sz="0" w:space="0" w:color="auto"/>
                                <w:right w:val="none" w:sz="0" w:space="0" w:color="auto"/>
                              </w:divBdr>
                            </w:div>
                            <w:div w:id="1781417038">
                              <w:marLeft w:val="0"/>
                              <w:marRight w:val="0"/>
                              <w:marTop w:val="480"/>
                              <w:marBottom w:val="0"/>
                              <w:divBdr>
                                <w:top w:val="none" w:sz="0" w:space="0" w:color="auto"/>
                                <w:left w:val="none" w:sz="0" w:space="0" w:color="auto"/>
                                <w:bottom w:val="none" w:sz="0" w:space="0" w:color="auto"/>
                                <w:right w:val="none" w:sz="0" w:space="0" w:color="auto"/>
                              </w:divBdr>
                            </w:div>
                            <w:div w:id="2024238461">
                              <w:marLeft w:val="0"/>
                              <w:marRight w:val="0"/>
                              <w:marTop w:val="0"/>
                              <w:marBottom w:val="0"/>
                              <w:divBdr>
                                <w:top w:val="none" w:sz="0" w:space="0" w:color="auto"/>
                                <w:left w:val="none" w:sz="0" w:space="0" w:color="auto"/>
                                <w:bottom w:val="none" w:sz="0" w:space="0" w:color="auto"/>
                                <w:right w:val="none" w:sz="0" w:space="0" w:color="auto"/>
                              </w:divBdr>
                            </w:div>
                          </w:divsChild>
                        </w:div>
                        <w:div w:id="1844129311">
                          <w:marLeft w:val="0"/>
                          <w:marRight w:val="0"/>
                          <w:marTop w:val="0"/>
                          <w:marBottom w:val="0"/>
                          <w:divBdr>
                            <w:top w:val="none" w:sz="0" w:space="0" w:color="auto"/>
                            <w:left w:val="none" w:sz="0" w:space="0" w:color="auto"/>
                            <w:bottom w:val="none" w:sz="0" w:space="0" w:color="auto"/>
                            <w:right w:val="none" w:sz="0" w:space="0" w:color="auto"/>
                          </w:divBdr>
                          <w:divsChild>
                            <w:div w:id="4088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8427">
                  <w:marLeft w:val="0"/>
                  <w:marRight w:val="0"/>
                  <w:marTop w:val="0"/>
                  <w:marBottom w:val="0"/>
                  <w:divBdr>
                    <w:top w:val="none" w:sz="0" w:space="0" w:color="auto"/>
                    <w:left w:val="none" w:sz="0" w:space="0" w:color="auto"/>
                    <w:bottom w:val="none" w:sz="0" w:space="0" w:color="auto"/>
                    <w:right w:val="none" w:sz="0" w:space="0" w:color="auto"/>
                  </w:divBdr>
                  <w:divsChild>
                    <w:div w:id="366563853">
                      <w:marLeft w:val="0"/>
                      <w:marRight w:val="0"/>
                      <w:marTop w:val="0"/>
                      <w:marBottom w:val="0"/>
                      <w:divBdr>
                        <w:top w:val="none" w:sz="0" w:space="0" w:color="auto"/>
                        <w:left w:val="none" w:sz="0" w:space="0" w:color="auto"/>
                        <w:bottom w:val="none" w:sz="0" w:space="0" w:color="auto"/>
                        <w:right w:val="none" w:sz="0" w:space="0" w:color="auto"/>
                      </w:divBdr>
                      <w:divsChild>
                        <w:div w:id="60832222">
                          <w:marLeft w:val="0"/>
                          <w:marRight w:val="0"/>
                          <w:marTop w:val="30"/>
                          <w:marBottom w:val="0"/>
                          <w:divBdr>
                            <w:top w:val="none" w:sz="0" w:space="0" w:color="auto"/>
                            <w:left w:val="none" w:sz="0" w:space="0" w:color="auto"/>
                            <w:bottom w:val="none" w:sz="0" w:space="0" w:color="auto"/>
                            <w:right w:val="none" w:sz="0" w:space="0" w:color="auto"/>
                          </w:divBdr>
                          <w:divsChild>
                            <w:div w:id="1070493824">
                              <w:marLeft w:val="120"/>
                              <w:marRight w:val="240"/>
                              <w:marTop w:val="0"/>
                              <w:marBottom w:val="0"/>
                              <w:divBdr>
                                <w:top w:val="none" w:sz="0" w:space="0" w:color="auto"/>
                                <w:left w:val="none" w:sz="0" w:space="0" w:color="auto"/>
                                <w:bottom w:val="none" w:sz="0" w:space="0" w:color="auto"/>
                                <w:right w:val="none" w:sz="0" w:space="0" w:color="auto"/>
                              </w:divBdr>
                            </w:div>
                          </w:divsChild>
                        </w:div>
                        <w:div w:id="562564674">
                          <w:marLeft w:val="0"/>
                          <w:marRight w:val="0"/>
                          <w:marTop w:val="0"/>
                          <w:marBottom w:val="0"/>
                          <w:divBdr>
                            <w:top w:val="none" w:sz="0" w:space="0" w:color="auto"/>
                            <w:left w:val="none" w:sz="0" w:space="0" w:color="auto"/>
                            <w:bottom w:val="none" w:sz="0" w:space="0" w:color="auto"/>
                            <w:right w:val="none" w:sz="0" w:space="0" w:color="auto"/>
                          </w:divBdr>
                        </w:div>
                        <w:div w:id="844562830">
                          <w:marLeft w:val="0"/>
                          <w:marRight w:val="0"/>
                          <w:marTop w:val="0"/>
                          <w:marBottom w:val="0"/>
                          <w:divBdr>
                            <w:top w:val="single" w:sz="6" w:space="12" w:color="999999"/>
                            <w:left w:val="single" w:sz="6" w:space="12" w:color="999999"/>
                            <w:bottom w:val="single" w:sz="6" w:space="12" w:color="999999"/>
                            <w:right w:val="single" w:sz="6" w:space="12" w:color="999999"/>
                          </w:divBdr>
                          <w:divsChild>
                            <w:div w:id="2074230563">
                              <w:marLeft w:val="0"/>
                              <w:marRight w:val="0"/>
                              <w:marTop w:val="0"/>
                              <w:marBottom w:val="0"/>
                              <w:divBdr>
                                <w:top w:val="none" w:sz="0" w:space="0" w:color="auto"/>
                                <w:left w:val="none" w:sz="0" w:space="0" w:color="auto"/>
                                <w:bottom w:val="none" w:sz="0" w:space="0" w:color="auto"/>
                                <w:right w:val="none" w:sz="0" w:space="0" w:color="auto"/>
                              </w:divBdr>
                            </w:div>
                          </w:divsChild>
                        </w:div>
                        <w:div w:id="1094011114">
                          <w:marLeft w:val="0"/>
                          <w:marRight w:val="0"/>
                          <w:marTop w:val="0"/>
                          <w:marBottom w:val="0"/>
                          <w:divBdr>
                            <w:top w:val="single" w:sz="2" w:space="4" w:color="999999"/>
                            <w:left w:val="single" w:sz="6" w:space="2" w:color="CCCCCC"/>
                            <w:bottom w:val="single" w:sz="6" w:space="4" w:color="999999"/>
                            <w:right w:val="single" w:sz="6" w:space="2" w:color="999999"/>
                          </w:divBdr>
                        </w:div>
                        <w:div w:id="13593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5568">
      <w:bodyDiv w:val="1"/>
      <w:marLeft w:val="0"/>
      <w:marRight w:val="0"/>
      <w:marTop w:val="0"/>
      <w:marBottom w:val="0"/>
      <w:divBdr>
        <w:top w:val="none" w:sz="0" w:space="0" w:color="auto"/>
        <w:left w:val="none" w:sz="0" w:space="0" w:color="auto"/>
        <w:bottom w:val="none" w:sz="0" w:space="0" w:color="auto"/>
        <w:right w:val="none" w:sz="0" w:space="0" w:color="auto"/>
      </w:divBdr>
      <w:divsChild>
        <w:div w:id="1742827844">
          <w:marLeft w:val="0"/>
          <w:marRight w:val="0"/>
          <w:marTop w:val="0"/>
          <w:marBottom w:val="0"/>
          <w:divBdr>
            <w:top w:val="none" w:sz="0" w:space="0" w:color="auto"/>
            <w:left w:val="none" w:sz="0" w:space="0" w:color="auto"/>
            <w:bottom w:val="none" w:sz="0" w:space="0" w:color="auto"/>
            <w:right w:val="none" w:sz="0" w:space="0" w:color="auto"/>
          </w:divBdr>
        </w:div>
      </w:divsChild>
    </w:div>
    <w:div w:id="2064481289">
      <w:bodyDiv w:val="1"/>
      <w:marLeft w:val="0"/>
      <w:marRight w:val="0"/>
      <w:marTop w:val="0"/>
      <w:marBottom w:val="0"/>
      <w:divBdr>
        <w:top w:val="none" w:sz="0" w:space="0" w:color="auto"/>
        <w:left w:val="none" w:sz="0" w:space="0" w:color="auto"/>
        <w:bottom w:val="none" w:sz="0" w:space="0" w:color="auto"/>
        <w:right w:val="none" w:sz="0" w:space="0" w:color="auto"/>
      </w:divBdr>
      <w:divsChild>
        <w:div w:id="1571427980">
          <w:marLeft w:val="0"/>
          <w:marRight w:val="0"/>
          <w:marTop w:val="0"/>
          <w:marBottom w:val="0"/>
          <w:divBdr>
            <w:top w:val="none" w:sz="0" w:space="0" w:color="auto"/>
            <w:left w:val="none" w:sz="0" w:space="0" w:color="auto"/>
            <w:bottom w:val="none" w:sz="0" w:space="0" w:color="auto"/>
            <w:right w:val="none" w:sz="0" w:space="0" w:color="auto"/>
          </w:divBdr>
          <w:divsChild>
            <w:div w:id="1607076226">
              <w:marLeft w:val="0"/>
              <w:marRight w:val="0"/>
              <w:marTop w:val="0"/>
              <w:marBottom w:val="0"/>
              <w:divBdr>
                <w:top w:val="none" w:sz="0" w:space="0" w:color="auto"/>
                <w:left w:val="none" w:sz="0" w:space="0" w:color="auto"/>
                <w:bottom w:val="none" w:sz="0" w:space="0" w:color="auto"/>
                <w:right w:val="none" w:sz="0" w:space="0" w:color="auto"/>
              </w:divBdr>
              <w:divsChild>
                <w:div w:id="1133008">
                  <w:marLeft w:val="480"/>
                  <w:marRight w:val="0"/>
                  <w:marTop w:val="0"/>
                  <w:marBottom w:val="0"/>
                  <w:divBdr>
                    <w:top w:val="none" w:sz="0" w:space="0" w:color="auto"/>
                    <w:left w:val="none" w:sz="0" w:space="0" w:color="auto"/>
                    <w:bottom w:val="none" w:sz="0" w:space="0" w:color="auto"/>
                    <w:right w:val="none" w:sz="0" w:space="0" w:color="auto"/>
                  </w:divBdr>
                </w:div>
                <w:div w:id="439107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7644">
      <w:bodyDiv w:val="1"/>
      <w:marLeft w:val="0"/>
      <w:marRight w:val="0"/>
      <w:marTop w:val="0"/>
      <w:marBottom w:val="0"/>
      <w:divBdr>
        <w:top w:val="none" w:sz="0" w:space="0" w:color="auto"/>
        <w:left w:val="none" w:sz="0" w:space="0" w:color="auto"/>
        <w:bottom w:val="none" w:sz="0" w:space="0" w:color="auto"/>
        <w:right w:val="none" w:sz="0" w:space="0" w:color="auto"/>
      </w:divBdr>
      <w:divsChild>
        <w:div w:id="1669307">
          <w:marLeft w:val="547"/>
          <w:marRight w:val="0"/>
          <w:marTop w:val="120"/>
          <w:marBottom w:val="0"/>
          <w:divBdr>
            <w:top w:val="none" w:sz="0" w:space="0" w:color="auto"/>
            <w:left w:val="none" w:sz="0" w:space="0" w:color="auto"/>
            <w:bottom w:val="none" w:sz="0" w:space="0" w:color="auto"/>
            <w:right w:val="none" w:sz="0" w:space="0" w:color="auto"/>
          </w:divBdr>
        </w:div>
        <w:div w:id="220021558">
          <w:marLeft w:val="547"/>
          <w:marRight w:val="0"/>
          <w:marTop w:val="120"/>
          <w:marBottom w:val="0"/>
          <w:divBdr>
            <w:top w:val="none" w:sz="0" w:space="0" w:color="auto"/>
            <w:left w:val="none" w:sz="0" w:space="0" w:color="auto"/>
            <w:bottom w:val="none" w:sz="0" w:space="0" w:color="auto"/>
            <w:right w:val="none" w:sz="0" w:space="0" w:color="auto"/>
          </w:divBdr>
        </w:div>
        <w:div w:id="269625753">
          <w:marLeft w:val="1166"/>
          <w:marRight w:val="0"/>
          <w:marTop w:val="120"/>
          <w:marBottom w:val="0"/>
          <w:divBdr>
            <w:top w:val="none" w:sz="0" w:space="0" w:color="auto"/>
            <w:left w:val="none" w:sz="0" w:space="0" w:color="auto"/>
            <w:bottom w:val="none" w:sz="0" w:space="0" w:color="auto"/>
            <w:right w:val="none" w:sz="0" w:space="0" w:color="auto"/>
          </w:divBdr>
        </w:div>
        <w:div w:id="811563809">
          <w:marLeft w:val="1166"/>
          <w:marRight w:val="0"/>
          <w:marTop w:val="120"/>
          <w:marBottom w:val="0"/>
          <w:divBdr>
            <w:top w:val="none" w:sz="0" w:space="0" w:color="auto"/>
            <w:left w:val="none" w:sz="0" w:space="0" w:color="auto"/>
            <w:bottom w:val="none" w:sz="0" w:space="0" w:color="auto"/>
            <w:right w:val="none" w:sz="0" w:space="0" w:color="auto"/>
          </w:divBdr>
        </w:div>
        <w:div w:id="1689872625">
          <w:marLeft w:val="1166"/>
          <w:marRight w:val="0"/>
          <w:marTop w:val="120"/>
          <w:marBottom w:val="0"/>
          <w:divBdr>
            <w:top w:val="none" w:sz="0" w:space="0" w:color="auto"/>
            <w:left w:val="none" w:sz="0" w:space="0" w:color="auto"/>
            <w:bottom w:val="none" w:sz="0" w:space="0" w:color="auto"/>
            <w:right w:val="none" w:sz="0" w:space="0" w:color="auto"/>
          </w:divBdr>
        </w:div>
      </w:divsChild>
    </w:div>
    <w:div w:id="2112780129">
      <w:bodyDiv w:val="1"/>
      <w:marLeft w:val="0"/>
      <w:marRight w:val="0"/>
      <w:marTop w:val="0"/>
      <w:marBottom w:val="0"/>
      <w:divBdr>
        <w:top w:val="none" w:sz="0" w:space="0" w:color="auto"/>
        <w:left w:val="none" w:sz="0" w:space="0" w:color="auto"/>
        <w:bottom w:val="none" w:sz="0" w:space="0" w:color="auto"/>
        <w:right w:val="none" w:sz="0" w:space="0" w:color="auto"/>
      </w:divBdr>
    </w:div>
    <w:div w:id="21199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oecd.org/daf/fin/financial-education/measuringfinancialliteracy.htm"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ankofalbania.org/web/Instrumentet_59_2.php"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gpfi.org/sites/default/files/documents/G20%20High%20Level%20Principles%20for%20Digital%20Financial%20Inclusion%20-%20Full%20version-.pdf" TargetMode="External"/><Relationship Id="rId2" Type="http://schemas.openxmlformats.org/officeDocument/2006/relationships/hyperlink" Target="http://www.gpfi.org/sites/default/files/documents/2014_g20_financial_inclusion_action_plan.pdf" TargetMode="External"/><Relationship Id="rId1" Type="http://schemas.openxmlformats.org/officeDocument/2006/relationships/hyperlink" Target="http://www.worldbank.org/en/topic/migrationremittancesdiasporaissues/brief/migration-remittances-data" TargetMode="External"/><Relationship Id="rId4" Type="http://schemas.openxmlformats.org/officeDocument/2006/relationships/hyperlink" Target="https://consultations.worldbank.org/consultation/how-credit-reporting-contributes-financial-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Som11</b:Tag>
    <b:SourceType>Report</b:SourceType>
    <b:Guid>{2F3B90CC-63BD-4182-916E-DDC218C702E6}</b:Guid>
    <b:Author>
      <b:Author>
        <b:Corporate> Somaliland Ministry of National Planning and  Development </b:Corporate>
      </b:Author>
    </b:Author>
    <b:Title>National Development Plan (2012-2016)</b:Title>
    <b:Year>2011</b:Year>
    <b:RefOrder>2</b:RefOrder>
  </b:Source>
  <b:Source>
    <b:Tag>Ham11</b:Tag>
    <b:SourceType>Report</b:SourceType>
    <b:Guid>{2EC966A0-010D-4997-98A4-7CE914259771}</b:Guid>
    <b:Title>Cash and Compassion: The Role of the Somali Diaspora in Relief, Development and Peace-building</b:Title>
    <b:Year>2011</b:Year>
    <b:Publisher>United Nations Deveopment Programme</b:Publisher>
    <b:Author>
      <b:Author>
        <b:NameList>
          <b:Person>
            <b:Last>Hammond</b:Last>
            <b:First>Laura </b:First>
          </b:Person>
          <b:Person>
            <b:Last>Awad</b:Last>
            <b:First>Mustafa </b:First>
          </b:Person>
          <b:Person>
            <b:Last>Dagane</b:Last>
            <b:First>Ali</b:First>
          </b:Person>
          <b:Person>
            <b:Last>Hansen</b:Last>
            <b:First>Peter</b:First>
          </b:Person>
          <b:Person>
            <b:Last>Horst</b:Last>
            <b:First>Cindy </b:First>
          </b:Person>
          <b:Person>
            <b:Last>Menkhaus</b:Last>
            <b:First>Ken</b:First>
          </b:Person>
          <b:Person>
            <b:Last>Obare</b:Last>
            <b:First>Lynette </b:First>
          </b:Person>
        </b:NameList>
      </b:Author>
    </b:Author>
    <b:RefOrder>1</b:RefOrder>
  </b:Source>
  <b:Source>
    <b:Tag>Ann07</b:Tag>
    <b:SourceType>Report</b:SourceType>
    <b:Guid>{3C081B3C-9FF5-4B2D-8578-28BAAA9D7263}</b:Guid>
    <b:Author>
      <b:Author>
        <b:NameList>
          <b:Person>
            <b:Last>Lindley</b:Last>
            <b:First>Anna</b:First>
          </b:Person>
        </b:NameList>
      </b:Author>
    </b:Author>
    <b:Title>Remittances in Fragile Settings: a Somali Case Study Working Paper 27</b:Title>
    <b:Year>2007</b:Year>
    <b:Publisher>Households in Conflict Network </b:Publisher>
    <b:RefOrder>3</b:RefOrder>
  </b:Source>
</b:Sources>
</file>

<file path=customXml/item2.xml><?xml version="1.0" encoding="utf-8"?>
<b:Sources xmlns:b="http://schemas.openxmlformats.org/officeDocument/2006/bibliography" xmlns="http://schemas.openxmlformats.org/officeDocument/2006/bibliography" SelectedStyle="\APA.XSL" StyleName="APA">
  <b:Source>
    <b:Tag>Som11</b:Tag>
    <b:SourceType>Report</b:SourceType>
    <b:Guid>{2F3B90CC-63BD-4182-916E-DDC218C702E6}</b:Guid>
    <b:Author>
      <b:Author>
        <b:Corporate> Somaliland Ministry of National Planning and  Development </b:Corporate>
      </b:Author>
    </b:Author>
    <b:Title>National Development Plan (2012-2016)</b:Title>
    <b:Year>2011</b:Year>
    <b:RefOrder>2</b:RefOrder>
  </b:Source>
  <b:Source>
    <b:Tag>Ham11</b:Tag>
    <b:SourceType>Report</b:SourceType>
    <b:Guid>{2EC966A0-010D-4997-98A4-7CE914259771}</b:Guid>
    <b:Title>Cash and Compassion: The Role of the Somali Diaspora in Relief, Development and Peace-building</b:Title>
    <b:Year>2011</b:Year>
    <b:Publisher>United Nations Deveopment Programme</b:Publisher>
    <b:Author>
      <b:Author>
        <b:NameList>
          <b:Person>
            <b:Last>Hammond</b:Last>
            <b:First>Laura </b:First>
          </b:Person>
          <b:Person>
            <b:Last>Awad</b:Last>
            <b:First>Mustafa </b:First>
          </b:Person>
          <b:Person>
            <b:Last>Dagane</b:Last>
            <b:First>Ali</b:First>
          </b:Person>
          <b:Person>
            <b:Last>Hansen</b:Last>
            <b:First>Peter</b:First>
          </b:Person>
          <b:Person>
            <b:Last>Horst</b:Last>
            <b:First>Cindy </b:First>
          </b:Person>
          <b:Person>
            <b:Last>Menkhaus</b:Last>
            <b:First>Ken</b:First>
          </b:Person>
          <b:Person>
            <b:Last>Obare</b:Last>
            <b:First>Lynette </b:First>
          </b:Person>
        </b:NameList>
      </b:Author>
    </b:Author>
    <b:RefOrder>1</b:RefOrder>
  </b:Source>
  <b:Source>
    <b:Tag>Ann07</b:Tag>
    <b:SourceType>Report</b:SourceType>
    <b:Guid>{3C081B3C-9FF5-4B2D-8578-28BAAA9D7263}</b:Guid>
    <b:Author>
      <b:Author>
        <b:NameList>
          <b:Person>
            <b:Last>Lindley</b:Last>
            <b:First>Anna</b:First>
          </b:Person>
        </b:NameList>
      </b:Author>
    </b:Author>
    <b:Title>Remittances in Fragile Settings: a Somali Case Study Working Paper 27</b:Title>
    <b:Year>2007</b:Year>
    <b:Publisher>Households in Conflict Network </b:Publisher>
    <b:RefOrder>3</b:RefOrder>
  </b:Source>
</b:Sources>
</file>

<file path=customXml/itemProps1.xml><?xml version="1.0" encoding="utf-8"?>
<ds:datastoreItem xmlns:ds="http://schemas.openxmlformats.org/officeDocument/2006/customXml" ds:itemID="{6C58D2F3-6380-4205-B4AC-FBA06FB518E7}">
  <ds:schemaRefs>
    <ds:schemaRef ds:uri="http://schemas.openxmlformats.org/officeDocument/2006/bibliography"/>
  </ds:schemaRefs>
</ds:datastoreItem>
</file>

<file path=customXml/itemProps2.xml><?xml version="1.0" encoding="utf-8"?>
<ds:datastoreItem xmlns:ds="http://schemas.openxmlformats.org/officeDocument/2006/customXml" ds:itemID="{8EE0B88B-840A-4C94-8206-F9453DA7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33042</Words>
  <Characters>188346</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220947</CharactersWithSpaces>
  <SharedDoc>false</SharedDoc>
  <HLinks>
    <vt:vector size="186" baseType="variant">
      <vt:variant>
        <vt:i4>2752565</vt:i4>
      </vt:variant>
      <vt:variant>
        <vt:i4>186</vt:i4>
      </vt:variant>
      <vt:variant>
        <vt:i4>0</vt:i4>
      </vt:variant>
      <vt:variant>
        <vt:i4>5</vt:i4>
      </vt:variant>
      <vt:variant>
        <vt:lpwstr>http://remittanceprices.worldbank.org/About/go.worldbank.org/QGUCPJTOR0</vt:lpwstr>
      </vt:variant>
      <vt:variant>
        <vt:lpwstr/>
      </vt:variant>
      <vt:variant>
        <vt:i4>4259855</vt:i4>
      </vt:variant>
      <vt:variant>
        <vt:i4>183</vt:i4>
      </vt:variant>
      <vt:variant>
        <vt:i4>0</vt:i4>
      </vt:variant>
      <vt:variant>
        <vt:i4>5</vt:i4>
      </vt:variant>
      <vt:variant>
        <vt:lpwstr>http://sendmoneyafrica.worldbank.org/</vt:lpwstr>
      </vt:variant>
      <vt:variant>
        <vt:lpwstr/>
      </vt:variant>
      <vt:variant>
        <vt:i4>1900597</vt:i4>
      </vt:variant>
      <vt:variant>
        <vt:i4>167</vt:i4>
      </vt:variant>
      <vt:variant>
        <vt:i4>0</vt:i4>
      </vt:variant>
      <vt:variant>
        <vt:i4>5</vt:i4>
      </vt:variant>
      <vt:variant>
        <vt:lpwstr/>
      </vt:variant>
      <vt:variant>
        <vt:lpwstr>_Toc305457691</vt:lpwstr>
      </vt:variant>
      <vt:variant>
        <vt:i4>1900597</vt:i4>
      </vt:variant>
      <vt:variant>
        <vt:i4>161</vt:i4>
      </vt:variant>
      <vt:variant>
        <vt:i4>0</vt:i4>
      </vt:variant>
      <vt:variant>
        <vt:i4>5</vt:i4>
      </vt:variant>
      <vt:variant>
        <vt:lpwstr/>
      </vt:variant>
      <vt:variant>
        <vt:lpwstr>_Toc305457690</vt:lpwstr>
      </vt:variant>
      <vt:variant>
        <vt:i4>1835061</vt:i4>
      </vt:variant>
      <vt:variant>
        <vt:i4>155</vt:i4>
      </vt:variant>
      <vt:variant>
        <vt:i4>0</vt:i4>
      </vt:variant>
      <vt:variant>
        <vt:i4>5</vt:i4>
      </vt:variant>
      <vt:variant>
        <vt:lpwstr/>
      </vt:variant>
      <vt:variant>
        <vt:lpwstr>_Toc305457689</vt:lpwstr>
      </vt:variant>
      <vt:variant>
        <vt:i4>1835061</vt:i4>
      </vt:variant>
      <vt:variant>
        <vt:i4>149</vt:i4>
      </vt:variant>
      <vt:variant>
        <vt:i4>0</vt:i4>
      </vt:variant>
      <vt:variant>
        <vt:i4>5</vt:i4>
      </vt:variant>
      <vt:variant>
        <vt:lpwstr/>
      </vt:variant>
      <vt:variant>
        <vt:lpwstr>_Toc305457688</vt:lpwstr>
      </vt:variant>
      <vt:variant>
        <vt:i4>1835061</vt:i4>
      </vt:variant>
      <vt:variant>
        <vt:i4>143</vt:i4>
      </vt:variant>
      <vt:variant>
        <vt:i4>0</vt:i4>
      </vt:variant>
      <vt:variant>
        <vt:i4>5</vt:i4>
      </vt:variant>
      <vt:variant>
        <vt:lpwstr/>
      </vt:variant>
      <vt:variant>
        <vt:lpwstr>_Toc305457687</vt:lpwstr>
      </vt:variant>
      <vt:variant>
        <vt:i4>1835061</vt:i4>
      </vt:variant>
      <vt:variant>
        <vt:i4>137</vt:i4>
      </vt:variant>
      <vt:variant>
        <vt:i4>0</vt:i4>
      </vt:variant>
      <vt:variant>
        <vt:i4>5</vt:i4>
      </vt:variant>
      <vt:variant>
        <vt:lpwstr/>
      </vt:variant>
      <vt:variant>
        <vt:lpwstr>_Toc305457686</vt:lpwstr>
      </vt:variant>
      <vt:variant>
        <vt:i4>1835061</vt:i4>
      </vt:variant>
      <vt:variant>
        <vt:i4>131</vt:i4>
      </vt:variant>
      <vt:variant>
        <vt:i4>0</vt:i4>
      </vt:variant>
      <vt:variant>
        <vt:i4>5</vt:i4>
      </vt:variant>
      <vt:variant>
        <vt:lpwstr/>
      </vt:variant>
      <vt:variant>
        <vt:lpwstr>_Toc305457685</vt:lpwstr>
      </vt:variant>
      <vt:variant>
        <vt:i4>1835061</vt:i4>
      </vt:variant>
      <vt:variant>
        <vt:i4>125</vt:i4>
      </vt:variant>
      <vt:variant>
        <vt:i4>0</vt:i4>
      </vt:variant>
      <vt:variant>
        <vt:i4>5</vt:i4>
      </vt:variant>
      <vt:variant>
        <vt:lpwstr/>
      </vt:variant>
      <vt:variant>
        <vt:lpwstr>_Toc305457684</vt:lpwstr>
      </vt:variant>
      <vt:variant>
        <vt:i4>1835061</vt:i4>
      </vt:variant>
      <vt:variant>
        <vt:i4>119</vt:i4>
      </vt:variant>
      <vt:variant>
        <vt:i4>0</vt:i4>
      </vt:variant>
      <vt:variant>
        <vt:i4>5</vt:i4>
      </vt:variant>
      <vt:variant>
        <vt:lpwstr/>
      </vt:variant>
      <vt:variant>
        <vt:lpwstr>_Toc305457683</vt:lpwstr>
      </vt:variant>
      <vt:variant>
        <vt:i4>1835061</vt:i4>
      </vt:variant>
      <vt:variant>
        <vt:i4>113</vt:i4>
      </vt:variant>
      <vt:variant>
        <vt:i4>0</vt:i4>
      </vt:variant>
      <vt:variant>
        <vt:i4>5</vt:i4>
      </vt:variant>
      <vt:variant>
        <vt:lpwstr/>
      </vt:variant>
      <vt:variant>
        <vt:lpwstr>_Toc305457682</vt:lpwstr>
      </vt:variant>
      <vt:variant>
        <vt:i4>1835061</vt:i4>
      </vt:variant>
      <vt:variant>
        <vt:i4>107</vt:i4>
      </vt:variant>
      <vt:variant>
        <vt:i4>0</vt:i4>
      </vt:variant>
      <vt:variant>
        <vt:i4>5</vt:i4>
      </vt:variant>
      <vt:variant>
        <vt:lpwstr/>
      </vt:variant>
      <vt:variant>
        <vt:lpwstr>_Toc305457681</vt:lpwstr>
      </vt:variant>
      <vt:variant>
        <vt:i4>1835061</vt:i4>
      </vt:variant>
      <vt:variant>
        <vt:i4>101</vt:i4>
      </vt:variant>
      <vt:variant>
        <vt:i4>0</vt:i4>
      </vt:variant>
      <vt:variant>
        <vt:i4>5</vt:i4>
      </vt:variant>
      <vt:variant>
        <vt:lpwstr/>
      </vt:variant>
      <vt:variant>
        <vt:lpwstr>_Toc305457680</vt:lpwstr>
      </vt:variant>
      <vt:variant>
        <vt:i4>1245237</vt:i4>
      </vt:variant>
      <vt:variant>
        <vt:i4>95</vt:i4>
      </vt:variant>
      <vt:variant>
        <vt:i4>0</vt:i4>
      </vt:variant>
      <vt:variant>
        <vt:i4>5</vt:i4>
      </vt:variant>
      <vt:variant>
        <vt:lpwstr/>
      </vt:variant>
      <vt:variant>
        <vt:lpwstr>_Toc305457679</vt:lpwstr>
      </vt:variant>
      <vt:variant>
        <vt:i4>1245237</vt:i4>
      </vt:variant>
      <vt:variant>
        <vt:i4>89</vt:i4>
      </vt:variant>
      <vt:variant>
        <vt:i4>0</vt:i4>
      </vt:variant>
      <vt:variant>
        <vt:i4>5</vt:i4>
      </vt:variant>
      <vt:variant>
        <vt:lpwstr/>
      </vt:variant>
      <vt:variant>
        <vt:lpwstr>_Toc305457678</vt:lpwstr>
      </vt:variant>
      <vt:variant>
        <vt:i4>1245237</vt:i4>
      </vt:variant>
      <vt:variant>
        <vt:i4>83</vt:i4>
      </vt:variant>
      <vt:variant>
        <vt:i4>0</vt:i4>
      </vt:variant>
      <vt:variant>
        <vt:i4>5</vt:i4>
      </vt:variant>
      <vt:variant>
        <vt:lpwstr/>
      </vt:variant>
      <vt:variant>
        <vt:lpwstr>_Toc305457677</vt:lpwstr>
      </vt:variant>
      <vt:variant>
        <vt:i4>1245237</vt:i4>
      </vt:variant>
      <vt:variant>
        <vt:i4>77</vt:i4>
      </vt:variant>
      <vt:variant>
        <vt:i4>0</vt:i4>
      </vt:variant>
      <vt:variant>
        <vt:i4>5</vt:i4>
      </vt:variant>
      <vt:variant>
        <vt:lpwstr/>
      </vt:variant>
      <vt:variant>
        <vt:lpwstr>_Toc305457676</vt:lpwstr>
      </vt:variant>
      <vt:variant>
        <vt:i4>1245237</vt:i4>
      </vt:variant>
      <vt:variant>
        <vt:i4>71</vt:i4>
      </vt:variant>
      <vt:variant>
        <vt:i4>0</vt:i4>
      </vt:variant>
      <vt:variant>
        <vt:i4>5</vt:i4>
      </vt:variant>
      <vt:variant>
        <vt:lpwstr/>
      </vt:variant>
      <vt:variant>
        <vt:lpwstr>_Toc305457675</vt:lpwstr>
      </vt:variant>
      <vt:variant>
        <vt:i4>1245237</vt:i4>
      </vt:variant>
      <vt:variant>
        <vt:i4>65</vt:i4>
      </vt:variant>
      <vt:variant>
        <vt:i4>0</vt:i4>
      </vt:variant>
      <vt:variant>
        <vt:i4>5</vt:i4>
      </vt:variant>
      <vt:variant>
        <vt:lpwstr/>
      </vt:variant>
      <vt:variant>
        <vt:lpwstr>_Toc305457674</vt:lpwstr>
      </vt:variant>
      <vt:variant>
        <vt:i4>1245237</vt:i4>
      </vt:variant>
      <vt:variant>
        <vt:i4>59</vt:i4>
      </vt:variant>
      <vt:variant>
        <vt:i4>0</vt:i4>
      </vt:variant>
      <vt:variant>
        <vt:i4>5</vt:i4>
      </vt:variant>
      <vt:variant>
        <vt:lpwstr/>
      </vt:variant>
      <vt:variant>
        <vt:lpwstr>_Toc305457673</vt:lpwstr>
      </vt:variant>
      <vt:variant>
        <vt:i4>1245237</vt:i4>
      </vt:variant>
      <vt:variant>
        <vt:i4>53</vt:i4>
      </vt:variant>
      <vt:variant>
        <vt:i4>0</vt:i4>
      </vt:variant>
      <vt:variant>
        <vt:i4>5</vt:i4>
      </vt:variant>
      <vt:variant>
        <vt:lpwstr/>
      </vt:variant>
      <vt:variant>
        <vt:lpwstr>_Toc305457672</vt:lpwstr>
      </vt:variant>
      <vt:variant>
        <vt:i4>1245237</vt:i4>
      </vt:variant>
      <vt:variant>
        <vt:i4>47</vt:i4>
      </vt:variant>
      <vt:variant>
        <vt:i4>0</vt:i4>
      </vt:variant>
      <vt:variant>
        <vt:i4>5</vt:i4>
      </vt:variant>
      <vt:variant>
        <vt:lpwstr/>
      </vt:variant>
      <vt:variant>
        <vt:lpwstr>_Toc305457671</vt:lpwstr>
      </vt:variant>
      <vt:variant>
        <vt:i4>1245237</vt:i4>
      </vt:variant>
      <vt:variant>
        <vt:i4>41</vt:i4>
      </vt:variant>
      <vt:variant>
        <vt:i4>0</vt:i4>
      </vt:variant>
      <vt:variant>
        <vt:i4>5</vt:i4>
      </vt:variant>
      <vt:variant>
        <vt:lpwstr/>
      </vt:variant>
      <vt:variant>
        <vt:lpwstr>_Toc305457670</vt:lpwstr>
      </vt:variant>
      <vt:variant>
        <vt:i4>1179701</vt:i4>
      </vt:variant>
      <vt:variant>
        <vt:i4>35</vt:i4>
      </vt:variant>
      <vt:variant>
        <vt:i4>0</vt:i4>
      </vt:variant>
      <vt:variant>
        <vt:i4>5</vt:i4>
      </vt:variant>
      <vt:variant>
        <vt:lpwstr/>
      </vt:variant>
      <vt:variant>
        <vt:lpwstr>_Toc305457669</vt:lpwstr>
      </vt:variant>
      <vt:variant>
        <vt:i4>1179701</vt:i4>
      </vt:variant>
      <vt:variant>
        <vt:i4>29</vt:i4>
      </vt:variant>
      <vt:variant>
        <vt:i4>0</vt:i4>
      </vt:variant>
      <vt:variant>
        <vt:i4>5</vt:i4>
      </vt:variant>
      <vt:variant>
        <vt:lpwstr/>
      </vt:variant>
      <vt:variant>
        <vt:lpwstr>_Toc305457668</vt:lpwstr>
      </vt:variant>
      <vt:variant>
        <vt:i4>1179701</vt:i4>
      </vt:variant>
      <vt:variant>
        <vt:i4>23</vt:i4>
      </vt:variant>
      <vt:variant>
        <vt:i4>0</vt:i4>
      </vt:variant>
      <vt:variant>
        <vt:i4>5</vt:i4>
      </vt:variant>
      <vt:variant>
        <vt:lpwstr/>
      </vt:variant>
      <vt:variant>
        <vt:lpwstr>_Toc305457667</vt:lpwstr>
      </vt:variant>
      <vt:variant>
        <vt:i4>1179701</vt:i4>
      </vt:variant>
      <vt:variant>
        <vt:i4>17</vt:i4>
      </vt:variant>
      <vt:variant>
        <vt:i4>0</vt:i4>
      </vt:variant>
      <vt:variant>
        <vt:i4>5</vt:i4>
      </vt:variant>
      <vt:variant>
        <vt:lpwstr/>
      </vt:variant>
      <vt:variant>
        <vt:lpwstr>_Toc305457666</vt:lpwstr>
      </vt:variant>
      <vt:variant>
        <vt:i4>1179701</vt:i4>
      </vt:variant>
      <vt:variant>
        <vt:i4>11</vt:i4>
      </vt:variant>
      <vt:variant>
        <vt:i4>0</vt:i4>
      </vt:variant>
      <vt:variant>
        <vt:i4>5</vt:i4>
      </vt:variant>
      <vt:variant>
        <vt:lpwstr/>
      </vt:variant>
      <vt:variant>
        <vt:lpwstr>_Toc305457665</vt:lpwstr>
      </vt:variant>
      <vt:variant>
        <vt:i4>1179701</vt:i4>
      </vt:variant>
      <vt:variant>
        <vt:i4>5</vt:i4>
      </vt:variant>
      <vt:variant>
        <vt:i4>0</vt:i4>
      </vt:variant>
      <vt:variant>
        <vt:i4>5</vt:i4>
      </vt:variant>
      <vt:variant>
        <vt:lpwstr/>
      </vt:variant>
      <vt:variant>
        <vt:lpwstr>_Toc305457664</vt:lpwstr>
      </vt:variant>
      <vt:variant>
        <vt:i4>6488081</vt:i4>
      </vt:variant>
      <vt:variant>
        <vt:i4>0</vt:i4>
      </vt:variant>
      <vt:variant>
        <vt:i4>0</vt:i4>
      </vt:variant>
      <vt:variant>
        <vt:i4>5</vt:i4>
      </vt:variant>
      <vt:variant>
        <vt:lpwstr>http://www.bis.org/list/cpss/tid_113/index.htm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2018-04-18T07:42:00Z</dcterms:created>
  <dcterms:modified xsi:type="dcterms:W3CDTF">2018-06-12T15:11:00Z</dcterms:modified>
</cp:coreProperties>
</file>