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57" w:rsidRDefault="00C80C57" w:rsidP="00C80C57">
      <w:pPr>
        <w:pStyle w:val="Default"/>
        <w:ind w:right="44"/>
        <w:jc w:val="both"/>
        <w:rPr>
          <w:rFonts w:ascii="Times New Roman" w:hAnsi="Times New Roman" w:cs="Times New Roman"/>
          <w:b/>
          <w:bCs/>
          <w:lang w:val="sq-AL"/>
        </w:rPr>
      </w:pPr>
      <w:bookmarkStart w:id="0" w:name="shtojcaJ"/>
      <w:r w:rsidRPr="00A53760">
        <w:rPr>
          <w:rFonts w:ascii="Times New Roman" w:hAnsi="Times New Roman" w:cs="Times New Roman"/>
          <w:b/>
          <w:bCs/>
          <w:lang w:val="sq-AL"/>
        </w:rPr>
        <w:t>Shtojca J</w:t>
      </w:r>
      <w:bookmarkEnd w:id="0"/>
      <w:r w:rsidRPr="00A53760">
        <w:rPr>
          <w:rFonts w:ascii="Times New Roman" w:hAnsi="Times New Roman" w:cs="Times New Roman"/>
          <w:b/>
          <w:bCs/>
          <w:lang w:val="sq-AL"/>
        </w:rPr>
        <w:t>. Tarifat e përdorimit të sistemit AIPS EURO</w:t>
      </w:r>
    </w:p>
    <w:p w:rsidR="00C80C57" w:rsidRDefault="00C80C57" w:rsidP="00C80C57">
      <w:pPr>
        <w:pStyle w:val="Default"/>
        <w:ind w:right="44"/>
        <w:jc w:val="both"/>
        <w:rPr>
          <w:rFonts w:ascii="Times New Roman" w:hAnsi="Times New Roman" w:cs="Times New Roman"/>
          <w:b/>
          <w:bCs/>
          <w:lang w:val="sq-AL"/>
        </w:rPr>
      </w:pPr>
    </w:p>
    <w:p w:rsidR="00C80C57" w:rsidRPr="00A53760" w:rsidRDefault="00C80C57" w:rsidP="00C80C57">
      <w:pPr>
        <w:pStyle w:val="Default"/>
        <w:ind w:right="44"/>
        <w:jc w:val="both"/>
        <w:rPr>
          <w:rFonts w:ascii="Times New Roman" w:hAnsi="Times New Roman" w:cs="Times New Roman"/>
          <w:b/>
          <w:bCs/>
          <w:lang w:val="sq-AL"/>
        </w:rPr>
      </w:pPr>
    </w:p>
    <w:tbl>
      <w:tblPr>
        <w:tblW w:w="55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5829"/>
        <w:gridCol w:w="1923"/>
      </w:tblGrid>
      <w:tr w:rsidR="00C80C57" w:rsidRPr="00A53760" w:rsidTr="00C80C57">
        <w:trPr>
          <w:trHeight w:val="579"/>
          <w:jc w:val="center"/>
        </w:trPr>
        <w:tc>
          <w:tcPr>
            <w:tcW w:w="1287" w:type="pct"/>
            <w:shd w:val="clear" w:color="auto" w:fill="385623" w:themeFill="accent6" w:themeFillShade="80"/>
            <w:vAlign w:val="center"/>
          </w:tcPr>
          <w:p w:rsidR="00C80C57" w:rsidRPr="00A53760" w:rsidRDefault="00C80C57" w:rsidP="00D34823">
            <w:pPr>
              <w:ind w:right="44"/>
              <w:rPr>
                <w:b/>
                <w:bCs/>
                <w:color w:val="FFFFFF"/>
              </w:rPr>
            </w:pPr>
            <w:r w:rsidRPr="00A53760">
              <w:rPr>
                <w:b/>
                <w:bCs/>
                <w:color w:val="FFFFFF"/>
              </w:rPr>
              <w:t xml:space="preserve">Komponenti </w:t>
            </w:r>
          </w:p>
        </w:tc>
        <w:tc>
          <w:tcPr>
            <w:tcW w:w="2792" w:type="pct"/>
            <w:shd w:val="clear" w:color="auto" w:fill="385623" w:themeFill="accent6" w:themeFillShade="80"/>
            <w:vAlign w:val="center"/>
          </w:tcPr>
          <w:p w:rsidR="00C80C57" w:rsidRPr="00A53760" w:rsidRDefault="00C80C57" w:rsidP="00D34823">
            <w:pPr>
              <w:ind w:right="44"/>
              <w:rPr>
                <w:b/>
                <w:bCs/>
                <w:color w:val="FFFFFF"/>
              </w:rPr>
            </w:pPr>
            <w:r w:rsidRPr="00A53760">
              <w:rPr>
                <w:b/>
                <w:bCs/>
                <w:color w:val="FFFFFF"/>
              </w:rPr>
              <w:t>Përshkrim</w:t>
            </w:r>
          </w:p>
        </w:tc>
        <w:tc>
          <w:tcPr>
            <w:tcW w:w="921" w:type="pct"/>
            <w:shd w:val="clear" w:color="auto" w:fill="385623" w:themeFill="accent6" w:themeFillShade="80"/>
            <w:vAlign w:val="center"/>
          </w:tcPr>
          <w:p w:rsidR="00C80C57" w:rsidRPr="00A53760" w:rsidRDefault="00C80C57" w:rsidP="00D34823">
            <w:pPr>
              <w:ind w:right="44"/>
              <w:rPr>
                <w:b/>
                <w:bCs/>
                <w:color w:val="FFFFFF"/>
              </w:rPr>
            </w:pPr>
            <w:r w:rsidRPr="00A53760">
              <w:rPr>
                <w:b/>
                <w:bCs/>
                <w:color w:val="FFFFFF"/>
              </w:rPr>
              <w:t xml:space="preserve">Tarifa në </w:t>
            </w:r>
            <w:r>
              <w:rPr>
                <w:b/>
                <w:bCs/>
                <w:color w:val="FFFFFF"/>
              </w:rPr>
              <w:t>L</w:t>
            </w:r>
            <w:r w:rsidRPr="00A53760">
              <w:rPr>
                <w:b/>
                <w:bCs/>
                <w:color w:val="FFFFFF"/>
              </w:rPr>
              <w:t>ek</w:t>
            </w:r>
          </w:p>
        </w:tc>
      </w:tr>
      <w:tr w:rsidR="00C80C57" w:rsidRPr="00A53760" w:rsidTr="00C80C57">
        <w:trPr>
          <w:trHeight w:val="830"/>
          <w:jc w:val="center"/>
        </w:trPr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>Tarifë për mirëmbajtje vjetore të sistemit AIPS EURO</w:t>
            </w:r>
          </w:p>
        </w:tc>
        <w:tc>
          <w:tcPr>
            <w:tcW w:w="2792" w:type="pct"/>
            <w:tcBorders>
              <w:bottom w:val="single" w:sz="4" w:space="0" w:color="auto"/>
            </w:tcBorders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>E pagueshme nga pjesëmarrësit që kualifikohen në fillim të çdo viti. Për pjesëmarrësit e rinj, aplikohet mbi periudhën e mbetur.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:rsidR="00C80C57" w:rsidRPr="00A53760" w:rsidRDefault="00C80C57" w:rsidP="00D34823">
            <w:pPr>
              <w:ind w:right="44"/>
              <w:jc w:val="right"/>
            </w:pPr>
            <w:r w:rsidRPr="00A53760">
              <w:t>0</w:t>
            </w:r>
          </w:p>
        </w:tc>
      </w:tr>
      <w:tr w:rsidR="00C80C57" w:rsidRPr="00A53760" w:rsidTr="00C80C57">
        <w:trPr>
          <w:trHeight w:val="361"/>
          <w:jc w:val="center"/>
        </w:trPr>
        <w:tc>
          <w:tcPr>
            <w:tcW w:w="1287" w:type="pct"/>
            <w:shd w:val="clear" w:color="auto" w:fill="E2EFD9" w:themeFill="accent6" w:themeFillTint="33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 xml:space="preserve">Tarife për transaksion </w:t>
            </w:r>
          </w:p>
        </w:tc>
        <w:tc>
          <w:tcPr>
            <w:tcW w:w="3713" w:type="pct"/>
            <w:gridSpan w:val="2"/>
            <w:shd w:val="clear" w:color="auto" w:fill="E2EFD9" w:themeFill="accent6" w:themeFillTint="33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>E pagueshme çdo fund muaji nga pjesëmarrësi në krahun urdhërues</w:t>
            </w:r>
          </w:p>
        </w:tc>
      </w:tr>
      <w:tr w:rsidR="00C80C57" w:rsidRPr="00A53760" w:rsidTr="00C80C57">
        <w:trPr>
          <w:trHeight w:val="271"/>
          <w:jc w:val="center"/>
        </w:trPr>
        <w:tc>
          <w:tcPr>
            <w:tcW w:w="1287" w:type="pct"/>
            <w:vAlign w:val="center"/>
          </w:tcPr>
          <w:p w:rsidR="00C80C57" w:rsidRPr="00A53760" w:rsidRDefault="00C80C57" w:rsidP="00D34823">
            <w:pPr>
              <w:ind w:right="44"/>
            </w:pPr>
          </w:p>
        </w:tc>
        <w:tc>
          <w:tcPr>
            <w:tcW w:w="2792" w:type="pct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>Autorizim pagese manuale/sportel</w:t>
            </w:r>
          </w:p>
        </w:tc>
        <w:tc>
          <w:tcPr>
            <w:tcW w:w="921" w:type="pct"/>
            <w:vAlign w:val="center"/>
          </w:tcPr>
          <w:p w:rsidR="00C80C57" w:rsidRPr="00F47FAC" w:rsidRDefault="00C80C57" w:rsidP="00D34823">
            <w:pPr>
              <w:ind w:right="44"/>
              <w:jc w:val="right"/>
            </w:pPr>
            <w:r w:rsidRPr="00A53760">
              <w:t>50</w:t>
            </w:r>
          </w:p>
        </w:tc>
      </w:tr>
      <w:tr w:rsidR="00C80C57" w:rsidRPr="00A53760" w:rsidTr="00C80C57">
        <w:trPr>
          <w:trHeight w:val="271"/>
          <w:jc w:val="center"/>
        </w:trPr>
        <w:tc>
          <w:tcPr>
            <w:tcW w:w="1287" w:type="pct"/>
            <w:vAlign w:val="center"/>
          </w:tcPr>
          <w:p w:rsidR="00C80C57" w:rsidRPr="00A53760" w:rsidRDefault="00C80C57" w:rsidP="00D34823">
            <w:pPr>
              <w:ind w:right="44"/>
            </w:pPr>
          </w:p>
        </w:tc>
        <w:tc>
          <w:tcPr>
            <w:tcW w:w="2792" w:type="pct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>Autorizim pagese elektronike</w:t>
            </w:r>
          </w:p>
        </w:tc>
        <w:tc>
          <w:tcPr>
            <w:tcW w:w="921" w:type="pct"/>
            <w:vAlign w:val="center"/>
          </w:tcPr>
          <w:p w:rsidR="00C80C57" w:rsidRPr="00A53760" w:rsidRDefault="00C80C57" w:rsidP="00D34823">
            <w:pPr>
              <w:ind w:right="44"/>
              <w:jc w:val="right"/>
            </w:pPr>
            <w:r w:rsidRPr="00A53760">
              <w:t>25</w:t>
            </w:r>
          </w:p>
        </w:tc>
      </w:tr>
      <w:tr w:rsidR="00C80C57" w:rsidRPr="00A53760" w:rsidTr="00C80C57">
        <w:trPr>
          <w:trHeight w:val="271"/>
          <w:jc w:val="center"/>
        </w:trPr>
        <w:tc>
          <w:tcPr>
            <w:tcW w:w="1287" w:type="pct"/>
            <w:vAlign w:val="center"/>
          </w:tcPr>
          <w:p w:rsidR="00C80C57" w:rsidRPr="00A53760" w:rsidRDefault="00C80C57" w:rsidP="00D34823">
            <w:pPr>
              <w:keepNext/>
              <w:ind w:right="44"/>
              <w:outlineLvl w:val="1"/>
            </w:pPr>
          </w:p>
        </w:tc>
        <w:tc>
          <w:tcPr>
            <w:tcW w:w="2792" w:type="pct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 xml:space="preserve">Njoftim debitimi/kreditimi </w:t>
            </w:r>
          </w:p>
        </w:tc>
        <w:tc>
          <w:tcPr>
            <w:tcW w:w="921" w:type="pct"/>
            <w:vAlign w:val="center"/>
          </w:tcPr>
          <w:p w:rsidR="00C80C57" w:rsidRPr="00A53760" w:rsidRDefault="00C80C57" w:rsidP="00D34823">
            <w:pPr>
              <w:ind w:right="44"/>
              <w:jc w:val="right"/>
            </w:pPr>
            <w:r w:rsidRPr="00A53760">
              <w:t>40</w:t>
            </w:r>
          </w:p>
        </w:tc>
      </w:tr>
      <w:tr w:rsidR="00C80C57" w:rsidRPr="00A53760" w:rsidTr="00C80C57">
        <w:trPr>
          <w:trHeight w:val="271"/>
          <w:jc w:val="center"/>
        </w:trPr>
        <w:tc>
          <w:tcPr>
            <w:tcW w:w="1287" w:type="pct"/>
            <w:vAlign w:val="center"/>
          </w:tcPr>
          <w:p w:rsidR="00C80C57" w:rsidRPr="00A53760" w:rsidRDefault="00C80C57" w:rsidP="00D34823">
            <w:pPr>
              <w:keepNext/>
              <w:ind w:right="44"/>
              <w:outlineLvl w:val="1"/>
            </w:pPr>
          </w:p>
        </w:tc>
        <w:tc>
          <w:tcPr>
            <w:tcW w:w="2792" w:type="pct"/>
            <w:vAlign w:val="center"/>
          </w:tcPr>
          <w:p w:rsidR="00C80C57" w:rsidRPr="00A53760" w:rsidDel="005D55D9" w:rsidRDefault="00C80C57" w:rsidP="00D34823">
            <w:pPr>
              <w:ind w:right="44"/>
            </w:pPr>
            <w:r w:rsidRPr="00A53760">
              <w:t>Njoftime të tjera informuese</w:t>
            </w:r>
          </w:p>
        </w:tc>
        <w:tc>
          <w:tcPr>
            <w:tcW w:w="921" w:type="pct"/>
            <w:vAlign w:val="center"/>
          </w:tcPr>
          <w:p w:rsidR="00C80C57" w:rsidRPr="00A53760" w:rsidRDefault="00C80C57" w:rsidP="00D34823">
            <w:pPr>
              <w:ind w:right="44"/>
              <w:jc w:val="right"/>
            </w:pPr>
            <w:r w:rsidRPr="00A53760">
              <w:t>30</w:t>
            </w:r>
          </w:p>
        </w:tc>
      </w:tr>
      <w:tr w:rsidR="00C80C57" w:rsidRPr="00A53760" w:rsidTr="00C80C57">
        <w:trPr>
          <w:trHeight w:val="543"/>
          <w:jc w:val="center"/>
        </w:trPr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:rsidR="00C80C57" w:rsidRPr="00A53760" w:rsidRDefault="00C80C57" w:rsidP="00D34823">
            <w:pPr>
              <w:keepNext/>
              <w:ind w:right="44"/>
              <w:outlineLvl w:val="1"/>
            </w:pPr>
          </w:p>
        </w:tc>
        <w:tc>
          <w:tcPr>
            <w:tcW w:w="2792" w:type="pct"/>
            <w:tcBorders>
              <w:bottom w:val="single" w:sz="4" w:space="0" w:color="auto"/>
            </w:tcBorders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>Transaksionet e pjesëmarrësve të ekzekutuara manualisht nga Banka e Shqipërisë me kërkesë të pjesëmarrësit.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:rsidR="00C80C57" w:rsidRPr="00A53760" w:rsidRDefault="00C80C57" w:rsidP="00D34823">
            <w:pPr>
              <w:ind w:right="44"/>
              <w:jc w:val="right"/>
            </w:pPr>
            <w:r w:rsidRPr="00A53760">
              <w:t>N/A</w:t>
            </w:r>
          </w:p>
        </w:tc>
      </w:tr>
      <w:tr w:rsidR="00C80C57" w:rsidRPr="00A53760" w:rsidTr="00C80C57">
        <w:trPr>
          <w:trHeight w:val="388"/>
          <w:jc w:val="center"/>
        </w:trPr>
        <w:tc>
          <w:tcPr>
            <w:tcW w:w="1287" w:type="pct"/>
            <w:shd w:val="clear" w:color="auto" w:fill="E2EFD9" w:themeFill="accent6" w:themeFillTint="33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 xml:space="preserve">Shërbime të tjera </w:t>
            </w:r>
          </w:p>
        </w:tc>
        <w:tc>
          <w:tcPr>
            <w:tcW w:w="3713" w:type="pct"/>
            <w:gridSpan w:val="2"/>
            <w:shd w:val="clear" w:color="auto" w:fill="E2EFD9" w:themeFill="accent6" w:themeFillTint="33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>E pagueshme nga pjesëmarrësi pas çdo shërbimi</w:t>
            </w:r>
          </w:p>
        </w:tc>
      </w:tr>
      <w:tr w:rsidR="00C80C57" w:rsidRPr="00A53760" w:rsidTr="00C80C57">
        <w:trPr>
          <w:trHeight w:val="343"/>
          <w:jc w:val="center"/>
        </w:trPr>
        <w:tc>
          <w:tcPr>
            <w:tcW w:w="1287" w:type="pct"/>
            <w:vAlign w:val="center"/>
          </w:tcPr>
          <w:p w:rsidR="00C80C57" w:rsidRPr="00A53760" w:rsidRDefault="00C80C57" w:rsidP="00D34823">
            <w:pPr>
              <w:ind w:right="44"/>
            </w:pPr>
          </w:p>
        </w:tc>
        <w:tc>
          <w:tcPr>
            <w:tcW w:w="2792" w:type="pct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 xml:space="preserve">Kufizimi i përkohshëm i pjesëmarrësit </w:t>
            </w:r>
          </w:p>
        </w:tc>
        <w:tc>
          <w:tcPr>
            <w:tcW w:w="921" w:type="pct"/>
            <w:vAlign w:val="center"/>
          </w:tcPr>
          <w:p w:rsidR="00C80C57" w:rsidRPr="00A53760" w:rsidRDefault="00C80C57" w:rsidP="00D34823">
            <w:pPr>
              <w:ind w:right="44"/>
              <w:jc w:val="right"/>
            </w:pPr>
            <w:r w:rsidRPr="00A53760">
              <w:t>0</w:t>
            </w:r>
          </w:p>
        </w:tc>
      </w:tr>
      <w:tr w:rsidR="00C80C57" w:rsidRPr="00A53760" w:rsidTr="00C80C57">
        <w:trPr>
          <w:trHeight w:val="361"/>
          <w:jc w:val="center"/>
        </w:trPr>
        <w:tc>
          <w:tcPr>
            <w:tcW w:w="1287" w:type="pct"/>
            <w:vAlign w:val="center"/>
          </w:tcPr>
          <w:p w:rsidR="00C80C57" w:rsidRPr="00A53760" w:rsidRDefault="00C80C57" w:rsidP="00D34823">
            <w:pPr>
              <w:keepNext/>
              <w:ind w:right="44"/>
              <w:outlineLvl w:val="1"/>
            </w:pPr>
          </w:p>
        </w:tc>
        <w:tc>
          <w:tcPr>
            <w:tcW w:w="2792" w:type="pct"/>
            <w:vAlign w:val="center"/>
          </w:tcPr>
          <w:p w:rsidR="00C80C57" w:rsidRPr="00F47FAC" w:rsidRDefault="00C80C57" w:rsidP="00D34823">
            <w:pPr>
              <w:ind w:right="44"/>
            </w:pPr>
            <w:r w:rsidRPr="00A53760">
              <w:t>Dorëzim pajisje sigurie</w:t>
            </w:r>
          </w:p>
        </w:tc>
        <w:tc>
          <w:tcPr>
            <w:tcW w:w="921" w:type="pct"/>
            <w:vAlign w:val="center"/>
          </w:tcPr>
          <w:p w:rsidR="00C80C57" w:rsidRPr="00A53760" w:rsidRDefault="00C80C57" w:rsidP="00D34823">
            <w:pPr>
              <w:ind w:right="44"/>
            </w:pPr>
            <w:r w:rsidRPr="00A53760">
              <w:t xml:space="preserve">me koston e blerjes për njësi </w:t>
            </w:r>
          </w:p>
        </w:tc>
      </w:tr>
    </w:tbl>
    <w:p w:rsidR="00100FD6" w:rsidRDefault="00100FD6">
      <w:bookmarkStart w:id="1" w:name="_GoBack"/>
      <w:bookmarkEnd w:id="1"/>
    </w:p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57"/>
    <w:rsid w:val="00100FD6"/>
    <w:rsid w:val="00C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BCDF5-7A4E-4FC0-B826-84777966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0C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2025-09-17T15:16:00Z</dcterms:created>
  <dcterms:modified xsi:type="dcterms:W3CDTF">2025-09-17T15:17:00Z</dcterms:modified>
</cp:coreProperties>
</file>