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BC1" w:rsidRDefault="003E0BC1" w:rsidP="003E0BC1">
      <w:pPr>
        <w:ind w:right="44"/>
        <w:jc w:val="both"/>
        <w:rPr>
          <w:rFonts w:eastAsia="MS Mincho"/>
          <w:b/>
        </w:rPr>
      </w:pPr>
      <w:bookmarkStart w:id="0" w:name="shtojcaB"/>
    </w:p>
    <w:p w:rsidR="003E0BC1" w:rsidRPr="003A1B00" w:rsidRDefault="003E0BC1" w:rsidP="003E0BC1">
      <w:pPr>
        <w:ind w:right="44"/>
        <w:jc w:val="both"/>
        <w:rPr>
          <w:rFonts w:eastAsia="MS Mincho"/>
          <w:b/>
        </w:rPr>
      </w:pPr>
      <w:bookmarkStart w:id="1" w:name="_GoBack"/>
      <w:bookmarkEnd w:id="1"/>
      <w:r w:rsidRPr="003A1B00">
        <w:rPr>
          <w:rFonts w:eastAsia="MS Mincho"/>
          <w:b/>
        </w:rPr>
        <w:t>Shtojca B</w:t>
      </w:r>
      <w:bookmarkEnd w:id="0"/>
      <w:r w:rsidRPr="003A1B00">
        <w:rPr>
          <w:rFonts w:eastAsia="MS Mincho"/>
          <w:b/>
        </w:rPr>
        <w:t>. Marrëveshja tip</w:t>
      </w:r>
    </w:p>
    <w:p w:rsidR="003E0BC1" w:rsidRPr="003A1B00" w:rsidRDefault="003E0BC1" w:rsidP="003E0BC1">
      <w:pPr>
        <w:spacing w:line="290" w:lineRule="atLeast"/>
        <w:ind w:right="44"/>
        <w:rPr>
          <w:b/>
          <w:lang w:eastAsia="x-none"/>
        </w:rPr>
      </w:pPr>
    </w:p>
    <w:p w:rsidR="003E0BC1" w:rsidRPr="003A1B00" w:rsidRDefault="003E0BC1" w:rsidP="003E0BC1">
      <w:pPr>
        <w:spacing w:after="360"/>
        <w:ind w:right="43"/>
        <w:jc w:val="both"/>
        <w:rPr>
          <w:rFonts w:eastAsia="Arial Unicode MS"/>
          <w:b/>
          <w:lang w:eastAsia="ar-SA"/>
        </w:rPr>
      </w:pPr>
      <w:r w:rsidRPr="003A1B00">
        <w:rPr>
          <w:rFonts w:eastAsia="MS Mincho"/>
          <w:b/>
        </w:rPr>
        <w:t xml:space="preserve">Marrëveshje ndërmjet Bankës së Shqipërisë dhe </w:t>
      </w:r>
      <w:r w:rsidRPr="003A1B00">
        <w:rPr>
          <w:rFonts w:eastAsia="MS Mincho"/>
          <w:b/>
          <w:u w:val="single"/>
        </w:rPr>
        <w:tab/>
      </w:r>
      <w:r w:rsidRPr="003A1B00">
        <w:rPr>
          <w:rFonts w:eastAsia="MS Mincho"/>
          <w:b/>
          <w:u w:val="single"/>
        </w:rPr>
        <w:tab/>
      </w:r>
      <w:r w:rsidRPr="003A1B00">
        <w:rPr>
          <w:rFonts w:eastAsia="MS Mincho"/>
          <w:b/>
          <w:u w:val="single"/>
        </w:rPr>
        <w:tab/>
      </w:r>
      <w:r w:rsidRPr="003A1B00">
        <w:rPr>
          <w:rFonts w:eastAsia="MS Mincho"/>
          <w:b/>
          <w:u w:val="single"/>
        </w:rPr>
        <w:tab/>
      </w:r>
      <w:r w:rsidRPr="003A1B00">
        <w:rPr>
          <w:rFonts w:eastAsia="MS Mincho"/>
          <w:b/>
        </w:rPr>
        <w:t xml:space="preserve"> për pjesëmarrje në sistemin e pagesave ndërbankare me vlerë të madhe AIPS</w:t>
      </w:r>
    </w:p>
    <w:p w:rsidR="003E0BC1" w:rsidRPr="003A1B00" w:rsidRDefault="003E0BC1" w:rsidP="003E0BC1">
      <w:pPr>
        <w:widowControl w:val="0"/>
        <w:suppressAutoHyphens/>
        <w:spacing w:after="360"/>
        <w:ind w:right="43"/>
        <w:jc w:val="both"/>
        <w:rPr>
          <w:b/>
          <w:lang w:eastAsia="x-none"/>
        </w:rPr>
      </w:pPr>
      <w:r w:rsidRPr="003A1B00">
        <w:rPr>
          <w:b/>
          <w:lang w:eastAsia="x-none"/>
        </w:rPr>
        <w:t>E lidhur më datë: __/__/____</w:t>
      </w:r>
    </w:p>
    <w:p w:rsidR="003E0BC1" w:rsidRPr="003A1B00" w:rsidRDefault="003E0BC1" w:rsidP="003E0BC1">
      <w:pPr>
        <w:widowControl w:val="0"/>
        <w:suppressAutoHyphens/>
        <w:spacing w:after="360"/>
        <w:ind w:right="43"/>
        <w:jc w:val="both"/>
        <w:rPr>
          <w:lang w:eastAsia="x-none"/>
        </w:rPr>
      </w:pPr>
      <w:r w:rsidRPr="003A1B00">
        <w:rPr>
          <w:b/>
          <w:lang w:eastAsia="x-none"/>
        </w:rPr>
        <w:t>Palët</w:t>
      </w:r>
      <w:r w:rsidRPr="003A1B00">
        <w:rPr>
          <w:lang w:eastAsia="x-none"/>
        </w:rPr>
        <w:t>:</w:t>
      </w:r>
    </w:p>
    <w:p w:rsidR="003E0BC1" w:rsidRPr="003A1B00" w:rsidRDefault="003E0BC1" w:rsidP="003E0BC1">
      <w:pPr>
        <w:ind w:right="44"/>
        <w:jc w:val="both"/>
        <w:rPr>
          <w:rFonts w:eastAsia="MS Mincho"/>
        </w:rPr>
      </w:pPr>
      <w:r w:rsidRPr="003A1B00">
        <w:rPr>
          <w:rFonts w:eastAsia="MS Mincho"/>
          <w:b/>
        </w:rPr>
        <w:t>Banka e Shqipërisë</w:t>
      </w:r>
      <w:r w:rsidRPr="003A1B00">
        <w:rPr>
          <w:rFonts w:eastAsia="MS Mincho"/>
        </w:rPr>
        <w:t xml:space="preserve"> (si më poshtë “Banka”), me adresë: ________, Tiranë, përfaqësuar ligjërisht në këtë marrëveshje nga </w:t>
      </w:r>
      <w:r w:rsidRPr="003A1B00">
        <w:t>Drejtori në Bankën e Shqipërisë që mbulon fushën e sistemeve të pagesave</w:t>
      </w:r>
      <w:r w:rsidRPr="003A1B00">
        <w:rPr>
          <w:rFonts w:eastAsia="MS Mincho"/>
        </w:rPr>
        <w:t>,</w:t>
      </w:r>
    </w:p>
    <w:p w:rsidR="003E0BC1" w:rsidRPr="003A1B00" w:rsidRDefault="003E0BC1" w:rsidP="003E0BC1">
      <w:pPr>
        <w:ind w:right="44"/>
        <w:jc w:val="both"/>
        <w:rPr>
          <w:rFonts w:eastAsia="MS Mincho"/>
        </w:rPr>
      </w:pPr>
    </w:p>
    <w:p w:rsidR="003E0BC1" w:rsidRPr="003A1B00" w:rsidRDefault="003E0BC1" w:rsidP="003E0BC1">
      <w:pPr>
        <w:ind w:right="44"/>
        <w:jc w:val="both"/>
        <w:rPr>
          <w:rFonts w:eastAsia="MS Mincho"/>
        </w:rPr>
      </w:pPr>
      <w:r w:rsidRPr="003A1B00">
        <w:rPr>
          <w:rFonts w:eastAsia="MS Mincho"/>
        </w:rPr>
        <w:t xml:space="preserve">dhe </w:t>
      </w:r>
    </w:p>
    <w:p w:rsidR="003E0BC1" w:rsidRPr="003A1B00" w:rsidRDefault="003E0BC1" w:rsidP="003E0BC1">
      <w:pPr>
        <w:ind w:right="44"/>
        <w:jc w:val="both"/>
        <w:rPr>
          <w:rFonts w:eastAsia="MS Mincho"/>
        </w:rPr>
      </w:pPr>
    </w:p>
    <w:p w:rsidR="003E0BC1" w:rsidRPr="003A1B00" w:rsidRDefault="003E0BC1" w:rsidP="003E0BC1">
      <w:pPr>
        <w:ind w:right="44"/>
        <w:jc w:val="both"/>
        <w:rPr>
          <w:rFonts w:eastAsia="MS Mincho"/>
        </w:rPr>
      </w:pPr>
      <w:r w:rsidRPr="003A1B00">
        <w:rPr>
          <w:rFonts w:eastAsia="MS Mincho"/>
          <w:b/>
          <w:u w:val="single"/>
        </w:rPr>
        <w:tab/>
      </w:r>
      <w:r w:rsidRPr="003A1B00">
        <w:rPr>
          <w:rFonts w:eastAsia="MS Mincho"/>
          <w:b/>
          <w:u w:val="single"/>
        </w:rPr>
        <w:tab/>
      </w:r>
      <w:r w:rsidRPr="003A1B00">
        <w:rPr>
          <w:rFonts w:eastAsia="MS Mincho"/>
          <w:b/>
          <w:u w:val="single"/>
        </w:rPr>
        <w:tab/>
      </w:r>
      <w:r w:rsidRPr="003A1B00">
        <w:rPr>
          <w:rFonts w:eastAsia="MS Mincho"/>
          <w:b/>
          <w:u w:val="single"/>
        </w:rPr>
        <w:tab/>
      </w:r>
      <w:r w:rsidRPr="003A1B00">
        <w:rPr>
          <w:rFonts w:eastAsia="MS Mincho"/>
        </w:rPr>
        <w:t xml:space="preserve"> (si më poshtë “Pjesëmarrësi”), me adresë: ______ Tiranë, përfaqësuar ligjërisht në këtë marrëveshje nga Drejtori Z/Zj _______, </w:t>
      </w:r>
    </w:p>
    <w:p w:rsidR="003E0BC1" w:rsidRPr="003A1B00" w:rsidRDefault="003E0BC1" w:rsidP="003E0BC1">
      <w:pPr>
        <w:spacing w:before="240" w:after="240" w:line="290" w:lineRule="atLeast"/>
        <w:ind w:right="43"/>
        <w:rPr>
          <w:lang w:eastAsia="x-none"/>
        </w:rPr>
      </w:pPr>
      <w:r w:rsidRPr="003A1B00">
        <w:rPr>
          <w:lang w:eastAsia="x-none"/>
        </w:rPr>
        <w:t>bien dakord të lidhin këtë marrëveshje sipas kushteve të mëposhtme:</w:t>
      </w:r>
    </w:p>
    <w:p w:rsidR="003E0BC1" w:rsidRPr="003A1B00" w:rsidRDefault="003E0BC1" w:rsidP="003E0BC1">
      <w:pPr>
        <w:spacing w:before="360"/>
        <w:ind w:right="44"/>
        <w:jc w:val="center"/>
        <w:rPr>
          <w:b/>
          <w:bCs/>
        </w:rPr>
      </w:pPr>
      <w:r w:rsidRPr="003A1B00">
        <w:rPr>
          <w:b/>
          <w:bCs/>
        </w:rPr>
        <w:t>Neni 1</w:t>
      </w:r>
    </w:p>
    <w:p w:rsidR="003E0BC1" w:rsidRPr="003A1B00" w:rsidRDefault="003E0BC1" w:rsidP="003E0BC1">
      <w:pPr>
        <w:tabs>
          <w:tab w:val="left" w:pos="1820"/>
        </w:tabs>
        <w:spacing w:before="120" w:after="240"/>
        <w:ind w:right="44"/>
        <w:jc w:val="center"/>
        <w:rPr>
          <w:b/>
        </w:rPr>
      </w:pPr>
      <w:r w:rsidRPr="003A1B00">
        <w:rPr>
          <w:b/>
        </w:rPr>
        <w:t>Qëllimi</w:t>
      </w:r>
    </w:p>
    <w:p w:rsidR="003E0BC1" w:rsidRPr="003A1B00" w:rsidRDefault="003E0BC1" w:rsidP="003E0BC1">
      <w:pPr>
        <w:spacing w:line="290" w:lineRule="atLeast"/>
        <w:ind w:right="44"/>
        <w:jc w:val="both"/>
        <w:rPr>
          <w:lang w:eastAsia="x-none"/>
        </w:rPr>
      </w:pPr>
      <w:r w:rsidRPr="003A1B00">
        <w:rPr>
          <w:lang w:eastAsia="x-none"/>
        </w:rPr>
        <w:t>Qëllimi i marrëveshjes është përcaktimi i të drejtave dhe detyrimeve të palëve, të cilat lindin në kuadër të ofrimit nga ana e Bankës të shërbimeve të shlyerjes së pagesave ndërbankare me vlerë të madhe në Sistemin AIPS, i cili operohet dhe administrohet nga kjo e fundit.</w:t>
      </w:r>
    </w:p>
    <w:p w:rsidR="003E0BC1" w:rsidRPr="003A1B00" w:rsidRDefault="003E0BC1" w:rsidP="003E0BC1">
      <w:pPr>
        <w:spacing w:before="360"/>
        <w:ind w:right="44"/>
        <w:jc w:val="center"/>
        <w:rPr>
          <w:b/>
          <w:bCs/>
        </w:rPr>
      </w:pPr>
      <w:r w:rsidRPr="003A1B00">
        <w:rPr>
          <w:b/>
          <w:bCs/>
        </w:rPr>
        <w:t xml:space="preserve">Neni 2 </w:t>
      </w:r>
    </w:p>
    <w:p w:rsidR="003E0BC1" w:rsidRPr="003A1B00" w:rsidRDefault="003E0BC1" w:rsidP="003E0BC1">
      <w:pPr>
        <w:tabs>
          <w:tab w:val="left" w:pos="1820"/>
        </w:tabs>
        <w:spacing w:before="120" w:after="240"/>
        <w:ind w:right="44"/>
        <w:jc w:val="center"/>
        <w:rPr>
          <w:b/>
        </w:rPr>
      </w:pPr>
      <w:r w:rsidRPr="003A1B00">
        <w:rPr>
          <w:b/>
        </w:rPr>
        <w:t>Baza ligjore</w:t>
      </w:r>
    </w:p>
    <w:p w:rsidR="003E0BC1" w:rsidRPr="003A1B00" w:rsidRDefault="003E0BC1" w:rsidP="003E0BC1">
      <w:pPr>
        <w:ind w:right="44"/>
        <w:jc w:val="both"/>
        <w:rPr>
          <w:rFonts w:eastAsia="MS Mincho"/>
        </w:rPr>
      </w:pPr>
      <w:r w:rsidRPr="003A1B00">
        <w:rPr>
          <w:rFonts w:eastAsia="MS Mincho"/>
        </w:rPr>
        <w:t>Marrëveshja hartohet në bazë të:</w:t>
      </w:r>
    </w:p>
    <w:p w:rsidR="003E0BC1" w:rsidRPr="003A1B00" w:rsidRDefault="003E0BC1" w:rsidP="003E0BC1">
      <w:pPr>
        <w:ind w:right="44"/>
        <w:jc w:val="both"/>
        <w:rPr>
          <w:rFonts w:eastAsia="MS Mincho"/>
        </w:rPr>
      </w:pPr>
    </w:p>
    <w:p w:rsidR="003E0BC1" w:rsidRPr="003A1B00" w:rsidRDefault="003E0BC1" w:rsidP="003E0BC1">
      <w:pPr>
        <w:numPr>
          <w:ilvl w:val="0"/>
          <w:numId w:val="1"/>
        </w:numPr>
        <w:spacing w:after="120"/>
        <w:ind w:left="357" w:right="43" w:hanging="357"/>
        <w:jc w:val="both"/>
        <w:rPr>
          <w:rFonts w:eastAsia="MS Mincho"/>
        </w:rPr>
      </w:pPr>
      <w:r w:rsidRPr="003A1B00">
        <w:rPr>
          <w:rFonts w:eastAsia="MS Mincho"/>
        </w:rPr>
        <w:t xml:space="preserve">Kodit Civil të Republikës së Shqipërisë; </w:t>
      </w:r>
    </w:p>
    <w:p w:rsidR="003E0BC1" w:rsidRPr="003A1B00" w:rsidRDefault="003E0BC1" w:rsidP="003E0BC1">
      <w:pPr>
        <w:numPr>
          <w:ilvl w:val="0"/>
          <w:numId w:val="1"/>
        </w:numPr>
        <w:spacing w:after="120"/>
        <w:ind w:left="357" w:right="43" w:hanging="357"/>
        <w:jc w:val="both"/>
        <w:rPr>
          <w:rFonts w:eastAsia="MS Mincho"/>
        </w:rPr>
      </w:pPr>
      <w:r w:rsidRPr="003A1B00">
        <w:rPr>
          <w:rFonts w:eastAsia="MS Mincho"/>
        </w:rPr>
        <w:t>ligjit “Për Bankën e Shqipërisë”;</w:t>
      </w:r>
    </w:p>
    <w:p w:rsidR="003E0BC1" w:rsidRPr="003A1B00" w:rsidRDefault="003E0BC1" w:rsidP="003E0BC1">
      <w:pPr>
        <w:numPr>
          <w:ilvl w:val="0"/>
          <w:numId w:val="1"/>
        </w:numPr>
        <w:spacing w:after="120"/>
        <w:ind w:left="357" w:right="43" w:hanging="357"/>
        <w:jc w:val="both"/>
        <w:rPr>
          <w:rFonts w:eastAsia="MS Mincho"/>
        </w:rPr>
      </w:pPr>
      <w:r w:rsidRPr="003A1B00">
        <w:rPr>
          <w:rFonts w:eastAsia="MS Mincho"/>
        </w:rPr>
        <w:t>ligjit “Për sistemin e pagesave”;</w:t>
      </w:r>
    </w:p>
    <w:p w:rsidR="003E0BC1" w:rsidRPr="003A1B00" w:rsidRDefault="003E0BC1" w:rsidP="003E0BC1">
      <w:pPr>
        <w:numPr>
          <w:ilvl w:val="0"/>
          <w:numId w:val="1"/>
        </w:numPr>
        <w:spacing w:after="120"/>
        <w:ind w:left="357" w:right="43" w:hanging="357"/>
        <w:jc w:val="both"/>
        <w:rPr>
          <w:rFonts w:eastAsia="MS Mincho"/>
        </w:rPr>
      </w:pPr>
      <w:r w:rsidRPr="003A1B00">
        <w:rPr>
          <w:rFonts w:eastAsia="MS Mincho"/>
        </w:rPr>
        <w:t>ligjit “Për bankat në Republikën e Shqipërisë”;</w:t>
      </w:r>
    </w:p>
    <w:p w:rsidR="003E0BC1" w:rsidRPr="003A1B00" w:rsidRDefault="003E0BC1" w:rsidP="003E0BC1">
      <w:pPr>
        <w:pStyle w:val="ListParagraph"/>
        <w:numPr>
          <w:ilvl w:val="0"/>
          <w:numId w:val="1"/>
        </w:numPr>
        <w:spacing w:line="240" w:lineRule="auto"/>
        <w:ind w:left="357" w:hanging="357"/>
        <w:rPr>
          <w:rFonts w:ascii="Times New Roman" w:eastAsia="MS Mincho" w:hAnsi="Times New Roman" w:cs="Times New Roman"/>
          <w:sz w:val="24"/>
          <w:szCs w:val="24"/>
          <w:lang w:val="sq-AL"/>
        </w:rPr>
      </w:pPr>
      <w:r w:rsidRPr="003A1B00">
        <w:rPr>
          <w:rFonts w:ascii="Times New Roman" w:eastAsia="MS Mincho" w:hAnsi="Times New Roman" w:cs="Times New Roman"/>
          <w:sz w:val="24"/>
          <w:szCs w:val="24"/>
          <w:lang w:val="sq-AL"/>
        </w:rPr>
        <w:t>ligjit "Për rimëkëmbjen dhe ndërhyrjen e jashtëzakonshme në banka në Republikën e Shqipërisë";</w:t>
      </w:r>
    </w:p>
    <w:p w:rsidR="003E0BC1" w:rsidRPr="003A1B00" w:rsidRDefault="003E0BC1" w:rsidP="003E0BC1">
      <w:pPr>
        <w:numPr>
          <w:ilvl w:val="0"/>
          <w:numId w:val="1"/>
        </w:numPr>
        <w:spacing w:after="120"/>
        <w:ind w:left="357" w:right="43" w:hanging="357"/>
        <w:jc w:val="both"/>
        <w:rPr>
          <w:rFonts w:eastAsia="MS Mincho"/>
        </w:rPr>
      </w:pPr>
      <w:r w:rsidRPr="003A1B00">
        <w:rPr>
          <w:rFonts w:eastAsia="MS Mincho"/>
        </w:rPr>
        <w:t xml:space="preserve">rregulloreve të Bankës për sistemet AIPS dhe AECH; </w:t>
      </w:r>
    </w:p>
    <w:p w:rsidR="003E0BC1" w:rsidRPr="003A1B00" w:rsidRDefault="003E0BC1" w:rsidP="003E0BC1">
      <w:pPr>
        <w:numPr>
          <w:ilvl w:val="0"/>
          <w:numId w:val="1"/>
        </w:numPr>
        <w:spacing w:after="120"/>
        <w:ind w:left="357" w:right="44" w:hanging="357"/>
        <w:jc w:val="both"/>
        <w:rPr>
          <w:b/>
          <w:lang w:eastAsia="x-none"/>
        </w:rPr>
      </w:pPr>
      <w:r w:rsidRPr="003A1B00">
        <w:rPr>
          <w:rFonts w:eastAsia="MS Mincho"/>
        </w:rPr>
        <w:t>akteve të tjera nënligjore të Bankës.</w:t>
      </w:r>
    </w:p>
    <w:p w:rsidR="003E0BC1" w:rsidRPr="003A1B00" w:rsidRDefault="003E0BC1" w:rsidP="003E0BC1">
      <w:pPr>
        <w:spacing w:before="360"/>
        <w:ind w:right="44"/>
        <w:jc w:val="center"/>
        <w:rPr>
          <w:b/>
          <w:bCs/>
        </w:rPr>
      </w:pPr>
    </w:p>
    <w:p w:rsidR="003E0BC1" w:rsidRPr="003A1B00" w:rsidRDefault="003E0BC1" w:rsidP="003E0BC1">
      <w:pPr>
        <w:spacing w:before="360"/>
        <w:ind w:right="44"/>
        <w:rPr>
          <w:b/>
          <w:bCs/>
        </w:rPr>
      </w:pPr>
    </w:p>
    <w:p w:rsidR="003E0BC1" w:rsidRPr="003A1B00" w:rsidRDefault="003E0BC1" w:rsidP="003E0BC1">
      <w:pPr>
        <w:spacing w:before="360"/>
        <w:ind w:right="44"/>
        <w:jc w:val="center"/>
        <w:rPr>
          <w:b/>
          <w:bCs/>
        </w:rPr>
      </w:pPr>
      <w:r w:rsidRPr="003A1B00">
        <w:rPr>
          <w:b/>
          <w:bCs/>
        </w:rPr>
        <w:t>Neni 3</w:t>
      </w:r>
    </w:p>
    <w:p w:rsidR="003E0BC1" w:rsidRPr="003A1B00" w:rsidRDefault="003E0BC1" w:rsidP="003E0BC1">
      <w:pPr>
        <w:tabs>
          <w:tab w:val="left" w:pos="1820"/>
        </w:tabs>
        <w:spacing w:before="120" w:after="240"/>
        <w:ind w:right="44"/>
        <w:jc w:val="center"/>
        <w:rPr>
          <w:b/>
        </w:rPr>
      </w:pPr>
      <w:r w:rsidRPr="003A1B00">
        <w:rPr>
          <w:b/>
        </w:rPr>
        <w:t>Zbatimi</w:t>
      </w:r>
    </w:p>
    <w:p w:rsidR="003E0BC1" w:rsidRPr="003A1B00" w:rsidRDefault="003E0BC1" w:rsidP="003E0BC1">
      <w:pPr>
        <w:numPr>
          <w:ilvl w:val="0"/>
          <w:numId w:val="2"/>
        </w:numPr>
        <w:spacing w:after="120"/>
        <w:ind w:left="360" w:right="43"/>
        <w:jc w:val="both"/>
        <w:rPr>
          <w:lang w:eastAsia="x-none"/>
        </w:rPr>
      </w:pPr>
      <w:r w:rsidRPr="003A1B00">
        <w:rPr>
          <w:lang w:eastAsia="x-none"/>
        </w:rPr>
        <w:t>Për zbatimin e marrëveshjes, palët bazohen kryesisht në rregulloren e Bankës së Shqipërisë “Për funksionimin e sistemit të pagesave ndërbankare me vlerë të madhe - AIPS” dhe çdo ndryshim të saj (rregullorja për sistemin AIPS).</w:t>
      </w:r>
    </w:p>
    <w:p w:rsidR="003E0BC1" w:rsidRPr="003A1B00" w:rsidRDefault="003E0BC1" w:rsidP="003E0BC1">
      <w:pPr>
        <w:numPr>
          <w:ilvl w:val="0"/>
          <w:numId w:val="2"/>
        </w:numPr>
        <w:spacing w:after="120"/>
        <w:ind w:left="360" w:right="43"/>
        <w:jc w:val="both"/>
        <w:rPr>
          <w:lang w:eastAsia="x-none"/>
        </w:rPr>
      </w:pPr>
      <w:r w:rsidRPr="003A1B00">
        <w:rPr>
          <w:lang w:eastAsia="x-none"/>
        </w:rPr>
        <w:t>Të drejtat dhe detyrimet e palëve janë ato të përcaktuara në rregulloren për sistemin AIPS, si dhe në çdo ndryshim të mëvonshëm të saj.</w:t>
      </w:r>
    </w:p>
    <w:p w:rsidR="003E0BC1" w:rsidRPr="003A1B00" w:rsidRDefault="003E0BC1" w:rsidP="003E0BC1">
      <w:pPr>
        <w:numPr>
          <w:ilvl w:val="0"/>
          <w:numId w:val="2"/>
        </w:numPr>
        <w:spacing w:after="120"/>
        <w:ind w:left="360" w:right="43"/>
        <w:jc w:val="both"/>
      </w:pPr>
      <w:r w:rsidRPr="003A1B00">
        <w:t>Për të gjitha çështjet që nuk përcaktohen shprehimisht në këtë rregullore, zbatohen dispozitat ligjore dhe nënligjore të cituara në bazën ligjore të marrëveshjes.</w:t>
      </w:r>
    </w:p>
    <w:p w:rsidR="003E0BC1" w:rsidRPr="003A1B00" w:rsidRDefault="003E0BC1" w:rsidP="003E0BC1">
      <w:pPr>
        <w:numPr>
          <w:ilvl w:val="0"/>
          <w:numId w:val="2"/>
        </w:numPr>
        <w:spacing w:after="120"/>
        <w:ind w:left="360" w:right="43"/>
        <w:jc w:val="both"/>
      </w:pPr>
      <w:r w:rsidRPr="003A1B00">
        <w:t>Çdo kusht ose formulim i marrëveshjes apo rregullores së sistemit AIPS që mund të sjellë paqartësi, interpretohet në kontekstin e tërësisë së rregullave të sistemit AIPS dhe në këndvështrimin e qëllimit për të cilin lidhet marrëveshja.</w:t>
      </w:r>
    </w:p>
    <w:p w:rsidR="003E0BC1" w:rsidRPr="003A1B00" w:rsidRDefault="003E0BC1" w:rsidP="003E0BC1">
      <w:pPr>
        <w:spacing w:before="360"/>
        <w:ind w:right="44"/>
        <w:jc w:val="center"/>
        <w:rPr>
          <w:b/>
          <w:bCs/>
        </w:rPr>
      </w:pPr>
      <w:r w:rsidRPr="003A1B00">
        <w:rPr>
          <w:b/>
          <w:bCs/>
        </w:rPr>
        <w:t>Neni 4</w:t>
      </w:r>
    </w:p>
    <w:p w:rsidR="003E0BC1" w:rsidRPr="003A1B00" w:rsidRDefault="003E0BC1" w:rsidP="003E0BC1">
      <w:pPr>
        <w:tabs>
          <w:tab w:val="left" w:pos="1820"/>
        </w:tabs>
        <w:spacing w:before="120" w:after="240"/>
        <w:ind w:right="44"/>
        <w:jc w:val="center"/>
        <w:rPr>
          <w:b/>
        </w:rPr>
      </w:pPr>
      <w:r w:rsidRPr="003A1B00">
        <w:rPr>
          <w:b/>
        </w:rPr>
        <w:t>Njoftimet</w:t>
      </w:r>
    </w:p>
    <w:p w:rsidR="003E0BC1" w:rsidRPr="003A1B00" w:rsidRDefault="003E0BC1" w:rsidP="003E0BC1">
      <w:pPr>
        <w:numPr>
          <w:ilvl w:val="0"/>
          <w:numId w:val="3"/>
        </w:numPr>
        <w:spacing w:after="120"/>
        <w:ind w:left="360" w:right="43"/>
        <w:jc w:val="both"/>
      </w:pPr>
      <w:r w:rsidRPr="003A1B00">
        <w:t>Çdo njoftim, kërkesë ose çdo lloj komunikimi ndërmjet palëve, bëhet me postë zyrtare të regjistruar, faks, e-mail, mesazh SWIFT - dhe në rastet kur komunikimi me mjetet e cituara është i pamundur, me telefon - në adresat, numrat telefonikë dhe personat e kontaktit përkatës të palëve. </w:t>
      </w:r>
    </w:p>
    <w:p w:rsidR="003E0BC1" w:rsidRPr="003A1B00" w:rsidRDefault="003E0BC1" w:rsidP="003E0BC1">
      <w:pPr>
        <w:numPr>
          <w:ilvl w:val="0"/>
          <w:numId w:val="3"/>
        </w:numPr>
        <w:spacing w:after="120"/>
        <w:ind w:left="360" w:right="43"/>
        <w:jc w:val="both"/>
        <w:rPr>
          <w:rFonts w:eastAsia="MS Mincho"/>
        </w:rPr>
      </w:pPr>
      <w:r w:rsidRPr="003A1B00">
        <w:rPr>
          <w:rFonts w:eastAsia="MS Mincho"/>
        </w:rPr>
        <w:t xml:space="preserve">Secila palë është e detyruar të njoftojë palën tjetër për ndryshimet e mundshme të adresave, numrave telefonikë dhe të personave të kontaktit, brenda 5 (pesë) ditësh pune nga ndryshimi i tyre. </w:t>
      </w:r>
    </w:p>
    <w:p w:rsidR="003E0BC1" w:rsidRPr="003A1B00" w:rsidRDefault="003E0BC1" w:rsidP="003E0BC1">
      <w:pPr>
        <w:numPr>
          <w:ilvl w:val="0"/>
          <w:numId w:val="3"/>
        </w:numPr>
        <w:spacing w:after="120"/>
        <w:ind w:left="360" w:right="43"/>
        <w:jc w:val="both"/>
        <w:rPr>
          <w:rFonts w:eastAsia="MS Mincho"/>
        </w:rPr>
      </w:pPr>
      <w:r w:rsidRPr="003A1B00">
        <w:rPr>
          <w:rFonts w:eastAsia="MS Mincho"/>
        </w:rPr>
        <w:t>Në rast se njoftimi ose kërkesa mbërrin tek i adresuari pas orës 16:30 të ditës së punës, ai konsiderohet i marrë në orën 08:30 të ditës pasardhëse të punës.</w:t>
      </w:r>
    </w:p>
    <w:p w:rsidR="003E0BC1" w:rsidRPr="003A1B00" w:rsidRDefault="003E0BC1" w:rsidP="003E0BC1">
      <w:pPr>
        <w:spacing w:before="360"/>
        <w:ind w:right="44"/>
        <w:jc w:val="center"/>
        <w:rPr>
          <w:b/>
          <w:bCs/>
        </w:rPr>
      </w:pPr>
      <w:r w:rsidRPr="003A1B00">
        <w:rPr>
          <w:b/>
          <w:bCs/>
        </w:rPr>
        <w:t xml:space="preserve">Neni 5 </w:t>
      </w:r>
    </w:p>
    <w:p w:rsidR="003E0BC1" w:rsidRPr="003A1B00" w:rsidRDefault="003E0BC1" w:rsidP="003E0BC1">
      <w:pPr>
        <w:tabs>
          <w:tab w:val="left" w:pos="1820"/>
        </w:tabs>
        <w:spacing w:before="120" w:after="240"/>
        <w:ind w:right="44"/>
        <w:jc w:val="center"/>
        <w:rPr>
          <w:b/>
        </w:rPr>
      </w:pPr>
      <w:r w:rsidRPr="003A1B00">
        <w:rPr>
          <w:b/>
        </w:rPr>
        <w:t>Hyrja në fuqi dhe kohëzgjatja</w:t>
      </w:r>
    </w:p>
    <w:p w:rsidR="003E0BC1" w:rsidRPr="003A1B00" w:rsidRDefault="003E0BC1" w:rsidP="003E0BC1">
      <w:pPr>
        <w:ind w:right="44"/>
        <w:jc w:val="both"/>
        <w:rPr>
          <w:rFonts w:eastAsia="MS Mincho"/>
        </w:rPr>
      </w:pPr>
      <w:r w:rsidRPr="003A1B00">
        <w:rPr>
          <w:rFonts w:eastAsia="MS Mincho"/>
        </w:rPr>
        <w:t>Marrëveshja hyn në fuqi me nënshkrimin e saj nga ana e palëve dhe i shtrin efektet për një kohë të papërcaktuar.</w:t>
      </w:r>
    </w:p>
    <w:p w:rsidR="003E0BC1" w:rsidRPr="003A1B00" w:rsidRDefault="003E0BC1" w:rsidP="003E0BC1">
      <w:pPr>
        <w:spacing w:before="360"/>
        <w:ind w:right="44"/>
        <w:jc w:val="center"/>
        <w:rPr>
          <w:b/>
          <w:bCs/>
        </w:rPr>
      </w:pPr>
      <w:r w:rsidRPr="003A1B00">
        <w:rPr>
          <w:b/>
          <w:bCs/>
        </w:rPr>
        <w:t>Neni 6</w:t>
      </w:r>
    </w:p>
    <w:p w:rsidR="003E0BC1" w:rsidRPr="003A1B00" w:rsidRDefault="003E0BC1" w:rsidP="003E0BC1">
      <w:pPr>
        <w:tabs>
          <w:tab w:val="left" w:pos="1820"/>
        </w:tabs>
        <w:spacing w:before="120" w:after="240"/>
        <w:ind w:right="44"/>
        <w:jc w:val="center"/>
        <w:rPr>
          <w:b/>
        </w:rPr>
      </w:pPr>
      <w:r w:rsidRPr="003A1B00">
        <w:rPr>
          <w:b/>
        </w:rPr>
        <w:t>Ndryshimi i marrëveshjes</w:t>
      </w:r>
    </w:p>
    <w:p w:rsidR="003E0BC1" w:rsidRPr="003A1B00" w:rsidRDefault="003E0BC1" w:rsidP="003E0BC1">
      <w:pPr>
        <w:ind w:right="44"/>
        <w:jc w:val="both"/>
        <w:rPr>
          <w:rFonts w:eastAsia="MS Mincho"/>
        </w:rPr>
      </w:pPr>
      <w:r w:rsidRPr="003A1B00">
        <w:rPr>
          <w:rFonts w:eastAsia="MS Mincho"/>
        </w:rPr>
        <w:t>Marrëveshja mund të ndryshohet nga palët vetëm me shkrim.</w:t>
      </w:r>
    </w:p>
    <w:p w:rsidR="003E0BC1" w:rsidRPr="003A1B00" w:rsidRDefault="003E0BC1" w:rsidP="003E0BC1">
      <w:pPr>
        <w:spacing w:before="360"/>
        <w:ind w:right="44"/>
        <w:jc w:val="center"/>
        <w:rPr>
          <w:b/>
          <w:bCs/>
        </w:rPr>
      </w:pPr>
      <w:r w:rsidRPr="003A1B00">
        <w:rPr>
          <w:b/>
          <w:bCs/>
        </w:rPr>
        <w:lastRenderedPageBreak/>
        <w:t>Neni 7</w:t>
      </w:r>
    </w:p>
    <w:p w:rsidR="003E0BC1" w:rsidRPr="003A1B00" w:rsidRDefault="003E0BC1" w:rsidP="003E0BC1">
      <w:pPr>
        <w:tabs>
          <w:tab w:val="left" w:pos="1820"/>
        </w:tabs>
        <w:spacing w:before="120" w:after="240"/>
        <w:ind w:right="44"/>
        <w:jc w:val="center"/>
        <w:rPr>
          <w:b/>
        </w:rPr>
      </w:pPr>
      <w:r w:rsidRPr="003A1B00">
        <w:rPr>
          <w:b/>
        </w:rPr>
        <w:t>Zgjidhja e marrëveshjes</w:t>
      </w:r>
    </w:p>
    <w:p w:rsidR="003E0BC1" w:rsidRPr="003A1B00" w:rsidRDefault="003E0BC1" w:rsidP="003E0BC1">
      <w:pPr>
        <w:numPr>
          <w:ilvl w:val="0"/>
          <w:numId w:val="4"/>
        </w:numPr>
        <w:spacing w:after="120"/>
        <w:ind w:left="360" w:right="43" w:hanging="354"/>
        <w:jc w:val="both"/>
        <w:rPr>
          <w:lang w:eastAsia="x-none"/>
        </w:rPr>
      </w:pPr>
      <w:r w:rsidRPr="003A1B00">
        <w:rPr>
          <w:lang w:eastAsia="x-none"/>
        </w:rPr>
        <w:t>Palët mund të zgjidhin Marrëveshjen në mënyrë të njëanshme, duke njoftuar me shkrim palën tjetër të paktën 15 (pesëmbëdhjetë) ditë pune përpara datës që ata dëshirojnë ta zgjidhin, duke kërkuar plotësimin e detyrimeve financiare.</w:t>
      </w:r>
    </w:p>
    <w:p w:rsidR="003E0BC1" w:rsidRPr="003A1B00" w:rsidRDefault="003E0BC1" w:rsidP="003E0BC1">
      <w:pPr>
        <w:numPr>
          <w:ilvl w:val="0"/>
          <w:numId w:val="4"/>
        </w:numPr>
        <w:spacing w:after="120"/>
        <w:ind w:left="360" w:right="43" w:hanging="354"/>
        <w:jc w:val="both"/>
        <w:rPr>
          <w:lang w:eastAsia="x-none"/>
        </w:rPr>
      </w:pPr>
      <w:r w:rsidRPr="003A1B00">
        <w:rPr>
          <w:lang w:eastAsia="x-none"/>
        </w:rPr>
        <w:t>Në rast se kërkesa (njoftimi) bëhet nga Pjesëmarrësi, Banka, brenda 10 (dhjetë) ditësh pune nga marrja e kërkesës, i dërgon pjesëmarrësit përgjigje, duke përcaktuar hapat që duhet të ndiqen deri në përfundimin e pjesëmarrjes së tij në sistemin AIPS.</w:t>
      </w:r>
    </w:p>
    <w:p w:rsidR="003E0BC1" w:rsidRPr="003A1B00" w:rsidRDefault="003E0BC1" w:rsidP="003E0BC1">
      <w:pPr>
        <w:numPr>
          <w:ilvl w:val="0"/>
          <w:numId w:val="4"/>
        </w:numPr>
        <w:spacing w:after="120"/>
        <w:ind w:left="360" w:right="43" w:hanging="354"/>
        <w:jc w:val="both"/>
        <w:rPr>
          <w:lang w:eastAsia="x-none"/>
        </w:rPr>
      </w:pPr>
      <w:r w:rsidRPr="003A1B00">
        <w:rPr>
          <w:lang w:eastAsia="x-none"/>
        </w:rPr>
        <w:t>Në rast se kërkesa e Pjesëmarrësit miratohet:</w:t>
      </w:r>
    </w:p>
    <w:p w:rsidR="003E0BC1" w:rsidRPr="003A1B00" w:rsidRDefault="003E0BC1" w:rsidP="003E0BC1">
      <w:pPr>
        <w:numPr>
          <w:ilvl w:val="1"/>
          <w:numId w:val="4"/>
        </w:numPr>
        <w:spacing w:after="120"/>
        <w:ind w:left="1080" w:right="43"/>
        <w:jc w:val="both"/>
        <w:rPr>
          <w:lang w:eastAsia="x-none"/>
        </w:rPr>
      </w:pPr>
      <w:r w:rsidRPr="003A1B00">
        <w:rPr>
          <w:lang w:eastAsia="x-none"/>
        </w:rPr>
        <w:t>Banka informon të gjithë pjesëmarrësit e sistemit AIPS mbi datën e përjashtimit të pjesëmarrësit nga sistemi AIPS;</w:t>
      </w:r>
    </w:p>
    <w:p w:rsidR="003E0BC1" w:rsidRPr="003A1B00" w:rsidRDefault="003E0BC1" w:rsidP="003E0BC1">
      <w:pPr>
        <w:numPr>
          <w:ilvl w:val="1"/>
          <w:numId w:val="4"/>
        </w:numPr>
        <w:spacing w:after="120"/>
        <w:ind w:left="1080" w:right="43"/>
        <w:jc w:val="both"/>
        <w:rPr>
          <w:lang w:eastAsia="x-none"/>
        </w:rPr>
      </w:pPr>
      <w:r w:rsidRPr="003A1B00">
        <w:rPr>
          <w:lang w:eastAsia="x-none"/>
        </w:rPr>
        <w:t>pjesëmarrësi nuk lejohet të iniciojë instruksione të reja pagese me datëvalutë pas datës së përcaktuar në vendimin për miratimin e përjashtimit të tij nga sistemi AIPS.</w:t>
      </w:r>
    </w:p>
    <w:p w:rsidR="003E0BC1" w:rsidRPr="003A1B00" w:rsidRDefault="003E0BC1" w:rsidP="003E0BC1">
      <w:pPr>
        <w:numPr>
          <w:ilvl w:val="0"/>
          <w:numId w:val="4"/>
        </w:numPr>
        <w:spacing w:after="120"/>
        <w:ind w:left="360" w:right="43"/>
        <w:jc w:val="both"/>
      </w:pPr>
      <w:r w:rsidRPr="003A1B00">
        <w:t>Gjendja debitore e llogarisë së shlyerjes në momentin e mbylljes së saj është detyrim i pagueshëm ndaj pjesëmarrësve në sistemin AIPS dhe/ose ndaj Bankës.</w:t>
      </w:r>
    </w:p>
    <w:p w:rsidR="003E0BC1" w:rsidRPr="003A1B00" w:rsidRDefault="003E0BC1" w:rsidP="003E0BC1">
      <w:pPr>
        <w:spacing w:before="360"/>
        <w:ind w:right="44"/>
        <w:jc w:val="center"/>
        <w:rPr>
          <w:b/>
          <w:bCs/>
        </w:rPr>
      </w:pPr>
      <w:r w:rsidRPr="003A1B00">
        <w:rPr>
          <w:b/>
          <w:bCs/>
        </w:rPr>
        <w:t>Neni 8</w:t>
      </w:r>
    </w:p>
    <w:p w:rsidR="003E0BC1" w:rsidRPr="003A1B00" w:rsidRDefault="003E0BC1" w:rsidP="003E0BC1">
      <w:pPr>
        <w:tabs>
          <w:tab w:val="left" w:pos="1820"/>
        </w:tabs>
        <w:spacing w:before="120" w:after="240"/>
        <w:ind w:right="43"/>
        <w:jc w:val="center"/>
        <w:rPr>
          <w:b/>
        </w:rPr>
      </w:pPr>
      <w:r w:rsidRPr="003A1B00">
        <w:rPr>
          <w:b/>
        </w:rPr>
        <w:t>Zgjidhja e mosmarrëveshjeve</w:t>
      </w:r>
    </w:p>
    <w:p w:rsidR="003E0BC1" w:rsidRPr="003A1B00" w:rsidRDefault="003E0BC1" w:rsidP="003E0BC1">
      <w:pPr>
        <w:ind w:right="43"/>
        <w:jc w:val="both"/>
        <w:rPr>
          <w:bCs/>
        </w:rPr>
      </w:pPr>
      <w:r w:rsidRPr="003A1B00">
        <w:rPr>
          <w:bCs/>
        </w:rPr>
        <w:t xml:space="preserve">Të gjitha mosmarrëveshjet që mund të lindin midis palëve nga zbatimi i Marrëveshjes, dhe që nuk mund të zgjidhen me mirëkuptim, zgjidhen në gjykatën kompetente. </w:t>
      </w:r>
    </w:p>
    <w:p w:rsidR="003E0BC1" w:rsidRPr="003A1B00" w:rsidRDefault="003E0BC1" w:rsidP="003E0BC1">
      <w:pPr>
        <w:spacing w:after="120"/>
        <w:ind w:left="426" w:right="43"/>
        <w:jc w:val="both"/>
      </w:pPr>
    </w:p>
    <w:p w:rsidR="003E0BC1" w:rsidRPr="003A1B00" w:rsidRDefault="003E0BC1" w:rsidP="003E0BC1">
      <w:pPr>
        <w:spacing w:after="120"/>
        <w:ind w:right="43"/>
        <w:jc w:val="both"/>
      </w:pPr>
    </w:p>
    <w:p w:rsidR="003E0BC1" w:rsidRPr="003A1B00" w:rsidRDefault="003E0BC1" w:rsidP="003E0BC1">
      <w:pPr>
        <w:spacing w:after="120"/>
        <w:ind w:right="-136"/>
        <w:jc w:val="both"/>
      </w:pPr>
      <w:r w:rsidRPr="003A1B00">
        <w:t>Marrëveshja, pasi lexohet nga palët, nënshkruhet me vullnetin e tyre të lirë e të pavarur në 4 (katër) kopje origjinale, në gjuhën shqipe, dhe secila nga palët mban 2 (dy) kopje.</w:t>
      </w:r>
    </w:p>
    <w:p w:rsidR="003E0BC1" w:rsidRPr="003A1B00" w:rsidRDefault="003E0BC1" w:rsidP="003E0BC1">
      <w:pPr>
        <w:widowControl w:val="0"/>
        <w:tabs>
          <w:tab w:val="left" w:pos="3700"/>
          <w:tab w:val="left" w:pos="5800"/>
        </w:tabs>
        <w:autoSpaceDE w:val="0"/>
        <w:autoSpaceDN w:val="0"/>
        <w:adjustRightInd w:val="0"/>
        <w:spacing w:before="360"/>
        <w:ind w:right="43"/>
        <w:rPr>
          <w:b/>
        </w:rPr>
      </w:pPr>
      <w:r w:rsidRPr="003A1B00">
        <w:rPr>
          <w:b/>
        </w:rPr>
        <w:t>Për Bankën e Shqipërisë</w:t>
      </w:r>
    </w:p>
    <w:p w:rsidR="003E0BC1" w:rsidRPr="003A1B00" w:rsidRDefault="003E0BC1" w:rsidP="003E0BC1">
      <w:pPr>
        <w:widowControl w:val="0"/>
        <w:tabs>
          <w:tab w:val="left" w:pos="3700"/>
          <w:tab w:val="left" w:pos="5800"/>
        </w:tabs>
        <w:autoSpaceDE w:val="0"/>
        <w:autoSpaceDN w:val="0"/>
        <w:adjustRightInd w:val="0"/>
        <w:spacing w:before="360"/>
        <w:ind w:right="43"/>
        <w:rPr>
          <w:b/>
          <w:u w:val="single"/>
        </w:rPr>
      </w:pPr>
      <w:r w:rsidRPr="003A1B00">
        <w:rPr>
          <w:b/>
          <w:u w:val="single"/>
        </w:rPr>
        <w:tab/>
      </w:r>
    </w:p>
    <w:p w:rsidR="003E0BC1" w:rsidRPr="003A1B00" w:rsidRDefault="003E0BC1" w:rsidP="003E0BC1">
      <w:pPr>
        <w:widowControl w:val="0"/>
        <w:tabs>
          <w:tab w:val="left" w:pos="3700"/>
          <w:tab w:val="left" w:pos="5800"/>
        </w:tabs>
        <w:autoSpaceDE w:val="0"/>
        <w:autoSpaceDN w:val="0"/>
        <w:adjustRightInd w:val="0"/>
        <w:spacing w:before="360"/>
        <w:ind w:right="43"/>
        <w:rPr>
          <w:b/>
        </w:rPr>
      </w:pPr>
      <w:r w:rsidRPr="003A1B00">
        <w:rPr>
          <w:b/>
          <w:spacing w:val="-2"/>
        </w:rPr>
        <w:t>Drejtor i Departamentit</w:t>
      </w:r>
      <w:r w:rsidRPr="003A1B00">
        <w:rPr>
          <w:spacing w:val="-2"/>
        </w:rPr>
        <w:t xml:space="preserve"> </w:t>
      </w:r>
      <w:r w:rsidRPr="003A1B00">
        <w:rPr>
          <w:b/>
          <w:spacing w:val="-2"/>
        </w:rPr>
        <w:t>__________________</w:t>
      </w:r>
    </w:p>
    <w:p w:rsidR="003E0BC1" w:rsidRPr="003A1B00" w:rsidRDefault="003E0BC1" w:rsidP="003E0BC1">
      <w:pPr>
        <w:widowControl w:val="0"/>
        <w:tabs>
          <w:tab w:val="left" w:pos="3700"/>
          <w:tab w:val="left" w:pos="5800"/>
        </w:tabs>
        <w:autoSpaceDE w:val="0"/>
        <w:autoSpaceDN w:val="0"/>
        <w:adjustRightInd w:val="0"/>
        <w:spacing w:before="720"/>
        <w:ind w:right="43"/>
        <w:rPr>
          <w:b/>
          <w:u w:val="single"/>
        </w:rPr>
      </w:pPr>
      <w:r w:rsidRPr="003A1B00">
        <w:rPr>
          <w:b/>
        </w:rPr>
        <w:t>Për</w:t>
      </w:r>
      <w:r w:rsidRPr="003A1B00">
        <w:rPr>
          <w:b/>
          <w:u w:val="single"/>
        </w:rPr>
        <w:tab/>
      </w:r>
    </w:p>
    <w:p w:rsidR="003E0BC1" w:rsidRPr="003A1B00" w:rsidRDefault="003E0BC1" w:rsidP="003E0BC1">
      <w:pPr>
        <w:widowControl w:val="0"/>
        <w:tabs>
          <w:tab w:val="left" w:pos="3700"/>
          <w:tab w:val="left" w:pos="5800"/>
        </w:tabs>
        <w:autoSpaceDE w:val="0"/>
        <w:autoSpaceDN w:val="0"/>
        <w:adjustRightInd w:val="0"/>
        <w:spacing w:before="360"/>
        <w:ind w:right="50"/>
        <w:rPr>
          <w:b/>
          <w:u w:val="single"/>
        </w:rPr>
      </w:pPr>
      <w:r w:rsidRPr="003A1B00">
        <w:rPr>
          <w:b/>
          <w:u w:val="single"/>
        </w:rPr>
        <w:tab/>
      </w:r>
    </w:p>
    <w:p w:rsidR="003E0BC1" w:rsidRPr="003A1B00" w:rsidRDefault="003E0BC1" w:rsidP="003E0BC1">
      <w:pPr>
        <w:widowControl w:val="0"/>
        <w:tabs>
          <w:tab w:val="left" w:pos="3700"/>
          <w:tab w:val="left" w:pos="5800"/>
        </w:tabs>
        <w:autoSpaceDE w:val="0"/>
        <w:autoSpaceDN w:val="0"/>
        <w:adjustRightInd w:val="0"/>
        <w:spacing w:before="360"/>
        <w:ind w:right="50"/>
        <w:rPr>
          <w:b/>
        </w:rPr>
      </w:pPr>
      <w:r w:rsidRPr="003A1B00">
        <w:rPr>
          <w:b/>
        </w:rPr>
        <w:t>Drej</w:t>
      </w:r>
      <w:r w:rsidRPr="003A1B00">
        <w:rPr>
          <w:b/>
          <w:spacing w:val="1"/>
        </w:rPr>
        <w:t>t</w:t>
      </w:r>
      <w:r w:rsidRPr="003A1B00">
        <w:rPr>
          <w:b/>
        </w:rPr>
        <w:t>or</w:t>
      </w:r>
    </w:p>
    <w:p w:rsidR="003E0BC1" w:rsidRPr="003A1B00" w:rsidRDefault="003E0BC1" w:rsidP="003E0BC1">
      <w:pPr>
        <w:widowControl w:val="0"/>
        <w:tabs>
          <w:tab w:val="left" w:pos="3700"/>
          <w:tab w:val="left" w:pos="5800"/>
        </w:tabs>
        <w:autoSpaceDE w:val="0"/>
        <w:autoSpaceDN w:val="0"/>
        <w:adjustRightInd w:val="0"/>
        <w:spacing w:before="360"/>
        <w:ind w:right="50"/>
        <w:rPr>
          <w:b/>
        </w:rPr>
      </w:pPr>
    </w:p>
    <w:p w:rsidR="00100FD6" w:rsidRDefault="00100FD6"/>
    <w:sectPr w:rsidR="00100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A2C91"/>
    <w:multiLevelType w:val="hybridMultilevel"/>
    <w:tmpl w:val="A6FEE9A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93982"/>
    <w:multiLevelType w:val="hybridMultilevel"/>
    <w:tmpl w:val="6A8CFC8A"/>
    <w:lvl w:ilvl="0" w:tplc="FEE2CBB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72350"/>
    <w:multiLevelType w:val="hybridMultilevel"/>
    <w:tmpl w:val="7130D5A8"/>
    <w:lvl w:ilvl="0" w:tplc="4C7699C4">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CE32BD"/>
    <w:multiLevelType w:val="hybridMultilevel"/>
    <w:tmpl w:val="93722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C1"/>
    <w:rsid w:val="00100FD6"/>
    <w:rsid w:val="003E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0AC9F-D13B-40B8-A27E-E5D24116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BC1"/>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BC1"/>
    <w:pPr>
      <w:spacing w:after="200" w:line="276" w:lineRule="auto"/>
      <w:ind w:left="72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Sanijela Totozani</dc:creator>
  <cp:keywords/>
  <dc:description/>
  <cp:lastModifiedBy>Sanijela Totozani</cp:lastModifiedBy>
  <cp:revision>1</cp:revision>
  <dcterms:created xsi:type="dcterms:W3CDTF">2025-09-17T14:20:00Z</dcterms:created>
  <dcterms:modified xsi:type="dcterms:W3CDTF">2025-09-17T14:21:00Z</dcterms:modified>
</cp:coreProperties>
</file>