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6F" w:rsidRPr="005D7230" w:rsidRDefault="00393F6F" w:rsidP="001D7B2C">
      <w:pPr>
        <w:jc w:val="center"/>
        <w:rPr>
          <w:rFonts w:ascii="Times New Roman" w:hAnsi="Times New Roman" w:cs="Times New Roman"/>
          <w:b/>
          <w:sz w:val="26"/>
          <w:szCs w:val="26"/>
          <w:lang w:val="sq-AL"/>
        </w:rPr>
      </w:pPr>
      <w:r w:rsidRPr="005D7230">
        <w:rPr>
          <w:rFonts w:ascii="Times New Roman" w:hAnsi="Times New Roman" w:cs="Times New Roman"/>
          <w:b/>
          <w:sz w:val="26"/>
          <w:szCs w:val="26"/>
          <w:lang w:val="sq-AL"/>
        </w:rPr>
        <w:t>Banka e Shqipërisë</w:t>
      </w:r>
    </w:p>
    <w:p w:rsidR="00393F6F" w:rsidRPr="005D7230" w:rsidRDefault="00393F6F" w:rsidP="001D7B2C">
      <w:pPr>
        <w:jc w:val="center"/>
        <w:rPr>
          <w:rFonts w:ascii="Times New Roman" w:hAnsi="Times New Roman" w:cs="Times New Roman"/>
          <w:sz w:val="26"/>
          <w:szCs w:val="26"/>
          <w:lang w:val="sq-AL"/>
        </w:rPr>
      </w:pPr>
      <w:r w:rsidRPr="005D7230">
        <w:rPr>
          <w:rFonts w:ascii="Times New Roman" w:hAnsi="Times New Roman" w:cs="Times New Roman"/>
          <w:noProof/>
        </w:rPr>
        <w:drawing>
          <wp:anchor distT="0" distB="0" distL="114935" distR="114935" simplePos="0" relativeHeight="251659264" behindDoc="1" locked="0" layoutInCell="1" allowOverlap="1">
            <wp:simplePos x="0" y="0"/>
            <wp:positionH relativeFrom="margin">
              <wp:posOffset>2181225</wp:posOffset>
            </wp:positionH>
            <wp:positionV relativeFrom="margin">
              <wp:posOffset>678815</wp:posOffset>
            </wp:positionV>
            <wp:extent cx="1514475" cy="1112520"/>
            <wp:effectExtent l="19050" t="19050" r="28575" b="11430"/>
            <wp:wrapTight wrapText="bothSides">
              <wp:wrapPolygon edited="0">
                <wp:start x="-272" y="-370"/>
                <wp:lineTo x="-272" y="21452"/>
                <wp:lineTo x="21736" y="21452"/>
                <wp:lineTo x="21736" y="-370"/>
                <wp:lineTo x="-272" y="-3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112520"/>
                    </a:xfrm>
                    <a:prstGeom prst="rect">
                      <a:avLst/>
                    </a:prstGeom>
                    <a:solidFill>
                      <a:srgbClr val="FFFFFF"/>
                    </a:solidFill>
                    <a:ln w="6350">
                      <a:solidFill>
                        <a:srgbClr val="000000"/>
                      </a:solidFill>
                      <a:miter lim="800000"/>
                      <a:headEnd/>
                      <a:tailEnd/>
                    </a:ln>
                  </pic:spPr>
                </pic:pic>
              </a:graphicData>
            </a:graphic>
          </wp:anchor>
        </w:drawing>
      </w:r>
      <w:r w:rsidRPr="005D7230">
        <w:rPr>
          <w:rFonts w:ascii="Times New Roman" w:hAnsi="Times New Roman" w:cs="Times New Roman"/>
          <w:sz w:val="26"/>
          <w:szCs w:val="26"/>
          <w:lang w:val="sq-AL"/>
        </w:rPr>
        <w:t>Departamenti i Politikës Monetare</w:t>
      </w:r>
    </w:p>
    <w:p w:rsidR="00393F6F" w:rsidRPr="005D7230" w:rsidRDefault="00393F6F" w:rsidP="001D7B2C">
      <w:pPr>
        <w:jc w:val="center"/>
        <w:rPr>
          <w:rFonts w:ascii="Times New Roman" w:hAnsi="Times New Roman" w:cs="Times New Roman"/>
          <w:lang w:val="sq-AL"/>
        </w:rPr>
      </w:pPr>
    </w:p>
    <w:p w:rsidR="00393F6F" w:rsidRPr="005D7230" w:rsidRDefault="00393F6F" w:rsidP="001D7B2C">
      <w:pPr>
        <w:jc w:val="center"/>
        <w:rPr>
          <w:rFonts w:ascii="Times New Roman" w:hAnsi="Times New Roman" w:cs="Times New Roman"/>
          <w:b/>
          <w:lang w:val="sq-AL"/>
        </w:rPr>
      </w:pPr>
    </w:p>
    <w:p w:rsidR="00393F6F" w:rsidRPr="005D7230" w:rsidRDefault="00393F6F" w:rsidP="001D7B2C">
      <w:pPr>
        <w:jc w:val="center"/>
        <w:rPr>
          <w:rFonts w:ascii="Times New Roman" w:hAnsi="Times New Roman" w:cs="Times New Roman"/>
          <w:b/>
          <w:lang w:val="sq-AL"/>
        </w:rPr>
      </w:pPr>
    </w:p>
    <w:p w:rsidR="00393F6F" w:rsidRPr="005D7230" w:rsidRDefault="00393F6F" w:rsidP="001D7B2C">
      <w:pPr>
        <w:jc w:val="center"/>
        <w:rPr>
          <w:rFonts w:ascii="Times New Roman" w:hAnsi="Times New Roman" w:cs="Times New Roman"/>
          <w:b/>
          <w:lang w:val="sq-AL"/>
        </w:rPr>
      </w:pPr>
    </w:p>
    <w:p w:rsidR="00393F6F" w:rsidRPr="005D7230" w:rsidRDefault="00A52637" w:rsidP="001D7B2C">
      <w:pPr>
        <w:jc w:val="center"/>
        <w:rPr>
          <w:rFonts w:ascii="Times New Roman" w:hAnsi="Times New Roman" w:cs="Times New Roman"/>
          <w:b/>
          <w:lang w:val="sq-AL"/>
        </w:rPr>
      </w:pPr>
      <w:r>
        <w:rPr>
          <w:rFonts w:ascii="Times New Roman" w:hAnsi="Times New Roman" w:cs="Times New Roman"/>
          <w:b/>
          <w:lang w:val="sq-AL"/>
        </w:rPr>
        <w:t xml:space="preserve">Vrojtimi i </w:t>
      </w:r>
      <w:r w:rsidR="007F37FB">
        <w:rPr>
          <w:rFonts w:ascii="Times New Roman" w:hAnsi="Times New Roman" w:cs="Times New Roman"/>
          <w:b/>
          <w:lang w:val="sq-AL"/>
        </w:rPr>
        <w:t>B</w:t>
      </w:r>
      <w:r>
        <w:rPr>
          <w:rFonts w:ascii="Times New Roman" w:hAnsi="Times New Roman" w:cs="Times New Roman"/>
          <w:b/>
          <w:lang w:val="sq-AL"/>
        </w:rPr>
        <w:t xml:space="preserve">esimit të </w:t>
      </w:r>
      <w:r w:rsidR="007F37FB">
        <w:rPr>
          <w:rFonts w:ascii="Times New Roman" w:hAnsi="Times New Roman" w:cs="Times New Roman"/>
          <w:b/>
          <w:lang w:val="sq-AL"/>
        </w:rPr>
        <w:t>B</w:t>
      </w:r>
      <w:r>
        <w:rPr>
          <w:rFonts w:ascii="Times New Roman" w:hAnsi="Times New Roman" w:cs="Times New Roman"/>
          <w:b/>
          <w:lang w:val="sq-AL"/>
        </w:rPr>
        <w:t xml:space="preserve">iznesit dhe </w:t>
      </w:r>
      <w:r w:rsidR="007F37FB">
        <w:rPr>
          <w:rFonts w:ascii="Times New Roman" w:hAnsi="Times New Roman" w:cs="Times New Roman"/>
          <w:b/>
          <w:lang w:val="sq-AL"/>
        </w:rPr>
        <w:t>K</w:t>
      </w:r>
      <w:r>
        <w:rPr>
          <w:rFonts w:ascii="Times New Roman" w:hAnsi="Times New Roman" w:cs="Times New Roman"/>
          <w:b/>
          <w:lang w:val="sq-AL"/>
        </w:rPr>
        <w:t>onsumatorit</w:t>
      </w:r>
    </w:p>
    <w:p w:rsidR="00393F6F" w:rsidRPr="005D7230" w:rsidRDefault="00393F6F" w:rsidP="001D7B2C">
      <w:pPr>
        <w:jc w:val="center"/>
        <w:rPr>
          <w:rFonts w:ascii="Times New Roman" w:hAnsi="Times New Roman" w:cs="Times New Roman"/>
          <w:b/>
          <w:lang w:val="sq-AL"/>
        </w:rPr>
      </w:pPr>
    </w:p>
    <w:p w:rsidR="00393F6F" w:rsidRPr="005D7230" w:rsidRDefault="00393F6F" w:rsidP="001D7B2C">
      <w:pPr>
        <w:jc w:val="center"/>
        <w:rPr>
          <w:rFonts w:ascii="Times New Roman" w:hAnsi="Times New Roman" w:cs="Times New Roman"/>
          <w:b/>
          <w:lang w:val="sq-AL"/>
        </w:rPr>
      </w:pPr>
      <w:r w:rsidRPr="005D7230">
        <w:rPr>
          <w:rFonts w:ascii="Times New Roman" w:hAnsi="Times New Roman" w:cs="Times New Roman"/>
          <w:b/>
          <w:lang w:val="sq-AL"/>
        </w:rPr>
        <w:t>Tremujori i dytë 2013</w:t>
      </w:r>
    </w:p>
    <w:p w:rsidR="00393F6F" w:rsidRPr="005D7230" w:rsidRDefault="00393F6F" w:rsidP="001D7B2C">
      <w:pPr>
        <w:rPr>
          <w:b/>
          <w:lang w:val="sq-AL"/>
        </w:rPr>
      </w:pPr>
      <w:r w:rsidRPr="005D7230">
        <w:rPr>
          <w:b/>
          <w:lang w:val="sq-AL"/>
        </w:rPr>
        <w:t>_______________________________________________________________________</w:t>
      </w:r>
      <w:r w:rsidR="00E30A63" w:rsidRPr="005D7230">
        <w:rPr>
          <w:b/>
          <w:lang w:val="sq-AL"/>
        </w:rPr>
        <w:t>______________</w:t>
      </w:r>
    </w:p>
    <w:p w:rsidR="00DE669B" w:rsidRPr="005D7230" w:rsidRDefault="00DE669B" w:rsidP="001D7B2C">
      <w:pPr>
        <w:rPr>
          <w:rFonts w:ascii="Times New Roman" w:hAnsi="Times New Roman" w:cs="Times New Roman"/>
          <w:b/>
          <w:sz w:val="24"/>
          <w:szCs w:val="24"/>
          <w:lang w:val="sq-AL"/>
        </w:rPr>
      </w:pPr>
      <w:r w:rsidRPr="005D7230">
        <w:rPr>
          <w:rFonts w:ascii="Times New Roman" w:hAnsi="Times New Roman" w:cs="Times New Roman"/>
          <w:b/>
          <w:sz w:val="24"/>
          <w:szCs w:val="24"/>
          <w:lang w:val="sq-AL"/>
        </w:rPr>
        <w:t xml:space="preserve">Treguesi i </w:t>
      </w:r>
      <w:r w:rsidR="005F56FF" w:rsidRPr="005D7230">
        <w:rPr>
          <w:rFonts w:ascii="Times New Roman" w:hAnsi="Times New Roman" w:cs="Times New Roman"/>
          <w:b/>
          <w:sz w:val="24"/>
          <w:szCs w:val="24"/>
          <w:lang w:val="sq-AL"/>
        </w:rPr>
        <w:t>N</w:t>
      </w:r>
      <w:r w:rsidRPr="005D7230">
        <w:rPr>
          <w:rFonts w:ascii="Times New Roman" w:hAnsi="Times New Roman" w:cs="Times New Roman"/>
          <w:b/>
          <w:sz w:val="24"/>
          <w:szCs w:val="24"/>
          <w:lang w:val="sq-AL"/>
        </w:rPr>
        <w:t xml:space="preserve">djesisë </w:t>
      </w:r>
      <w:r w:rsidR="005F56FF" w:rsidRPr="005D7230">
        <w:rPr>
          <w:rFonts w:ascii="Times New Roman" w:hAnsi="Times New Roman" w:cs="Times New Roman"/>
          <w:b/>
          <w:sz w:val="24"/>
          <w:szCs w:val="24"/>
          <w:lang w:val="sq-AL"/>
        </w:rPr>
        <w:t>E</w:t>
      </w:r>
      <w:r w:rsidRPr="005D7230">
        <w:rPr>
          <w:rFonts w:ascii="Times New Roman" w:hAnsi="Times New Roman" w:cs="Times New Roman"/>
          <w:b/>
          <w:sz w:val="24"/>
          <w:szCs w:val="24"/>
          <w:lang w:val="sq-AL"/>
        </w:rPr>
        <w:t>konomike</w:t>
      </w:r>
    </w:p>
    <w:p w:rsidR="007D488D" w:rsidRPr="005D7230" w:rsidRDefault="007D488D" w:rsidP="001D7B2C">
      <w:pPr>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Treguesi i ndjesis</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ekonomike (TNE) sh</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noi nivelin 82.</w:t>
      </w:r>
      <w:r w:rsidR="00BE19DD" w:rsidRPr="005D7230">
        <w:rPr>
          <w:rFonts w:ascii="Times New Roman" w:hAnsi="Times New Roman" w:cs="Times New Roman"/>
          <w:sz w:val="24"/>
          <w:szCs w:val="24"/>
          <w:lang w:val="sq-AL"/>
        </w:rPr>
        <w:t>4</w:t>
      </w:r>
      <w:r w:rsidRPr="005D7230">
        <w:rPr>
          <w:rFonts w:ascii="Times New Roman" w:hAnsi="Times New Roman" w:cs="Times New Roman"/>
          <w:sz w:val="24"/>
          <w:szCs w:val="24"/>
          <w:lang w:val="sq-AL"/>
        </w:rPr>
        <w:t xml:space="preserve"> n</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tremujorin e dyt</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vitit 2013, n</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r</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nie me rreth </w:t>
      </w:r>
      <w:r w:rsidR="00BE19DD" w:rsidRPr="005D7230">
        <w:rPr>
          <w:rFonts w:ascii="Times New Roman" w:hAnsi="Times New Roman" w:cs="Times New Roman"/>
          <w:sz w:val="24"/>
          <w:szCs w:val="24"/>
          <w:lang w:val="sq-AL"/>
        </w:rPr>
        <w:t>6.2</w:t>
      </w:r>
      <w:r w:rsidRPr="005D7230">
        <w:rPr>
          <w:rFonts w:ascii="Times New Roman" w:hAnsi="Times New Roman" w:cs="Times New Roman"/>
          <w:sz w:val="24"/>
          <w:szCs w:val="24"/>
          <w:lang w:val="sq-AL"/>
        </w:rPr>
        <w:t xml:space="preserve"> pik</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rqindjeje. Niveli aktual i TNE-s</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q</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ndron rreth 17.</w:t>
      </w:r>
      <w:r w:rsidR="002C28F7" w:rsidRPr="005D7230">
        <w:rPr>
          <w:rFonts w:ascii="Times New Roman" w:hAnsi="Times New Roman" w:cs="Times New Roman"/>
          <w:sz w:val="24"/>
          <w:szCs w:val="24"/>
          <w:lang w:val="sq-AL"/>
        </w:rPr>
        <w:t>6</w:t>
      </w:r>
      <w:r w:rsidRPr="005D7230">
        <w:rPr>
          <w:rFonts w:ascii="Times New Roman" w:hAnsi="Times New Roman" w:cs="Times New Roman"/>
          <w:sz w:val="24"/>
          <w:szCs w:val="24"/>
          <w:lang w:val="sq-AL"/>
        </w:rPr>
        <w:t xml:space="preserve"> pik</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rqindje n</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 mesataren afatgjat</w:t>
      </w:r>
      <w:r w:rsidR="007A28F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w:t>
      </w:r>
      <w:r w:rsidR="00821CFA" w:rsidRPr="005D7230">
        <w:rPr>
          <w:rFonts w:ascii="Times New Roman" w:hAnsi="Times New Roman" w:cs="Times New Roman"/>
          <w:sz w:val="24"/>
          <w:szCs w:val="24"/>
          <w:lang w:val="sq-AL"/>
        </w:rPr>
        <w:t>P</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rkeq</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simi i treguesit t</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ndjesis</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ekonomike n</w:t>
      </w:r>
      <w:r w:rsidR="007A28F6" w:rsidRPr="005D7230">
        <w:rPr>
          <w:rFonts w:ascii="Times New Roman" w:hAnsi="Times New Roman" w:cs="Times New Roman"/>
          <w:sz w:val="24"/>
          <w:szCs w:val="24"/>
          <w:lang w:val="sq-AL"/>
        </w:rPr>
        <w:t>ë</w:t>
      </w:r>
      <w:r w:rsidR="0019004D">
        <w:rPr>
          <w:rFonts w:ascii="Times New Roman" w:hAnsi="Times New Roman" w:cs="Times New Roman"/>
          <w:sz w:val="24"/>
          <w:szCs w:val="24"/>
          <w:lang w:val="sq-AL"/>
        </w:rPr>
        <w:t xml:space="preserve"> </w:t>
      </w:r>
      <w:r w:rsidR="003C7B66">
        <w:rPr>
          <w:rFonts w:ascii="Times New Roman" w:hAnsi="Times New Roman" w:cs="Times New Roman"/>
          <w:sz w:val="24"/>
          <w:szCs w:val="24"/>
          <w:lang w:val="sq-AL"/>
        </w:rPr>
        <w:t>k</w:t>
      </w:r>
      <w:r w:rsidR="0019004D">
        <w:rPr>
          <w:rFonts w:ascii="Times New Roman" w:hAnsi="Times New Roman" w:cs="Times New Roman"/>
          <w:sz w:val="24"/>
          <w:szCs w:val="24"/>
          <w:lang w:val="sq-AL"/>
        </w:rPr>
        <w:t>ëtë  periudhë</w:t>
      </w:r>
      <w:r w:rsidR="0019004D" w:rsidRPr="005D7230">
        <w:rPr>
          <w:rFonts w:ascii="Times New Roman" w:hAnsi="Times New Roman" w:cs="Times New Roman"/>
          <w:sz w:val="24"/>
          <w:szCs w:val="24"/>
          <w:lang w:val="sq-AL"/>
        </w:rPr>
        <w:t xml:space="preserve"> </w:t>
      </w:r>
      <w:r w:rsidR="00821CFA" w:rsidRPr="005D7230">
        <w:rPr>
          <w:rFonts w:ascii="Times New Roman" w:hAnsi="Times New Roman" w:cs="Times New Roman"/>
          <w:sz w:val="24"/>
          <w:szCs w:val="24"/>
          <w:lang w:val="sq-AL"/>
        </w:rPr>
        <w:t>u ndikua kryesisht nga r</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nia </w:t>
      </w:r>
      <w:r w:rsidR="00560A4C">
        <w:rPr>
          <w:rFonts w:ascii="Times New Roman" w:hAnsi="Times New Roman" w:cs="Times New Roman"/>
          <w:sz w:val="24"/>
          <w:szCs w:val="24"/>
          <w:lang w:val="sq-AL"/>
        </w:rPr>
        <w:t xml:space="preserve">e </w:t>
      </w:r>
      <w:r w:rsidR="00821CFA" w:rsidRPr="005D7230">
        <w:rPr>
          <w:rFonts w:ascii="Times New Roman" w:hAnsi="Times New Roman" w:cs="Times New Roman"/>
          <w:sz w:val="24"/>
          <w:szCs w:val="24"/>
          <w:lang w:val="sq-AL"/>
        </w:rPr>
        <w:t>besimit n</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sektorin e sh</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rbimeve. N</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t</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nj</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jtin drejtim</w:t>
      </w:r>
      <w:r w:rsidR="003C7B66">
        <w:rPr>
          <w:rFonts w:ascii="Times New Roman" w:hAnsi="Times New Roman" w:cs="Times New Roman"/>
          <w:sz w:val="24"/>
          <w:szCs w:val="24"/>
          <w:lang w:val="sq-AL"/>
        </w:rPr>
        <w:t>,</w:t>
      </w:r>
      <w:r w:rsidR="00821CFA" w:rsidRPr="005D7230">
        <w:rPr>
          <w:rFonts w:ascii="Times New Roman" w:hAnsi="Times New Roman" w:cs="Times New Roman"/>
          <w:sz w:val="24"/>
          <w:szCs w:val="24"/>
          <w:lang w:val="sq-AL"/>
        </w:rPr>
        <w:t xml:space="preserve"> po</w:t>
      </w:r>
      <w:r w:rsidR="003C7B66">
        <w:rPr>
          <w:rFonts w:ascii="Times New Roman" w:hAnsi="Times New Roman" w:cs="Times New Roman"/>
          <w:sz w:val="24"/>
          <w:szCs w:val="24"/>
          <w:lang w:val="sq-AL"/>
        </w:rPr>
        <w:t>r</w:t>
      </w:r>
      <w:r w:rsidR="00821CFA" w:rsidRPr="005D7230">
        <w:rPr>
          <w:rFonts w:ascii="Times New Roman" w:hAnsi="Times New Roman" w:cs="Times New Roman"/>
          <w:sz w:val="24"/>
          <w:szCs w:val="24"/>
          <w:lang w:val="sq-AL"/>
        </w:rPr>
        <w:t xml:space="preserve"> n</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nj</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mas</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m</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t</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vog</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l</w:t>
      </w:r>
      <w:r w:rsidR="003C7B66">
        <w:rPr>
          <w:rFonts w:ascii="Times New Roman" w:hAnsi="Times New Roman" w:cs="Times New Roman"/>
          <w:sz w:val="24"/>
          <w:szCs w:val="24"/>
          <w:lang w:val="sq-AL"/>
        </w:rPr>
        <w:t>,</w:t>
      </w:r>
      <w:r w:rsidR="00821CFA" w:rsidRPr="005D7230">
        <w:rPr>
          <w:rFonts w:ascii="Times New Roman" w:hAnsi="Times New Roman" w:cs="Times New Roman"/>
          <w:sz w:val="24"/>
          <w:szCs w:val="24"/>
          <w:lang w:val="sq-AL"/>
        </w:rPr>
        <w:t xml:space="preserve"> ndikoi dhe r</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nia e besimit n</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sektorin e industris</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dhe at</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t</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 nd</w:t>
      </w:r>
      <w:r w:rsidR="007A28F6" w:rsidRPr="005D7230">
        <w:rPr>
          <w:rFonts w:ascii="Times New Roman" w:hAnsi="Times New Roman" w:cs="Times New Roman"/>
          <w:sz w:val="24"/>
          <w:szCs w:val="24"/>
          <w:lang w:val="sq-AL"/>
        </w:rPr>
        <w:t>ë</w:t>
      </w:r>
      <w:r w:rsidR="00821CFA" w:rsidRPr="005D7230">
        <w:rPr>
          <w:rFonts w:ascii="Times New Roman" w:hAnsi="Times New Roman" w:cs="Times New Roman"/>
          <w:sz w:val="24"/>
          <w:szCs w:val="24"/>
          <w:lang w:val="sq-AL"/>
        </w:rPr>
        <w:t xml:space="preserve">rtimit. </w:t>
      </w:r>
      <w:r w:rsidR="00BC7295" w:rsidRPr="005D7230">
        <w:rPr>
          <w:rFonts w:ascii="Times New Roman" w:hAnsi="Times New Roman" w:cs="Times New Roman"/>
          <w:sz w:val="24"/>
          <w:szCs w:val="24"/>
          <w:lang w:val="sq-AL"/>
        </w:rPr>
        <w:t>Nga ana tjetër, p</w:t>
      </w:r>
      <w:r w:rsidR="007A28F6" w:rsidRPr="005D7230">
        <w:rPr>
          <w:rFonts w:ascii="Times New Roman" w:hAnsi="Times New Roman" w:cs="Times New Roman"/>
          <w:sz w:val="24"/>
          <w:szCs w:val="24"/>
          <w:lang w:val="sq-AL"/>
        </w:rPr>
        <w:t>ë</w:t>
      </w:r>
      <w:r w:rsidR="00BC7295" w:rsidRPr="005D7230">
        <w:rPr>
          <w:rFonts w:ascii="Times New Roman" w:hAnsi="Times New Roman" w:cs="Times New Roman"/>
          <w:sz w:val="24"/>
          <w:szCs w:val="24"/>
          <w:lang w:val="sq-AL"/>
        </w:rPr>
        <w:t>rmir</w:t>
      </w:r>
      <w:r w:rsidR="007A28F6" w:rsidRPr="005D7230">
        <w:rPr>
          <w:rFonts w:ascii="Times New Roman" w:hAnsi="Times New Roman" w:cs="Times New Roman"/>
          <w:sz w:val="24"/>
          <w:szCs w:val="24"/>
          <w:lang w:val="sq-AL"/>
        </w:rPr>
        <w:t>ë</w:t>
      </w:r>
      <w:r w:rsidR="00BC7295" w:rsidRPr="005D7230">
        <w:rPr>
          <w:rFonts w:ascii="Times New Roman" w:hAnsi="Times New Roman" w:cs="Times New Roman"/>
          <w:sz w:val="24"/>
          <w:szCs w:val="24"/>
          <w:lang w:val="sq-AL"/>
        </w:rPr>
        <w:t>simi i sh</w:t>
      </w:r>
      <w:r w:rsidR="007A28F6" w:rsidRPr="005D7230">
        <w:rPr>
          <w:rFonts w:ascii="Times New Roman" w:hAnsi="Times New Roman" w:cs="Times New Roman"/>
          <w:sz w:val="24"/>
          <w:szCs w:val="24"/>
          <w:lang w:val="sq-AL"/>
        </w:rPr>
        <w:t>ë</w:t>
      </w:r>
      <w:r w:rsidR="00BC7295" w:rsidRPr="005D7230">
        <w:rPr>
          <w:rFonts w:ascii="Times New Roman" w:hAnsi="Times New Roman" w:cs="Times New Roman"/>
          <w:sz w:val="24"/>
          <w:szCs w:val="24"/>
          <w:lang w:val="sq-AL"/>
        </w:rPr>
        <w:t>nuar n</w:t>
      </w:r>
      <w:r w:rsidR="007A28F6" w:rsidRPr="005D7230">
        <w:rPr>
          <w:rFonts w:ascii="Times New Roman" w:hAnsi="Times New Roman" w:cs="Times New Roman"/>
          <w:sz w:val="24"/>
          <w:szCs w:val="24"/>
          <w:lang w:val="sq-AL"/>
        </w:rPr>
        <w:t>ë</w:t>
      </w:r>
      <w:r w:rsidR="00BC7295" w:rsidRPr="005D7230">
        <w:rPr>
          <w:rFonts w:ascii="Times New Roman" w:hAnsi="Times New Roman" w:cs="Times New Roman"/>
          <w:sz w:val="24"/>
          <w:szCs w:val="24"/>
          <w:lang w:val="sq-AL"/>
        </w:rPr>
        <w:t xml:space="preserve"> treguesin e besimit t</w:t>
      </w:r>
      <w:r w:rsidR="007A28F6" w:rsidRPr="005D7230">
        <w:rPr>
          <w:rFonts w:ascii="Times New Roman" w:hAnsi="Times New Roman" w:cs="Times New Roman"/>
          <w:sz w:val="24"/>
          <w:szCs w:val="24"/>
          <w:lang w:val="sq-AL"/>
        </w:rPr>
        <w:t>ë</w:t>
      </w:r>
      <w:r w:rsidR="00BC7295" w:rsidRPr="005D7230">
        <w:rPr>
          <w:rFonts w:ascii="Times New Roman" w:hAnsi="Times New Roman" w:cs="Times New Roman"/>
          <w:sz w:val="24"/>
          <w:szCs w:val="24"/>
          <w:lang w:val="sq-AL"/>
        </w:rPr>
        <w:t xml:space="preserve"> konsumatorit kontribuoi pozitivisht në treguesin </w:t>
      </w:r>
      <w:r w:rsidR="007A28F6" w:rsidRPr="005D7230">
        <w:rPr>
          <w:rFonts w:ascii="Times New Roman" w:hAnsi="Times New Roman" w:cs="Times New Roman"/>
          <w:sz w:val="24"/>
          <w:szCs w:val="24"/>
          <w:lang w:val="sq-AL"/>
        </w:rPr>
        <w:t xml:space="preserve">e </w:t>
      </w:r>
      <w:r w:rsidR="00F4297E" w:rsidRPr="005D7230">
        <w:rPr>
          <w:rFonts w:ascii="Times New Roman" w:hAnsi="Times New Roman" w:cs="Times New Roman"/>
          <w:sz w:val="24"/>
          <w:szCs w:val="24"/>
          <w:lang w:val="sq-AL"/>
        </w:rPr>
        <w:t>përgjithshëm</w:t>
      </w:r>
      <w:r w:rsidR="0019004D">
        <w:rPr>
          <w:rFonts w:ascii="Times New Roman" w:hAnsi="Times New Roman" w:cs="Times New Roman"/>
          <w:sz w:val="24"/>
          <w:szCs w:val="24"/>
          <w:lang w:val="sq-AL"/>
        </w:rPr>
        <w:t xml:space="preserve"> </w:t>
      </w:r>
      <w:r w:rsidR="00F4297E" w:rsidRPr="005D7230">
        <w:rPr>
          <w:rFonts w:ascii="Times New Roman" w:hAnsi="Times New Roman" w:cs="Times New Roman"/>
          <w:sz w:val="24"/>
          <w:szCs w:val="24"/>
          <w:lang w:val="sq-AL"/>
        </w:rPr>
        <w:t>për</w:t>
      </w:r>
      <w:r w:rsidR="0019004D">
        <w:rPr>
          <w:rFonts w:ascii="Times New Roman" w:hAnsi="Times New Roman" w:cs="Times New Roman"/>
          <w:sz w:val="24"/>
          <w:szCs w:val="24"/>
          <w:lang w:val="sq-AL"/>
        </w:rPr>
        <w:t xml:space="preserve"> </w:t>
      </w:r>
      <w:r w:rsidR="00F4297E" w:rsidRPr="005D7230">
        <w:rPr>
          <w:rFonts w:ascii="Times New Roman" w:hAnsi="Times New Roman" w:cs="Times New Roman"/>
          <w:sz w:val="24"/>
          <w:szCs w:val="24"/>
          <w:lang w:val="sq-AL"/>
        </w:rPr>
        <w:t>ekonominë</w:t>
      </w:r>
      <w:r w:rsidR="007A28F6" w:rsidRPr="005D7230">
        <w:rPr>
          <w:rFonts w:ascii="Times New Roman" w:hAnsi="Times New Roman" w:cs="Times New Roman"/>
          <w:sz w:val="24"/>
          <w:szCs w:val="24"/>
          <w:lang w:val="sq-AL"/>
        </w:rPr>
        <w:t xml:space="preserve">.  </w:t>
      </w:r>
    </w:p>
    <w:p w:rsidR="00272AC2" w:rsidRPr="00560A4C" w:rsidRDefault="00272AC2" w:rsidP="00560A4C">
      <w:pPr>
        <w:pStyle w:val="ListParagraph"/>
        <w:numPr>
          <w:ilvl w:val="0"/>
          <w:numId w:val="1"/>
        </w:numPr>
        <w:tabs>
          <w:tab w:val="left" w:pos="0"/>
          <w:tab w:val="left" w:pos="1170"/>
        </w:tabs>
        <w:spacing w:after="0" w:line="240" w:lineRule="auto"/>
        <w:ind w:firstLine="540"/>
        <w:jc w:val="both"/>
        <w:rPr>
          <w:rFonts w:ascii="Times New Roman" w:hAnsi="Times New Roman" w:cs="Times New Roman"/>
          <w:sz w:val="24"/>
          <w:szCs w:val="24"/>
          <w:lang w:val="sq-AL"/>
        </w:rPr>
      </w:pPr>
      <w:r w:rsidRPr="00560A4C">
        <w:rPr>
          <w:rFonts w:ascii="Times New Roman" w:hAnsi="Times New Roman" w:cs="Times New Roman"/>
          <w:sz w:val="24"/>
          <w:szCs w:val="24"/>
          <w:lang w:val="sq-AL"/>
        </w:rPr>
        <w:t>Treguesi i ndjesisë ekonomike (TNE)</w:t>
      </w:r>
    </w:p>
    <w:p w:rsidR="00DE669B" w:rsidRPr="005D7230" w:rsidRDefault="007A7AAC" w:rsidP="001D7B2C">
      <w:pPr>
        <w:spacing w:after="0" w:line="240" w:lineRule="auto"/>
        <w:rPr>
          <w:rFonts w:ascii="Times New Roman" w:hAnsi="Times New Roman" w:cs="Times New Roman"/>
          <w:b/>
          <w:sz w:val="24"/>
          <w:szCs w:val="24"/>
          <w:lang w:val="sq-AL"/>
        </w:rPr>
      </w:pPr>
      <w:r w:rsidRPr="007A7AAC">
        <w:rPr>
          <w:noProof/>
        </w:rPr>
        <w:drawing>
          <wp:inline distT="0" distB="0" distL="0" distR="0" wp14:anchorId="0ED7B686" wp14:editId="0481E4F6">
            <wp:extent cx="5934075" cy="2552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56797"/>
                    </a:xfrm>
                    <a:prstGeom prst="rect">
                      <a:avLst/>
                    </a:prstGeom>
                    <a:noFill/>
                    <a:ln>
                      <a:noFill/>
                    </a:ln>
                  </pic:spPr>
                </pic:pic>
              </a:graphicData>
            </a:graphic>
          </wp:inline>
        </w:drawing>
      </w:r>
    </w:p>
    <w:p w:rsidR="009622FB" w:rsidRPr="005D7230" w:rsidRDefault="009622FB" w:rsidP="001D7B2C">
      <w:pPr>
        <w:rPr>
          <w:rFonts w:ascii="Times New Roman" w:hAnsi="Times New Roman" w:cs="Times New Roman"/>
          <w:sz w:val="20"/>
          <w:szCs w:val="24"/>
          <w:lang w:val="sq-AL"/>
        </w:rPr>
      </w:pPr>
      <w:r w:rsidRPr="005D7230">
        <w:rPr>
          <w:rFonts w:ascii="Times New Roman" w:hAnsi="Times New Roman" w:cs="Times New Roman"/>
          <w:sz w:val="20"/>
          <w:szCs w:val="24"/>
          <w:lang w:val="sq-AL"/>
        </w:rPr>
        <w:t xml:space="preserve">Burimi: Vrojtimi i </w:t>
      </w:r>
      <w:r w:rsidR="00F44BC4">
        <w:rPr>
          <w:rFonts w:ascii="Times New Roman" w:hAnsi="Times New Roman" w:cs="Times New Roman"/>
          <w:sz w:val="20"/>
          <w:szCs w:val="24"/>
          <w:lang w:val="sq-AL"/>
        </w:rPr>
        <w:t>b</w:t>
      </w:r>
      <w:r w:rsidRPr="005D7230">
        <w:rPr>
          <w:rFonts w:ascii="Times New Roman" w:hAnsi="Times New Roman" w:cs="Times New Roman"/>
          <w:sz w:val="20"/>
          <w:szCs w:val="24"/>
          <w:lang w:val="sq-AL"/>
        </w:rPr>
        <w:t xml:space="preserve">esimit të </w:t>
      </w:r>
      <w:r w:rsidR="00F44BC4">
        <w:rPr>
          <w:rFonts w:ascii="Times New Roman" w:hAnsi="Times New Roman" w:cs="Times New Roman"/>
          <w:sz w:val="20"/>
          <w:szCs w:val="24"/>
          <w:lang w:val="sq-AL"/>
        </w:rPr>
        <w:t>b</w:t>
      </w:r>
      <w:r w:rsidRPr="005D7230">
        <w:rPr>
          <w:rFonts w:ascii="Times New Roman" w:hAnsi="Times New Roman" w:cs="Times New Roman"/>
          <w:sz w:val="20"/>
          <w:szCs w:val="24"/>
          <w:lang w:val="sq-AL"/>
        </w:rPr>
        <w:t xml:space="preserve">iznesit dhe </w:t>
      </w:r>
      <w:r w:rsidR="00F44BC4">
        <w:rPr>
          <w:rFonts w:ascii="Times New Roman" w:hAnsi="Times New Roman" w:cs="Times New Roman"/>
          <w:sz w:val="20"/>
          <w:szCs w:val="24"/>
          <w:lang w:val="sq-AL"/>
        </w:rPr>
        <w:t>v</w:t>
      </w:r>
      <w:r w:rsidRPr="005D7230">
        <w:rPr>
          <w:rFonts w:ascii="Times New Roman" w:hAnsi="Times New Roman" w:cs="Times New Roman"/>
          <w:sz w:val="20"/>
          <w:szCs w:val="24"/>
          <w:lang w:val="sq-AL"/>
        </w:rPr>
        <w:t xml:space="preserve">rojtimi i </w:t>
      </w:r>
      <w:r w:rsidR="00F44BC4">
        <w:rPr>
          <w:rFonts w:ascii="Times New Roman" w:hAnsi="Times New Roman" w:cs="Times New Roman"/>
          <w:sz w:val="20"/>
          <w:szCs w:val="24"/>
          <w:lang w:val="sq-AL"/>
        </w:rPr>
        <w:t>b</w:t>
      </w:r>
      <w:r w:rsidRPr="005D7230">
        <w:rPr>
          <w:rFonts w:ascii="Times New Roman" w:hAnsi="Times New Roman" w:cs="Times New Roman"/>
          <w:sz w:val="20"/>
          <w:szCs w:val="24"/>
          <w:lang w:val="sq-AL"/>
        </w:rPr>
        <w:t xml:space="preserve">esimit të </w:t>
      </w:r>
      <w:r w:rsidR="00F44BC4">
        <w:rPr>
          <w:rFonts w:ascii="Times New Roman" w:hAnsi="Times New Roman" w:cs="Times New Roman"/>
          <w:sz w:val="20"/>
          <w:szCs w:val="24"/>
          <w:lang w:val="sq-AL"/>
        </w:rPr>
        <w:t>k</w:t>
      </w:r>
      <w:r w:rsidRPr="005D7230">
        <w:rPr>
          <w:rFonts w:ascii="Times New Roman" w:hAnsi="Times New Roman" w:cs="Times New Roman"/>
          <w:sz w:val="20"/>
          <w:szCs w:val="24"/>
          <w:lang w:val="sq-AL"/>
        </w:rPr>
        <w:t>onsumatorit, Banka e Shqipërisë.</w:t>
      </w:r>
    </w:p>
    <w:p w:rsidR="00A00938" w:rsidRPr="005D7230" w:rsidRDefault="00A00938" w:rsidP="00A00938">
      <w:pPr>
        <w:rPr>
          <w:rFonts w:ascii="Times New Roman" w:hAnsi="Times New Roman" w:cs="Times New Roman"/>
          <w:b/>
          <w:sz w:val="24"/>
          <w:szCs w:val="24"/>
          <w:lang w:val="sq-AL"/>
        </w:rPr>
      </w:pPr>
      <w:r w:rsidRPr="005D7230">
        <w:rPr>
          <w:rFonts w:ascii="Times New Roman" w:hAnsi="Times New Roman" w:cs="Times New Roman"/>
          <w:b/>
          <w:sz w:val="24"/>
          <w:szCs w:val="24"/>
          <w:lang w:val="sq-AL"/>
        </w:rPr>
        <w:lastRenderedPageBreak/>
        <w:t>Sektori i industris</w:t>
      </w:r>
      <w:r w:rsidR="000C4B21" w:rsidRPr="005D7230">
        <w:rPr>
          <w:rFonts w:ascii="Times New Roman" w:hAnsi="Times New Roman" w:cs="Times New Roman"/>
          <w:b/>
          <w:sz w:val="24"/>
          <w:szCs w:val="24"/>
          <w:lang w:val="sq-AL"/>
        </w:rPr>
        <w:t>ë</w:t>
      </w:r>
    </w:p>
    <w:p w:rsidR="00E35799" w:rsidRPr="005D7230" w:rsidRDefault="00E35799" w:rsidP="000C4B21">
      <w:pPr>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Treguesi i besimit n</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sektorin e industris</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sh</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noi r</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nie me 5.3 pik</w:t>
      </w:r>
      <w:r w:rsidR="000C4B21" w:rsidRPr="005D7230">
        <w:rPr>
          <w:rFonts w:ascii="Times New Roman" w:hAnsi="Times New Roman" w:cs="Times New Roman"/>
          <w:sz w:val="24"/>
          <w:szCs w:val="24"/>
          <w:lang w:val="sq-AL"/>
        </w:rPr>
        <w:t>ë</w:t>
      </w:r>
      <w:r w:rsidR="0019004D">
        <w:rPr>
          <w:rFonts w:ascii="Times New Roman" w:hAnsi="Times New Roman" w:cs="Times New Roman"/>
          <w:sz w:val="24"/>
          <w:szCs w:val="24"/>
          <w:lang w:val="sq-AL"/>
        </w:rPr>
        <w:t xml:space="preserve"> </w:t>
      </w:r>
      <w:r w:rsidR="000C4B21" w:rsidRPr="005D7230">
        <w:rPr>
          <w:rFonts w:ascii="Times New Roman" w:hAnsi="Times New Roman" w:cs="Times New Roman"/>
          <w:sz w:val="24"/>
          <w:szCs w:val="24"/>
          <w:lang w:val="sq-AL"/>
        </w:rPr>
        <w:t>përqindje</w:t>
      </w:r>
      <w:r w:rsidRPr="005D7230">
        <w:rPr>
          <w:rFonts w:ascii="Times New Roman" w:hAnsi="Times New Roman" w:cs="Times New Roman"/>
          <w:sz w:val="24"/>
          <w:szCs w:val="24"/>
          <w:lang w:val="sq-AL"/>
        </w:rPr>
        <w:t xml:space="preserve"> n</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tremujorin e dyt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vitit 2013. Pasi </w:t>
      </w:r>
      <w:r w:rsidR="00A6591B">
        <w:rPr>
          <w:rFonts w:ascii="Times New Roman" w:hAnsi="Times New Roman" w:cs="Times New Roman"/>
          <w:sz w:val="24"/>
          <w:szCs w:val="24"/>
          <w:lang w:val="sq-AL"/>
        </w:rPr>
        <w:t>i</w:t>
      </w:r>
      <w:r w:rsidRPr="00A6591B">
        <w:rPr>
          <w:rFonts w:ascii="Times New Roman" w:hAnsi="Times New Roman" w:cs="Times New Roman"/>
          <w:sz w:val="24"/>
          <w:szCs w:val="24"/>
          <w:lang w:val="sq-AL"/>
        </w:rPr>
        <w:t>u</w:t>
      </w:r>
      <w:r w:rsidRPr="005D7230">
        <w:rPr>
          <w:rFonts w:ascii="Times New Roman" w:hAnsi="Times New Roman" w:cs="Times New Roman"/>
          <w:sz w:val="24"/>
          <w:szCs w:val="24"/>
          <w:lang w:val="sq-AL"/>
        </w:rPr>
        <w:t xml:space="preserve"> afrua nivelit 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mesatares s</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pes</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viteve 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fundit n</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tremujorin e par</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vitit, TBI aktualisht q</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ndron 5.1 pik</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rqindje posht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saj. R</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nia e TBI u ndikua nga </w:t>
      </w:r>
      <w:r w:rsidR="00B101DE" w:rsidRPr="005D7230">
        <w:rPr>
          <w:rFonts w:ascii="Times New Roman" w:hAnsi="Times New Roman" w:cs="Times New Roman"/>
          <w:sz w:val="24"/>
          <w:szCs w:val="24"/>
          <w:lang w:val="sq-AL"/>
        </w:rPr>
        <w:t>rritja e gjendjes s</w:t>
      </w:r>
      <w:r w:rsidR="000C4B21" w:rsidRPr="005D7230">
        <w:rPr>
          <w:rFonts w:ascii="Times New Roman" w:hAnsi="Times New Roman" w:cs="Times New Roman"/>
          <w:sz w:val="24"/>
          <w:szCs w:val="24"/>
          <w:lang w:val="sq-AL"/>
        </w:rPr>
        <w:t>ë</w:t>
      </w:r>
      <w:r w:rsidR="0019004D">
        <w:rPr>
          <w:rFonts w:ascii="Times New Roman" w:hAnsi="Times New Roman" w:cs="Times New Roman"/>
          <w:sz w:val="24"/>
          <w:szCs w:val="24"/>
          <w:lang w:val="sq-AL"/>
        </w:rPr>
        <w:t xml:space="preserve"> </w:t>
      </w:r>
      <w:r w:rsidR="00B101DE" w:rsidRPr="005D7230">
        <w:rPr>
          <w:rFonts w:ascii="Times New Roman" w:hAnsi="Times New Roman" w:cs="Times New Roman"/>
          <w:i/>
          <w:sz w:val="24"/>
          <w:szCs w:val="24"/>
          <w:lang w:val="sq-AL"/>
        </w:rPr>
        <w:t>inventar</w:t>
      </w:r>
      <w:r w:rsidR="000C4B21" w:rsidRPr="005D7230">
        <w:rPr>
          <w:rFonts w:ascii="Times New Roman" w:hAnsi="Times New Roman" w:cs="Times New Roman"/>
          <w:i/>
          <w:sz w:val="24"/>
          <w:szCs w:val="24"/>
          <w:lang w:val="sq-AL"/>
        </w:rPr>
        <w:t>ë</w:t>
      </w:r>
      <w:r w:rsidR="00B101DE" w:rsidRPr="005D7230">
        <w:rPr>
          <w:rFonts w:ascii="Times New Roman" w:hAnsi="Times New Roman" w:cs="Times New Roman"/>
          <w:i/>
          <w:sz w:val="24"/>
          <w:szCs w:val="24"/>
          <w:lang w:val="sq-AL"/>
        </w:rPr>
        <w:t>ve</w:t>
      </w:r>
      <w:r w:rsidR="00B101DE" w:rsidRPr="005D7230">
        <w:rPr>
          <w:rFonts w:ascii="Times New Roman" w:hAnsi="Times New Roman" w:cs="Times New Roman"/>
          <w:sz w:val="24"/>
          <w:szCs w:val="24"/>
          <w:lang w:val="sq-AL"/>
        </w:rPr>
        <w:t xml:space="preserve"> (e cila futet me shenj</w:t>
      </w:r>
      <w:r w:rsidR="000C4B21" w:rsidRPr="005D7230">
        <w:rPr>
          <w:rFonts w:ascii="Times New Roman" w:hAnsi="Times New Roman" w:cs="Times New Roman"/>
          <w:sz w:val="24"/>
          <w:szCs w:val="24"/>
          <w:lang w:val="sq-AL"/>
        </w:rPr>
        <w:t>ë</w:t>
      </w:r>
      <w:r w:rsidR="00B101DE" w:rsidRPr="005D7230">
        <w:rPr>
          <w:rFonts w:ascii="Times New Roman" w:hAnsi="Times New Roman" w:cs="Times New Roman"/>
          <w:sz w:val="24"/>
          <w:szCs w:val="24"/>
          <w:lang w:val="sq-AL"/>
        </w:rPr>
        <w:t>n e anasjellt</w:t>
      </w:r>
      <w:r w:rsidR="000C4B21" w:rsidRPr="005D7230">
        <w:rPr>
          <w:rFonts w:ascii="Times New Roman" w:hAnsi="Times New Roman" w:cs="Times New Roman"/>
          <w:sz w:val="24"/>
          <w:szCs w:val="24"/>
          <w:lang w:val="sq-AL"/>
        </w:rPr>
        <w:t>ë</w:t>
      </w:r>
      <w:r w:rsidR="00B101DE" w:rsidRPr="005D7230">
        <w:rPr>
          <w:rFonts w:ascii="Times New Roman" w:hAnsi="Times New Roman" w:cs="Times New Roman"/>
          <w:sz w:val="24"/>
          <w:szCs w:val="24"/>
          <w:lang w:val="sq-AL"/>
        </w:rPr>
        <w:t xml:space="preserve"> n</w:t>
      </w:r>
      <w:r w:rsidR="000C4B21" w:rsidRPr="005D7230">
        <w:rPr>
          <w:rFonts w:ascii="Times New Roman" w:hAnsi="Times New Roman" w:cs="Times New Roman"/>
          <w:sz w:val="24"/>
          <w:szCs w:val="24"/>
          <w:lang w:val="sq-AL"/>
        </w:rPr>
        <w:t>ë</w:t>
      </w:r>
      <w:r w:rsidR="00B101DE" w:rsidRPr="005D7230">
        <w:rPr>
          <w:rFonts w:ascii="Times New Roman" w:hAnsi="Times New Roman" w:cs="Times New Roman"/>
          <w:sz w:val="24"/>
          <w:szCs w:val="24"/>
          <w:lang w:val="sq-AL"/>
        </w:rPr>
        <w:t xml:space="preserve"> nd</w:t>
      </w:r>
      <w:r w:rsidR="000C4B21" w:rsidRPr="005D7230">
        <w:rPr>
          <w:rFonts w:ascii="Times New Roman" w:hAnsi="Times New Roman" w:cs="Times New Roman"/>
          <w:sz w:val="24"/>
          <w:szCs w:val="24"/>
          <w:lang w:val="sq-AL"/>
        </w:rPr>
        <w:t>ë</w:t>
      </w:r>
      <w:r w:rsidR="00B101DE" w:rsidRPr="005D7230">
        <w:rPr>
          <w:rFonts w:ascii="Times New Roman" w:hAnsi="Times New Roman" w:cs="Times New Roman"/>
          <w:sz w:val="24"/>
          <w:szCs w:val="24"/>
          <w:lang w:val="sq-AL"/>
        </w:rPr>
        <w:t>rtimin e TBI) dhe r</w:t>
      </w:r>
      <w:r w:rsidR="000C4B21" w:rsidRPr="005D7230">
        <w:rPr>
          <w:rFonts w:ascii="Times New Roman" w:hAnsi="Times New Roman" w:cs="Times New Roman"/>
          <w:sz w:val="24"/>
          <w:szCs w:val="24"/>
          <w:lang w:val="sq-AL"/>
        </w:rPr>
        <w:t>ë</w:t>
      </w:r>
      <w:r w:rsidR="00B101DE" w:rsidRPr="005D7230">
        <w:rPr>
          <w:rFonts w:ascii="Times New Roman" w:hAnsi="Times New Roman" w:cs="Times New Roman"/>
          <w:sz w:val="24"/>
          <w:szCs w:val="24"/>
          <w:lang w:val="sq-AL"/>
        </w:rPr>
        <w:t>nia e balanc</w:t>
      </w:r>
      <w:r w:rsidR="000C4B21" w:rsidRPr="005D7230">
        <w:rPr>
          <w:rFonts w:ascii="Times New Roman" w:hAnsi="Times New Roman" w:cs="Times New Roman"/>
          <w:sz w:val="24"/>
          <w:szCs w:val="24"/>
          <w:lang w:val="sq-AL"/>
        </w:rPr>
        <w:t>ë</w:t>
      </w:r>
      <w:r w:rsidR="00B101DE" w:rsidRPr="005D7230">
        <w:rPr>
          <w:rFonts w:ascii="Times New Roman" w:hAnsi="Times New Roman" w:cs="Times New Roman"/>
          <w:sz w:val="24"/>
          <w:szCs w:val="24"/>
          <w:lang w:val="sq-AL"/>
        </w:rPr>
        <w:t>s s</w:t>
      </w:r>
      <w:r w:rsidR="000C4B21" w:rsidRPr="005D7230">
        <w:rPr>
          <w:rFonts w:ascii="Times New Roman" w:hAnsi="Times New Roman" w:cs="Times New Roman"/>
          <w:sz w:val="24"/>
          <w:szCs w:val="24"/>
          <w:lang w:val="sq-AL"/>
        </w:rPr>
        <w:t>ë</w:t>
      </w:r>
      <w:r w:rsidR="0019004D">
        <w:rPr>
          <w:rFonts w:ascii="Times New Roman" w:hAnsi="Times New Roman" w:cs="Times New Roman"/>
          <w:sz w:val="24"/>
          <w:szCs w:val="24"/>
          <w:lang w:val="sq-AL"/>
        </w:rPr>
        <w:t xml:space="preserve"> </w:t>
      </w:r>
      <w:r w:rsidR="00B101DE" w:rsidRPr="005D7230">
        <w:rPr>
          <w:rFonts w:ascii="Times New Roman" w:hAnsi="Times New Roman" w:cs="Times New Roman"/>
          <w:i/>
          <w:sz w:val="24"/>
          <w:szCs w:val="24"/>
          <w:lang w:val="sq-AL"/>
        </w:rPr>
        <w:t>prodhimit industrial</w:t>
      </w:r>
      <w:r w:rsidR="00B101DE" w:rsidRPr="005D7230">
        <w:rPr>
          <w:rFonts w:ascii="Times New Roman" w:hAnsi="Times New Roman" w:cs="Times New Roman"/>
          <w:sz w:val="24"/>
          <w:szCs w:val="24"/>
          <w:lang w:val="sq-AL"/>
        </w:rPr>
        <w:t xml:space="preserve">. </w:t>
      </w:r>
    </w:p>
    <w:p w:rsidR="00E35799" w:rsidRPr="00412D4E" w:rsidRDefault="00E35799" w:rsidP="00412D4E">
      <w:pPr>
        <w:pStyle w:val="ListParagraph"/>
        <w:numPr>
          <w:ilvl w:val="0"/>
          <w:numId w:val="1"/>
        </w:numPr>
        <w:tabs>
          <w:tab w:val="left" w:pos="1260"/>
        </w:tabs>
        <w:spacing w:after="0" w:line="240" w:lineRule="auto"/>
        <w:ind w:firstLine="540"/>
        <w:jc w:val="both"/>
        <w:rPr>
          <w:rFonts w:ascii="Times New Roman" w:hAnsi="Times New Roman" w:cs="Times New Roman"/>
          <w:sz w:val="24"/>
          <w:szCs w:val="24"/>
          <w:lang w:val="sq-AL"/>
        </w:rPr>
      </w:pPr>
      <w:r w:rsidRPr="00412D4E">
        <w:rPr>
          <w:rFonts w:ascii="Times New Roman" w:hAnsi="Times New Roman" w:cs="Times New Roman"/>
          <w:sz w:val="24"/>
          <w:szCs w:val="24"/>
          <w:lang w:val="sq-AL"/>
        </w:rPr>
        <w:t>Treguesi i besimit në industri (në pikë përqindje).</w:t>
      </w:r>
    </w:p>
    <w:p w:rsidR="00A00938" w:rsidRPr="005D7230" w:rsidRDefault="00E35799" w:rsidP="00035E3F">
      <w:pPr>
        <w:spacing w:after="0"/>
        <w:rPr>
          <w:rFonts w:ascii="Times New Roman" w:hAnsi="Times New Roman" w:cs="Times New Roman"/>
          <w:b/>
          <w:sz w:val="24"/>
          <w:szCs w:val="24"/>
          <w:lang w:val="sq-AL"/>
        </w:rPr>
      </w:pPr>
      <w:r w:rsidRPr="005D7230">
        <w:rPr>
          <w:noProof/>
        </w:rPr>
        <w:drawing>
          <wp:inline distT="0" distB="0" distL="0" distR="0" wp14:anchorId="71BA9B93" wp14:editId="1EEF44ED">
            <wp:extent cx="5905500" cy="241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2419350"/>
                    </a:xfrm>
                    <a:prstGeom prst="rect">
                      <a:avLst/>
                    </a:prstGeom>
                    <a:noFill/>
                    <a:ln>
                      <a:noFill/>
                    </a:ln>
                  </pic:spPr>
                </pic:pic>
              </a:graphicData>
            </a:graphic>
          </wp:inline>
        </w:drawing>
      </w:r>
    </w:p>
    <w:p w:rsidR="00E35799" w:rsidRPr="005D7230" w:rsidRDefault="00E35799" w:rsidP="00035E3F">
      <w:pPr>
        <w:spacing w:after="0" w:line="240" w:lineRule="auto"/>
        <w:jc w:val="both"/>
        <w:rPr>
          <w:rFonts w:ascii="Times New Roman" w:hAnsi="Times New Roman" w:cs="Times New Roman"/>
          <w:sz w:val="20"/>
          <w:szCs w:val="24"/>
          <w:lang w:val="sq-AL"/>
        </w:rPr>
      </w:pPr>
      <w:r w:rsidRPr="005D7230">
        <w:rPr>
          <w:rFonts w:ascii="Times New Roman" w:hAnsi="Times New Roman" w:cs="Times New Roman"/>
          <w:sz w:val="20"/>
          <w:szCs w:val="24"/>
          <w:lang w:val="sq-AL"/>
        </w:rPr>
        <w:t xml:space="preserve">Burimi: Vrojtimi i </w:t>
      </w:r>
      <w:r w:rsidR="00F44BC4">
        <w:rPr>
          <w:rFonts w:ascii="Times New Roman" w:hAnsi="Times New Roman" w:cs="Times New Roman"/>
          <w:sz w:val="20"/>
          <w:szCs w:val="24"/>
          <w:lang w:val="sq-AL"/>
        </w:rPr>
        <w:t>b</w:t>
      </w:r>
      <w:r w:rsidRPr="005D7230">
        <w:rPr>
          <w:rFonts w:ascii="Times New Roman" w:hAnsi="Times New Roman" w:cs="Times New Roman"/>
          <w:sz w:val="20"/>
          <w:szCs w:val="24"/>
          <w:lang w:val="sq-AL"/>
        </w:rPr>
        <w:t xml:space="preserve">esimit të </w:t>
      </w:r>
      <w:r w:rsidR="00F44BC4">
        <w:rPr>
          <w:rFonts w:ascii="Times New Roman" w:hAnsi="Times New Roman" w:cs="Times New Roman"/>
          <w:sz w:val="20"/>
          <w:szCs w:val="24"/>
          <w:lang w:val="sq-AL"/>
        </w:rPr>
        <w:t>b</w:t>
      </w:r>
      <w:r w:rsidRPr="005D7230">
        <w:rPr>
          <w:rFonts w:ascii="Times New Roman" w:hAnsi="Times New Roman" w:cs="Times New Roman"/>
          <w:sz w:val="20"/>
          <w:szCs w:val="24"/>
          <w:lang w:val="sq-AL"/>
        </w:rPr>
        <w:t>iznesit, Banka e Shqipërisë.</w:t>
      </w:r>
    </w:p>
    <w:p w:rsidR="005E2B52" w:rsidRPr="005D7230" w:rsidRDefault="005E2B52" w:rsidP="005E2B52">
      <w:pPr>
        <w:spacing w:after="0" w:line="240" w:lineRule="auto"/>
        <w:jc w:val="both"/>
        <w:rPr>
          <w:rFonts w:ascii="Times New Roman" w:hAnsi="Times New Roman" w:cs="Times New Roman"/>
          <w:sz w:val="24"/>
          <w:szCs w:val="24"/>
          <w:u w:val="single"/>
          <w:lang w:val="sq-AL"/>
        </w:rPr>
      </w:pPr>
    </w:p>
    <w:p w:rsidR="005E2B52" w:rsidRPr="005D7230" w:rsidRDefault="005E2B52" w:rsidP="005E2B52">
      <w:pPr>
        <w:spacing w:after="0" w:line="240" w:lineRule="auto"/>
        <w:jc w:val="both"/>
        <w:rPr>
          <w:rFonts w:ascii="Times New Roman" w:hAnsi="Times New Roman" w:cs="Times New Roman"/>
          <w:sz w:val="24"/>
          <w:szCs w:val="24"/>
          <w:u w:val="single"/>
          <w:lang w:val="sq-AL"/>
        </w:rPr>
      </w:pPr>
      <w:r w:rsidRPr="005D7230">
        <w:rPr>
          <w:rFonts w:ascii="Times New Roman" w:hAnsi="Times New Roman" w:cs="Times New Roman"/>
          <w:sz w:val="24"/>
          <w:szCs w:val="24"/>
          <w:u w:val="single"/>
          <w:lang w:val="sq-AL"/>
        </w:rPr>
        <w:t xml:space="preserve">Në vijim, analiza e disa treguesve që nuk përfshihen në ndërtimin e TBI-së. </w:t>
      </w:r>
    </w:p>
    <w:p w:rsidR="00507B44" w:rsidRDefault="00507B44" w:rsidP="005639DA">
      <w:pPr>
        <w:spacing w:after="0" w:line="240" w:lineRule="auto"/>
        <w:jc w:val="both"/>
        <w:rPr>
          <w:rFonts w:ascii="Times New Roman" w:hAnsi="Times New Roman" w:cs="Times New Roman"/>
          <w:sz w:val="24"/>
          <w:szCs w:val="24"/>
          <w:lang w:val="sq-AL"/>
        </w:rPr>
      </w:pPr>
    </w:p>
    <w:p w:rsidR="00136ECD" w:rsidRDefault="00136ECD" w:rsidP="005639DA">
      <w:pPr>
        <w:spacing w:after="0"/>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Gjat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tremujorit 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dyt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vitit 201</w:t>
      </w:r>
      <w:r w:rsidR="0050224C">
        <w:rPr>
          <w:rFonts w:ascii="Times New Roman" w:hAnsi="Times New Roman" w:cs="Times New Roman"/>
          <w:sz w:val="24"/>
          <w:szCs w:val="24"/>
          <w:lang w:val="sq-AL"/>
        </w:rPr>
        <w:t>3</w:t>
      </w:r>
      <w:r w:rsidRPr="005D7230">
        <w:rPr>
          <w:rFonts w:ascii="Times New Roman" w:hAnsi="Times New Roman" w:cs="Times New Roman"/>
          <w:sz w:val="24"/>
          <w:szCs w:val="24"/>
          <w:lang w:val="sq-AL"/>
        </w:rPr>
        <w:t xml:space="preserve">, </w:t>
      </w:r>
      <w:r w:rsidR="0050224C">
        <w:rPr>
          <w:rFonts w:ascii="Times New Roman" w:hAnsi="Times New Roman" w:cs="Times New Roman"/>
          <w:i/>
          <w:sz w:val="24"/>
          <w:szCs w:val="24"/>
          <w:lang w:val="sq-AL"/>
        </w:rPr>
        <w:t xml:space="preserve">gjendja e përgjithshme </w:t>
      </w:r>
      <w:r w:rsidRPr="005D7230">
        <w:rPr>
          <w:rFonts w:ascii="Times New Roman" w:hAnsi="Times New Roman" w:cs="Times New Roman"/>
          <w:i/>
          <w:sz w:val="24"/>
          <w:szCs w:val="24"/>
          <w:lang w:val="sq-AL"/>
        </w:rPr>
        <w:t>ekonomike</w:t>
      </w:r>
      <w:r w:rsidR="0019004D">
        <w:rPr>
          <w:rFonts w:ascii="Times New Roman" w:hAnsi="Times New Roman" w:cs="Times New Roman"/>
          <w:i/>
          <w:sz w:val="24"/>
          <w:szCs w:val="24"/>
          <w:lang w:val="sq-AL"/>
        </w:rPr>
        <w:t xml:space="preserve"> </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sht</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vler</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suar </w:t>
      </w:r>
      <w:r w:rsidR="0050224C">
        <w:rPr>
          <w:rFonts w:ascii="Times New Roman" w:hAnsi="Times New Roman" w:cs="Times New Roman"/>
          <w:sz w:val="24"/>
          <w:szCs w:val="24"/>
          <w:lang w:val="sq-AL"/>
        </w:rPr>
        <w:t>disi</w:t>
      </w:r>
      <w:r w:rsidRPr="005D7230">
        <w:rPr>
          <w:rFonts w:ascii="Times New Roman" w:hAnsi="Times New Roman" w:cs="Times New Roman"/>
          <w:sz w:val="24"/>
          <w:szCs w:val="24"/>
          <w:lang w:val="sq-AL"/>
        </w:rPr>
        <w:t xml:space="preserve"> e p</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rmir</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suar</w:t>
      </w:r>
      <w:r w:rsidR="0050224C">
        <w:rPr>
          <w:rFonts w:ascii="Times New Roman" w:hAnsi="Times New Roman" w:cs="Times New Roman"/>
          <w:sz w:val="24"/>
          <w:szCs w:val="24"/>
          <w:lang w:val="sq-AL"/>
        </w:rPr>
        <w:t xml:space="preserve"> krah</w:t>
      </w:r>
      <w:r w:rsidR="003C7B66">
        <w:rPr>
          <w:rFonts w:ascii="Times New Roman" w:hAnsi="Times New Roman" w:cs="Times New Roman"/>
          <w:sz w:val="24"/>
          <w:szCs w:val="24"/>
          <w:lang w:val="sq-AL"/>
        </w:rPr>
        <w:t>asuar me tremujorin e mëparshëm dhe</w:t>
      </w:r>
      <w:r w:rsidR="0019004D">
        <w:rPr>
          <w:rFonts w:ascii="Times New Roman" w:hAnsi="Times New Roman" w:cs="Times New Roman"/>
          <w:sz w:val="24"/>
          <w:szCs w:val="24"/>
          <w:lang w:val="sq-AL"/>
        </w:rPr>
        <w:t xml:space="preserve"> </w:t>
      </w:r>
      <w:r w:rsidRPr="005D7230">
        <w:rPr>
          <w:rFonts w:ascii="Times New Roman" w:hAnsi="Times New Roman" w:cs="Times New Roman"/>
          <w:sz w:val="24"/>
          <w:szCs w:val="24"/>
          <w:lang w:val="sq-AL"/>
        </w:rPr>
        <w:t>balanca p</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rkat</w:t>
      </w:r>
      <w:r w:rsidR="000C4B21" w:rsidRPr="005D7230">
        <w:rPr>
          <w:rFonts w:ascii="Times New Roman" w:hAnsi="Times New Roman" w:cs="Times New Roman"/>
          <w:sz w:val="24"/>
          <w:szCs w:val="24"/>
          <w:lang w:val="sq-AL"/>
        </w:rPr>
        <w:t>ë</w:t>
      </w:r>
      <w:r w:rsidR="003C7B66">
        <w:rPr>
          <w:rFonts w:ascii="Times New Roman" w:hAnsi="Times New Roman" w:cs="Times New Roman"/>
          <w:sz w:val="24"/>
          <w:szCs w:val="24"/>
          <w:lang w:val="sq-AL"/>
        </w:rPr>
        <w:t xml:space="preserve">se </w:t>
      </w:r>
      <w:r w:rsidR="0019004D">
        <w:rPr>
          <w:rFonts w:ascii="Times New Roman" w:hAnsi="Times New Roman" w:cs="Times New Roman"/>
          <w:sz w:val="24"/>
          <w:szCs w:val="24"/>
          <w:lang w:val="sq-AL"/>
        </w:rPr>
        <w:t>është</w:t>
      </w:r>
      <w:r w:rsidR="0019004D" w:rsidRPr="005D7230">
        <w:rPr>
          <w:rFonts w:ascii="Times New Roman" w:hAnsi="Times New Roman" w:cs="Times New Roman"/>
          <w:sz w:val="24"/>
          <w:szCs w:val="24"/>
          <w:lang w:val="sq-AL"/>
        </w:rPr>
        <w:t xml:space="preserve"> </w:t>
      </w:r>
      <w:r w:rsidRPr="005D7230">
        <w:rPr>
          <w:rFonts w:ascii="Times New Roman" w:hAnsi="Times New Roman" w:cs="Times New Roman"/>
          <w:sz w:val="24"/>
          <w:szCs w:val="24"/>
          <w:lang w:val="sq-AL"/>
        </w:rPr>
        <w:t xml:space="preserve">rritur me </w:t>
      </w:r>
      <w:r w:rsidR="00671AE2">
        <w:rPr>
          <w:rFonts w:ascii="Times New Roman" w:hAnsi="Times New Roman" w:cs="Times New Roman"/>
          <w:sz w:val="24"/>
          <w:szCs w:val="24"/>
          <w:lang w:val="sq-AL"/>
        </w:rPr>
        <w:t>2.2</w:t>
      </w:r>
      <w:r w:rsidRPr="005D7230">
        <w:rPr>
          <w:rFonts w:ascii="Times New Roman" w:hAnsi="Times New Roman" w:cs="Times New Roman"/>
          <w:sz w:val="24"/>
          <w:szCs w:val="24"/>
          <w:lang w:val="sq-AL"/>
        </w:rPr>
        <w:t xml:space="preserve"> pik</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0C4B21"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rqindjeje. </w:t>
      </w:r>
      <w:r w:rsidR="00A05D1F" w:rsidRPr="005D7230">
        <w:rPr>
          <w:rFonts w:ascii="Times New Roman" w:hAnsi="Times New Roman" w:cs="Times New Roman"/>
          <w:i/>
          <w:sz w:val="24"/>
          <w:szCs w:val="24"/>
          <w:lang w:val="sq-AL"/>
        </w:rPr>
        <w:t>Gjendj</w:t>
      </w:r>
      <w:r w:rsidR="00A05D1F">
        <w:rPr>
          <w:rFonts w:ascii="Times New Roman" w:hAnsi="Times New Roman" w:cs="Times New Roman"/>
          <w:i/>
          <w:sz w:val="24"/>
          <w:szCs w:val="24"/>
          <w:lang w:val="sq-AL"/>
        </w:rPr>
        <w:t>a</w:t>
      </w:r>
      <w:r w:rsidR="0019004D">
        <w:rPr>
          <w:rFonts w:ascii="Times New Roman" w:hAnsi="Times New Roman" w:cs="Times New Roman"/>
          <w:i/>
          <w:sz w:val="24"/>
          <w:szCs w:val="24"/>
          <w:lang w:val="sq-AL"/>
        </w:rPr>
        <w:t xml:space="preserve"> </w:t>
      </w:r>
      <w:r w:rsidR="0064275E" w:rsidRPr="005D7230">
        <w:rPr>
          <w:rFonts w:ascii="Times New Roman" w:hAnsi="Times New Roman" w:cs="Times New Roman"/>
          <w:i/>
          <w:sz w:val="24"/>
          <w:szCs w:val="24"/>
          <w:lang w:val="sq-AL"/>
        </w:rPr>
        <w:t xml:space="preserve">aktuale </w:t>
      </w:r>
      <w:r w:rsidRPr="005D7230">
        <w:rPr>
          <w:rFonts w:ascii="Times New Roman" w:hAnsi="Times New Roman" w:cs="Times New Roman"/>
          <w:i/>
          <w:sz w:val="24"/>
          <w:szCs w:val="24"/>
          <w:lang w:val="sq-AL"/>
        </w:rPr>
        <w:t xml:space="preserve">e </w:t>
      </w:r>
      <w:r w:rsidR="0064275E" w:rsidRPr="005D7230">
        <w:rPr>
          <w:rFonts w:ascii="Times New Roman" w:hAnsi="Times New Roman" w:cs="Times New Roman"/>
          <w:i/>
          <w:sz w:val="24"/>
          <w:szCs w:val="24"/>
          <w:lang w:val="sq-AL"/>
        </w:rPr>
        <w:t>biznesit</w:t>
      </w:r>
      <w:r w:rsidR="0019004D">
        <w:rPr>
          <w:rFonts w:ascii="Times New Roman" w:hAnsi="Times New Roman" w:cs="Times New Roman"/>
          <w:i/>
          <w:sz w:val="24"/>
          <w:szCs w:val="24"/>
          <w:lang w:val="sq-AL"/>
        </w:rPr>
        <w:t xml:space="preserve"> </w:t>
      </w:r>
      <w:r w:rsidR="000C4B21" w:rsidRPr="005D7230">
        <w:rPr>
          <w:rFonts w:ascii="Times New Roman" w:hAnsi="Times New Roman" w:cs="Times New Roman"/>
          <w:sz w:val="24"/>
          <w:szCs w:val="24"/>
          <w:lang w:val="sq-AL"/>
        </w:rPr>
        <w:t>ë</w:t>
      </w:r>
      <w:r w:rsidR="0064275E" w:rsidRPr="005D7230">
        <w:rPr>
          <w:rFonts w:ascii="Times New Roman" w:hAnsi="Times New Roman" w:cs="Times New Roman"/>
          <w:sz w:val="24"/>
          <w:szCs w:val="24"/>
          <w:lang w:val="sq-AL"/>
        </w:rPr>
        <w:t>sht</w:t>
      </w:r>
      <w:r w:rsidR="000C4B21" w:rsidRPr="005D7230">
        <w:rPr>
          <w:rFonts w:ascii="Times New Roman" w:hAnsi="Times New Roman" w:cs="Times New Roman"/>
          <w:sz w:val="24"/>
          <w:szCs w:val="24"/>
          <w:lang w:val="sq-AL"/>
        </w:rPr>
        <w:t>ë</w:t>
      </w:r>
      <w:r w:rsidR="0064275E" w:rsidRPr="005D7230">
        <w:rPr>
          <w:rFonts w:ascii="Times New Roman" w:hAnsi="Times New Roman" w:cs="Times New Roman"/>
          <w:sz w:val="24"/>
          <w:szCs w:val="24"/>
          <w:lang w:val="sq-AL"/>
        </w:rPr>
        <w:t xml:space="preserve"> vler</w:t>
      </w:r>
      <w:r w:rsidR="000C4B21" w:rsidRPr="005D7230">
        <w:rPr>
          <w:rFonts w:ascii="Times New Roman" w:hAnsi="Times New Roman" w:cs="Times New Roman"/>
          <w:sz w:val="24"/>
          <w:szCs w:val="24"/>
          <w:lang w:val="sq-AL"/>
        </w:rPr>
        <w:t>ë</w:t>
      </w:r>
      <w:r w:rsidR="0064275E" w:rsidRPr="005D7230">
        <w:rPr>
          <w:rFonts w:ascii="Times New Roman" w:hAnsi="Times New Roman" w:cs="Times New Roman"/>
          <w:sz w:val="24"/>
          <w:szCs w:val="24"/>
          <w:lang w:val="sq-AL"/>
        </w:rPr>
        <w:t>suar m</w:t>
      </w:r>
      <w:r w:rsidR="000C4B21" w:rsidRPr="005D7230">
        <w:rPr>
          <w:rFonts w:ascii="Times New Roman" w:hAnsi="Times New Roman" w:cs="Times New Roman"/>
          <w:sz w:val="24"/>
          <w:szCs w:val="24"/>
          <w:lang w:val="sq-AL"/>
        </w:rPr>
        <w:t>ë</w:t>
      </w:r>
      <w:r w:rsidR="0064275E" w:rsidRPr="005D7230">
        <w:rPr>
          <w:rFonts w:ascii="Times New Roman" w:hAnsi="Times New Roman" w:cs="Times New Roman"/>
          <w:sz w:val="24"/>
          <w:szCs w:val="24"/>
          <w:lang w:val="sq-AL"/>
        </w:rPr>
        <w:t xml:space="preserve"> keq se </w:t>
      </w:r>
      <w:r w:rsidR="00A05D1F">
        <w:rPr>
          <w:rFonts w:ascii="Times New Roman" w:hAnsi="Times New Roman" w:cs="Times New Roman"/>
          <w:sz w:val="24"/>
          <w:szCs w:val="24"/>
          <w:lang w:val="sq-AL"/>
        </w:rPr>
        <w:t xml:space="preserve">në </w:t>
      </w:r>
      <w:r w:rsidR="0064275E" w:rsidRPr="005D7230">
        <w:rPr>
          <w:rFonts w:ascii="Times New Roman" w:hAnsi="Times New Roman" w:cs="Times New Roman"/>
          <w:sz w:val="24"/>
          <w:szCs w:val="24"/>
          <w:lang w:val="sq-AL"/>
        </w:rPr>
        <w:t>tremujorin e kaluar</w:t>
      </w:r>
      <w:r w:rsidR="00671AE2">
        <w:rPr>
          <w:rFonts w:ascii="Times New Roman" w:hAnsi="Times New Roman" w:cs="Times New Roman"/>
          <w:sz w:val="24"/>
          <w:szCs w:val="24"/>
          <w:lang w:val="sq-AL"/>
        </w:rPr>
        <w:t>, sipas opinioneve t</w:t>
      </w:r>
      <w:r w:rsidR="00D53C96">
        <w:rPr>
          <w:rFonts w:ascii="Times New Roman" w:hAnsi="Times New Roman" w:cs="Times New Roman"/>
          <w:sz w:val="24"/>
          <w:szCs w:val="24"/>
          <w:lang w:val="sq-AL"/>
        </w:rPr>
        <w:t>ë</w:t>
      </w:r>
      <w:r w:rsidR="00671AE2">
        <w:rPr>
          <w:rFonts w:ascii="Times New Roman" w:hAnsi="Times New Roman" w:cs="Times New Roman"/>
          <w:sz w:val="24"/>
          <w:szCs w:val="24"/>
          <w:lang w:val="sq-AL"/>
        </w:rPr>
        <w:t xml:space="preserve"> mbledhura</w:t>
      </w:r>
      <w:r w:rsidR="0064275E" w:rsidRPr="005D7230">
        <w:rPr>
          <w:rFonts w:ascii="Times New Roman" w:hAnsi="Times New Roman" w:cs="Times New Roman"/>
          <w:sz w:val="24"/>
          <w:szCs w:val="24"/>
          <w:lang w:val="sq-AL"/>
        </w:rPr>
        <w:t>. Balanca e k</w:t>
      </w:r>
      <w:r w:rsidR="000C4B21" w:rsidRPr="005D7230">
        <w:rPr>
          <w:rFonts w:ascii="Times New Roman" w:hAnsi="Times New Roman" w:cs="Times New Roman"/>
          <w:sz w:val="24"/>
          <w:szCs w:val="24"/>
          <w:lang w:val="sq-AL"/>
        </w:rPr>
        <w:t>ë</w:t>
      </w:r>
      <w:r w:rsidR="0064275E" w:rsidRPr="005D7230">
        <w:rPr>
          <w:rFonts w:ascii="Times New Roman" w:hAnsi="Times New Roman" w:cs="Times New Roman"/>
          <w:sz w:val="24"/>
          <w:szCs w:val="24"/>
          <w:lang w:val="sq-AL"/>
        </w:rPr>
        <w:t>saj pyetje regjistroi r</w:t>
      </w:r>
      <w:r w:rsidR="000C4B21" w:rsidRPr="005D7230">
        <w:rPr>
          <w:rFonts w:ascii="Times New Roman" w:hAnsi="Times New Roman" w:cs="Times New Roman"/>
          <w:sz w:val="24"/>
          <w:szCs w:val="24"/>
          <w:lang w:val="sq-AL"/>
        </w:rPr>
        <w:t>ë</w:t>
      </w:r>
      <w:r w:rsidR="0064275E" w:rsidRPr="005D7230">
        <w:rPr>
          <w:rFonts w:ascii="Times New Roman" w:hAnsi="Times New Roman" w:cs="Times New Roman"/>
          <w:sz w:val="24"/>
          <w:szCs w:val="24"/>
          <w:lang w:val="sq-AL"/>
        </w:rPr>
        <w:t xml:space="preserve">nie me </w:t>
      </w:r>
      <w:r w:rsidR="00436345">
        <w:rPr>
          <w:rFonts w:ascii="Times New Roman" w:hAnsi="Times New Roman" w:cs="Times New Roman"/>
          <w:sz w:val="24"/>
          <w:szCs w:val="24"/>
          <w:lang w:val="sq-AL"/>
        </w:rPr>
        <w:t xml:space="preserve">3.6 </w:t>
      </w:r>
      <w:r w:rsidR="0064275E" w:rsidRPr="005D7230">
        <w:rPr>
          <w:rFonts w:ascii="Times New Roman" w:hAnsi="Times New Roman" w:cs="Times New Roman"/>
          <w:sz w:val="24"/>
          <w:szCs w:val="24"/>
          <w:lang w:val="sq-AL"/>
        </w:rPr>
        <w:t>pik</w:t>
      </w:r>
      <w:r w:rsidR="000C4B21" w:rsidRPr="005D7230">
        <w:rPr>
          <w:rFonts w:ascii="Times New Roman" w:hAnsi="Times New Roman" w:cs="Times New Roman"/>
          <w:sz w:val="24"/>
          <w:szCs w:val="24"/>
          <w:lang w:val="sq-AL"/>
        </w:rPr>
        <w:t>ë</w:t>
      </w:r>
      <w:r w:rsidR="0064275E" w:rsidRPr="005D7230">
        <w:rPr>
          <w:rFonts w:ascii="Times New Roman" w:hAnsi="Times New Roman" w:cs="Times New Roman"/>
          <w:sz w:val="24"/>
          <w:szCs w:val="24"/>
          <w:lang w:val="sq-AL"/>
        </w:rPr>
        <w:t xml:space="preserve"> p</w:t>
      </w:r>
      <w:r w:rsidR="000C4B21" w:rsidRPr="005D7230">
        <w:rPr>
          <w:rFonts w:ascii="Times New Roman" w:hAnsi="Times New Roman" w:cs="Times New Roman"/>
          <w:sz w:val="24"/>
          <w:szCs w:val="24"/>
          <w:lang w:val="sq-AL"/>
        </w:rPr>
        <w:t>ë</w:t>
      </w:r>
      <w:r w:rsidR="0064275E" w:rsidRPr="005D7230">
        <w:rPr>
          <w:rFonts w:ascii="Times New Roman" w:hAnsi="Times New Roman" w:cs="Times New Roman"/>
          <w:sz w:val="24"/>
          <w:szCs w:val="24"/>
          <w:lang w:val="sq-AL"/>
        </w:rPr>
        <w:t>rqindje.</w:t>
      </w:r>
      <w:r w:rsidR="00B07550" w:rsidRPr="005D7230">
        <w:rPr>
          <w:rFonts w:ascii="Times New Roman" w:hAnsi="Times New Roman" w:cs="Times New Roman"/>
          <w:i/>
          <w:sz w:val="24"/>
          <w:szCs w:val="24"/>
          <w:lang w:val="sq-AL"/>
        </w:rPr>
        <w:t xml:space="preserve"> Kuadri ligjor dhe institucional</w:t>
      </w:r>
      <w:r w:rsidR="00B07550" w:rsidRPr="005D7230">
        <w:rPr>
          <w:rFonts w:ascii="Times New Roman" w:hAnsi="Times New Roman" w:cs="Times New Roman"/>
          <w:sz w:val="24"/>
          <w:szCs w:val="24"/>
          <w:lang w:val="sq-AL"/>
        </w:rPr>
        <w:t xml:space="preserve"> dhe </w:t>
      </w:r>
      <w:r w:rsidR="00B07550" w:rsidRPr="005D7230">
        <w:rPr>
          <w:rFonts w:ascii="Times New Roman" w:hAnsi="Times New Roman" w:cs="Times New Roman"/>
          <w:i/>
          <w:sz w:val="24"/>
          <w:szCs w:val="24"/>
          <w:lang w:val="sq-AL"/>
        </w:rPr>
        <w:t>marr</w:t>
      </w:r>
      <w:r w:rsidR="000C4B21" w:rsidRPr="005D7230">
        <w:rPr>
          <w:rFonts w:ascii="Times New Roman" w:hAnsi="Times New Roman" w:cs="Times New Roman"/>
          <w:i/>
          <w:sz w:val="24"/>
          <w:szCs w:val="24"/>
          <w:lang w:val="sq-AL"/>
        </w:rPr>
        <w:t>ë</w:t>
      </w:r>
      <w:r w:rsidR="00B07550" w:rsidRPr="005D7230">
        <w:rPr>
          <w:rFonts w:ascii="Times New Roman" w:hAnsi="Times New Roman" w:cs="Times New Roman"/>
          <w:i/>
          <w:sz w:val="24"/>
          <w:szCs w:val="24"/>
          <w:lang w:val="sq-AL"/>
        </w:rPr>
        <w:t>dh</w:t>
      </w:r>
      <w:r w:rsidR="000C4B21" w:rsidRPr="005D7230">
        <w:rPr>
          <w:rFonts w:ascii="Times New Roman" w:hAnsi="Times New Roman" w:cs="Times New Roman"/>
          <w:i/>
          <w:sz w:val="24"/>
          <w:szCs w:val="24"/>
          <w:lang w:val="sq-AL"/>
        </w:rPr>
        <w:t>ë</w:t>
      </w:r>
      <w:r w:rsidR="00B07550" w:rsidRPr="005D7230">
        <w:rPr>
          <w:rFonts w:ascii="Times New Roman" w:hAnsi="Times New Roman" w:cs="Times New Roman"/>
          <w:i/>
          <w:sz w:val="24"/>
          <w:szCs w:val="24"/>
          <w:lang w:val="sq-AL"/>
        </w:rPr>
        <w:t>niet me ba</w:t>
      </w:r>
      <w:r w:rsidR="000C4B21" w:rsidRPr="005D7230">
        <w:rPr>
          <w:rFonts w:ascii="Times New Roman" w:hAnsi="Times New Roman" w:cs="Times New Roman"/>
          <w:i/>
          <w:sz w:val="24"/>
          <w:szCs w:val="24"/>
          <w:lang w:val="sq-AL"/>
        </w:rPr>
        <w:t>n</w:t>
      </w:r>
      <w:r w:rsidR="00B07550" w:rsidRPr="005D7230">
        <w:rPr>
          <w:rFonts w:ascii="Times New Roman" w:hAnsi="Times New Roman" w:cs="Times New Roman"/>
          <w:i/>
          <w:sz w:val="24"/>
          <w:szCs w:val="24"/>
          <w:lang w:val="sq-AL"/>
        </w:rPr>
        <w:t>kat</w:t>
      </w:r>
      <w:r w:rsidR="0019004D">
        <w:rPr>
          <w:rFonts w:ascii="Times New Roman" w:hAnsi="Times New Roman" w:cs="Times New Roman"/>
          <w:i/>
          <w:sz w:val="24"/>
          <w:szCs w:val="24"/>
          <w:lang w:val="sq-AL"/>
        </w:rPr>
        <w:t xml:space="preserve"> </w:t>
      </w:r>
      <w:r w:rsidR="00E47332" w:rsidRPr="005D7230">
        <w:rPr>
          <w:rFonts w:ascii="Times New Roman" w:hAnsi="Times New Roman" w:cs="Times New Roman"/>
          <w:sz w:val="24"/>
          <w:szCs w:val="24"/>
          <w:lang w:val="sq-AL"/>
        </w:rPr>
        <w:t>rendit</w:t>
      </w:r>
      <w:r w:rsidR="00E47332">
        <w:rPr>
          <w:rFonts w:ascii="Times New Roman" w:hAnsi="Times New Roman" w:cs="Times New Roman"/>
          <w:sz w:val="24"/>
          <w:szCs w:val="24"/>
          <w:lang w:val="sq-AL"/>
        </w:rPr>
        <w:t>en</w:t>
      </w:r>
      <w:r w:rsidR="0019004D">
        <w:rPr>
          <w:rFonts w:ascii="Times New Roman" w:hAnsi="Times New Roman" w:cs="Times New Roman"/>
          <w:sz w:val="24"/>
          <w:szCs w:val="24"/>
          <w:lang w:val="sq-AL"/>
        </w:rPr>
        <w:t xml:space="preserve"> </w:t>
      </w:r>
      <w:r w:rsidR="00B07550" w:rsidRPr="005D7230">
        <w:rPr>
          <w:rFonts w:ascii="Times New Roman" w:hAnsi="Times New Roman" w:cs="Times New Roman"/>
          <w:sz w:val="24"/>
          <w:szCs w:val="24"/>
          <w:lang w:val="sq-AL"/>
        </w:rPr>
        <w:t>nd</w:t>
      </w:r>
      <w:r w:rsidR="000C4B21" w:rsidRPr="005D7230">
        <w:rPr>
          <w:rFonts w:ascii="Times New Roman" w:hAnsi="Times New Roman" w:cs="Times New Roman"/>
          <w:sz w:val="24"/>
          <w:szCs w:val="24"/>
          <w:lang w:val="sq-AL"/>
        </w:rPr>
        <w:t>ë</w:t>
      </w:r>
      <w:r w:rsidR="00B07550" w:rsidRPr="005D7230">
        <w:rPr>
          <w:rFonts w:ascii="Times New Roman" w:hAnsi="Times New Roman" w:cs="Times New Roman"/>
          <w:sz w:val="24"/>
          <w:szCs w:val="24"/>
          <w:lang w:val="sq-AL"/>
        </w:rPr>
        <w:t>r faktor</w:t>
      </w:r>
      <w:r w:rsidR="000C4B21" w:rsidRPr="005D7230">
        <w:rPr>
          <w:rFonts w:ascii="Times New Roman" w:hAnsi="Times New Roman" w:cs="Times New Roman"/>
          <w:sz w:val="24"/>
          <w:szCs w:val="24"/>
          <w:lang w:val="sq-AL"/>
        </w:rPr>
        <w:t>ë</w:t>
      </w:r>
      <w:r w:rsidR="00B07550" w:rsidRPr="005D7230">
        <w:rPr>
          <w:rFonts w:ascii="Times New Roman" w:hAnsi="Times New Roman" w:cs="Times New Roman"/>
          <w:sz w:val="24"/>
          <w:szCs w:val="24"/>
          <w:lang w:val="sq-AL"/>
        </w:rPr>
        <w:t xml:space="preserve">t </w:t>
      </w:r>
      <w:r w:rsidR="006D1E66">
        <w:rPr>
          <w:rFonts w:ascii="Times New Roman" w:hAnsi="Times New Roman" w:cs="Times New Roman"/>
          <w:sz w:val="24"/>
          <w:szCs w:val="24"/>
          <w:lang w:val="sq-AL"/>
        </w:rPr>
        <w:t>kryesorë</w:t>
      </w:r>
      <w:r w:rsidR="00A6591B">
        <w:rPr>
          <w:rFonts w:ascii="Times New Roman" w:hAnsi="Times New Roman" w:cs="Times New Roman"/>
          <w:sz w:val="24"/>
          <w:szCs w:val="24"/>
          <w:lang w:val="sq-AL"/>
        </w:rPr>
        <w:t>,</w:t>
      </w:r>
      <w:r w:rsidR="006D1E66">
        <w:rPr>
          <w:rFonts w:ascii="Times New Roman" w:hAnsi="Times New Roman" w:cs="Times New Roman"/>
          <w:sz w:val="24"/>
          <w:szCs w:val="24"/>
          <w:lang w:val="sq-AL"/>
        </w:rPr>
        <w:t xml:space="preserve"> </w:t>
      </w:r>
      <w:r w:rsidR="00B07550" w:rsidRPr="005D7230">
        <w:rPr>
          <w:rFonts w:ascii="Times New Roman" w:hAnsi="Times New Roman" w:cs="Times New Roman"/>
          <w:sz w:val="24"/>
          <w:szCs w:val="24"/>
          <w:lang w:val="sq-AL"/>
        </w:rPr>
        <w:t>t</w:t>
      </w:r>
      <w:r w:rsidR="000C4B21" w:rsidRPr="005D7230">
        <w:rPr>
          <w:rFonts w:ascii="Times New Roman" w:hAnsi="Times New Roman" w:cs="Times New Roman"/>
          <w:sz w:val="24"/>
          <w:szCs w:val="24"/>
          <w:lang w:val="sq-AL"/>
        </w:rPr>
        <w:t>ë</w:t>
      </w:r>
      <w:r w:rsidR="00B07550" w:rsidRPr="005D7230">
        <w:rPr>
          <w:rFonts w:ascii="Times New Roman" w:hAnsi="Times New Roman" w:cs="Times New Roman"/>
          <w:sz w:val="24"/>
          <w:szCs w:val="24"/>
          <w:lang w:val="sq-AL"/>
        </w:rPr>
        <w:t xml:space="preserve"> cil</w:t>
      </w:r>
      <w:r w:rsidR="000C4B21" w:rsidRPr="005D7230">
        <w:rPr>
          <w:rFonts w:ascii="Times New Roman" w:hAnsi="Times New Roman" w:cs="Times New Roman"/>
          <w:sz w:val="24"/>
          <w:szCs w:val="24"/>
          <w:lang w:val="sq-AL"/>
        </w:rPr>
        <w:t>ë</w:t>
      </w:r>
      <w:r w:rsidR="00B07550" w:rsidRPr="005D7230">
        <w:rPr>
          <w:rFonts w:ascii="Times New Roman" w:hAnsi="Times New Roman" w:cs="Times New Roman"/>
          <w:sz w:val="24"/>
          <w:szCs w:val="24"/>
          <w:lang w:val="sq-AL"/>
        </w:rPr>
        <w:t>t kan</w:t>
      </w:r>
      <w:r w:rsidR="000C4B21" w:rsidRPr="005D7230">
        <w:rPr>
          <w:rFonts w:ascii="Times New Roman" w:hAnsi="Times New Roman" w:cs="Times New Roman"/>
          <w:sz w:val="24"/>
          <w:szCs w:val="24"/>
          <w:lang w:val="sq-AL"/>
        </w:rPr>
        <w:t>ë</w:t>
      </w:r>
      <w:r w:rsidR="00B07550" w:rsidRPr="005D7230">
        <w:rPr>
          <w:rFonts w:ascii="Times New Roman" w:hAnsi="Times New Roman" w:cs="Times New Roman"/>
          <w:sz w:val="24"/>
          <w:szCs w:val="24"/>
          <w:lang w:val="sq-AL"/>
        </w:rPr>
        <w:t xml:space="preserve"> ndikuar negativisht ecurin</w:t>
      </w:r>
      <w:r w:rsidR="000C4B21" w:rsidRPr="005D7230">
        <w:rPr>
          <w:rFonts w:ascii="Times New Roman" w:hAnsi="Times New Roman" w:cs="Times New Roman"/>
          <w:sz w:val="24"/>
          <w:szCs w:val="24"/>
          <w:lang w:val="sq-AL"/>
        </w:rPr>
        <w:t>ë</w:t>
      </w:r>
      <w:r w:rsidR="00B07550" w:rsidRPr="005D7230">
        <w:rPr>
          <w:rFonts w:ascii="Times New Roman" w:hAnsi="Times New Roman" w:cs="Times New Roman"/>
          <w:sz w:val="24"/>
          <w:szCs w:val="24"/>
          <w:lang w:val="sq-AL"/>
        </w:rPr>
        <w:t xml:space="preserve"> normale t</w:t>
      </w:r>
      <w:r w:rsidR="000C4B21" w:rsidRPr="005D7230">
        <w:rPr>
          <w:rFonts w:ascii="Times New Roman" w:hAnsi="Times New Roman" w:cs="Times New Roman"/>
          <w:sz w:val="24"/>
          <w:szCs w:val="24"/>
          <w:lang w:val="sq-AL"/>
        </w:rPr>
        <w:t>ë</w:t>
      </w:r>
      <w:r w:rsidR="00B07550" w:rsidRPr="005D7230">
        <w:rPr>
          <w:rFonts w:ascii="Times New Roman" w:hAnsi="Times New Roman" w:cs="Times New Roman"/>
          <w:sz w:val="24"/>
          <w:szCs w:val="24"/>
          <w:lang w:val="sq-AL"/>
        </w:rPr>
        <w:t xml:space="preserve"> bizneseve t</w:t>
      </w:r>
      <w:r w:rsidR="000C4B21" w:rsidRPr="005D7230">
        <w:rPr>
          <w:rFonts w:ascii="Times New Roman" w:hAnsi="Times New Roman" w:cs="Times New Roman"/>
          <w:sz w:val="24"/>
          <w:szCs w:val="24"/>
          <w:lang w:val="sq-AL"/>
        </w:rPr>
        <w:t>ë</w:t>
      </w:r>
      <w:r w:rsidR="00B07550" w:rsidRPr="005D7230">
        <w:rPr>
          <w:rFonts w:ascii="Times New Roman" w:hAnsi="Times New Roman" w:cs="Times New Roman"/>
          <w:sz w:val="24"/>
          <w:szCs w:val="24"/>
          <w:lang w:val="sq-AL"/>
        </w:rPr>
        <w:t xml:space="preserve"> sektorit t</w:t>
      </w:r>
      <w:r w:rsidR="000C4B21" w:rsidRPr="005D7230">
        <w:rPr>
          <w:rFonts w:ascii="Times New Roman" w:hAnsi="Times New Roman" w:cs="Times New Roman"/>
          <w:sz w:val="24"/>
          <w:szCs w:val="24"/>
          <w:lang w:val="sq-AL"/>
        </w:rPr>
        <w:t>ë</w:t>
      </w:r>
      <w:r w:rsidR="00B07550" w:rsidRPr="005D7230">
        <w:rPr>
          <w:rFonts w:ascii="Times New Roman" w:hAnsi="Times New Roman" w:cs="Times New Roman"/>
          <w:sz w:val="24"/>
          <w:szCs w:val="24"/>
          <w:lang w:val="sq-AL"/>
        </w:rPr>
        <w:t xml:space="preserve"> industris</w:t>
      </w:r>
      <w:r w:rsidR="000C4B21" w:rsidRPr="005D7230">
        <w:rPr>
          <w:rFonts w:ascii="Times New Roman" w:hAnsi="Times New Roman" w:cs="Times New Roman"/>
          <w:sz w:val="24"/>
          <w:szCs w:val="24"/>
          <w:lang w:val="sq-AL"/>
        </w:rPr>
        <w:t>ë</w:t>
      </w:r>
      <w:r w:rsidR="00B07550" w:rsidRPr="005D7230">
        <w:rPr>
          <w:rFonts w:ascii="Times New Roman" w:hAnsi="Times New Roman" w:cs="Times New Roman"/>
          <w:sz w:val="24"/>
          <w:szCs w:val="24"/>
          <w:lang w:val="sq-AL"/>
        </w:rPr>
        <w:t>.</w:t>
      </w:r>
    </w:p>
    <w:p w:rsidR="00507B44" w:rsidRPr="005D7230" w:rsidRDefault="00507B44" w:rsidP="00507B44">
      <w:pPr>
        <w:spacing w:after="0"/>
        <w:jc w:val="both"/>
        <w:rPr>
          <w:rFonts w:ascii="Times New Roman" w:hAnsi="Times New Roman" w:cs="Times New Roman"/>
          <w:sz w:val="24"/>
          <w:szCs w:val="24"/>
          <w:lang w:val="sq-AL"/>
        </w:rPr>
      </w:pPr>
    </w:p>
    <w:p w:rsidR="002D63A9" w:rsidRDefault="002D63A9" w:rsidP="0064275E">
      <w:pPr>
        <w:jc w:val="both"/>
        <w:rPr>
          <w:rFonts w:ascii="Times New Roman" w:hAnsi="Times New Roman" w:cs="Times New Roman"/>
          <w:sz w:val="24"/>
          <w:szCs w:val="24"/>
          <w:lang w:val="sq-AL"/>
        </w:rPr>
      </w:pPr>
      <w:r w:rsidRPr="00842D2E">
        <w:rPr>
          <w:rFonts w:ascii="Times New Roman" w:hAnsi="Times New Roman" w:cs="Times New Roman"/>
          <w:sz w:val="24"/>
          <w:szCs w:val="24"/>
          <w:lang w:val="sq-AL"/>
        </w:rPr>
        <w:t>Bizneset n</w:t>
      </w:r>
      <w:r w:rsidR="00D53C96" w:rsidRPr="00842D2E">
        <w:rPr>
          <w:rFonts w:ascii="Times New Roman" w:hAnsi="Times New Roman" w:cs="Times New Roman"/>
          <w:sz w:val="24"/>
          <w:szCs w:val="24"/>
          <w:lang w:val="sq-AL"/>
        </w:rPr>
        <w:t>ë</w:t>
      </w:r>
      <w:r w:rsidRPr="00842D2E">
        <w:rPr>
          <w:rFonts w:ascii="Times New Roman" w:hAnsi="Times New Roman" w:cs="Times New Roman"/>
          <w:sz w:val="24"/>
          <w:szCs w:val="24"/>
          <w:lang w:val="sq-AL"/>
        </w:rPr>
        <w:t xml:space="preserve"> sektorin e industris</w:t>
      </w:r>
      <w:r w:rsidR="00D53C96" w:rsidRPr="00842D2E">
        <w:rPr>
          <w:rFonts w:ascii="Times New Roman" w:hAnsi="Times New Roman" w:cs="Times New Roman"/>
          <w:sz w:val="24"/>
          <w:szCs w:val="24"/>
          <w:lang w:val="sq-AL"/>
        </w:rPr>
        <w:t>ë</w:t>
      </w:r>
      <w:r w:rsidRPr="00842D2E">
        <w:rPr>
          <w:rFonts w:ascii="Times New Roman" w:hAnsi="Times New Roman" w:cs="Times New Roman"/>
          <w:sz w:val="24"/>
          <w:szCs w:val="24"/>
          <w:lang w:val="sq-AL"/>
        </w:rPr>
        <w:t xml:space="preserve"> kan</w:t>
      </w:r>
      <w:r w:rsidR="00D53C96" w:rsidRPr="00842D2E">
        <w:rPr>
          <w:rFonts w:ascii="Times New Roman" w:hAnsi="Times New Roman" w:cs="Times New Roman"/>
          <w:sz w:val="24"/>
          <w:szCs w:val="24"/>
          <w:lang w:val="sq-AL"/>
        </w:rPr>
        <w:t>ë</w:t>
      </w:r>
      <w:r w:rsidRPr="00842D2E">
        <w:rPr>
          <w:rFonts w:ascii="Times New Roman" w:hAnsi="Times New Roman" w:cs="Times New Roman"/>
          <w:sz w:val="24"/>
          <w:szCs w:val="24"/>
          <w:lang w:val="sq-AL"/>
        </w:rPr>
        <w:t xml:space="preserve"> vler</w:t>
      </w:r>
      <w:r w:rsidR="00D53C96" w:rsidRPr="00842D2E">
        <w:rPr>
          <w:rFonts w:ascii="Times New Roman" w:hAnsi="Times New Roman" w:cs="Times New Roman"/>
          <w:sz w:val="24"/>
          <w:szCs w:val="24"/>
          <w:lang w:val="sq-AL"/>
        </w:rPr>
        <w:t>ë</w:t>
      </w:r>
      <w:r w:rsidRPr="00842D2E">
        <w:rPr>
          <w:rFonts w:ascii="Times New Roman" w:hAnsi="Times New Roman" w:cs="Times New Roman"/>
          <w:sz w:val="24"/>
          <w:szCs w:val="24"/>
          <w:lang w:val="sq-AL"/>
        </w:rPr>
        <w:t>suar n</w:t>
      </w:r>
      <w:r w:rsidR="00D53C96" w:rsidRPr="00842D2E">
        <w:rPr>
          <w:rFonts w:ascii="Times New Roman" w:hAnsi="Times New Roman" w:cs="Times New Roman"/>
          <w:sz w:val="24"/>
          <w:szCs w:val="24"/>
          <w:lang w:val="sq-AL"/>
        </w:rPr>
        <w:t>ë</w:t>
      </w:r>
      <w:r w:rsidRPr="00842D2E">
        <w:rPr>
          <w:rFonts w:ascii="Times New Roman" w:hAnsi="Times New Roman" w:cs="Times New Roman"/>
          <w:sz w:val="24"/>
          <w:szCs w:val="24"/>
          <w:lang w:val="sq-AL"/>
        </w:rPr>
        <w:t xml:space="preserve"> r</w:t>
      </w:r>
      <w:r w:rsidR="00D53C96" w:rsidRPr="00842D2E">
        <w:rPr>
          <w:rFonts w:ascii="Times New Roman" w:hAnsi="Times New Roman" w:cs="Times New Roman"/>
          <w:sz w:val="24"/>
          <w:szCs w:val="24"/>
          <w:lang w:val="sq-AL"/>
        </w:rPr>
        <w:t>ë</w:t>
      </w:r>
      <w:r w:rsidRPr="00842D2E">
        <w:rPr>
          <w:rFonts w:ascii="Times New Roman" w:hAnsi="Times New Roman" w:cs="Times New Roman"/>
          <w:sz w:val="24"/>
          <w:szCs w:val="24"/>
          <w:lang w:val="sq-AL"/>
        </w:rPr>
        <w:t>nie k</w:t>
      </w:r>
      <w:r w:rsidR="00D53C96" w:rsidRPr="00842D2E">
        <w:rPr>
          <w:rFonts w:ascii="Times New Roman" w:hAnsi="Times New Roman" w:cs="Times New Roman"/>
          <w:sz w:val="24"/>
          <w:szCs w:val="24"/>
          <w:lang w:val="sq-AL"/>
        </w:rPr>
        <w:t>ë</w:t>
      </w:r>
      <w:r w:rsidRPr="00842D2E">
        <w:rPr>
          <w:rFonts w:ascii="Times New Roman" w:hAnsi="Times New Roman" w:cs="Times New Roman"/>
          <w:sz w:val="24"/>
          <w:szCs w:val="24"/>
          <w:lang w:val="sq-AL"/>
        </w:rPr>
        <w:t>rkes</w:t>
      </w:r>
      <w:r w:rsidR="00D53C96" w:rsidRPr="00842D2E">
        <w:rPr>
          <w:rFonts w:ascii="Times New Roman" w:hAnsi="Times New Roman" w:cs="Times New Roman"/>
          <w:sz w:val="24"/>
          <w:szCs w:val="24"/>
          <w:lang w:val="sq-AL"/>
        </w:rPr>
        <w:t>ë</w:t>
      </w:r>
      <w:r w:rsidRPr="00842D2E">
        <w:rPr>
          <w:rFonts w:ascii="Times New Roman" w:hAnsi="Times New Roman" w:cs="Times New Roman"/>
          <w:sz w:val="24"/>
          <w:szCs w:val="24"/>
          <w:lang w:val="sq-AL"/>
        </w:rPr>
        <w:t>n e brendshme dhe at</w:t>
      </w:r>
      <w:r w:rsidR="00D53C96" w:rsidRPr="00842D2E">
        <w:rPr>
          <w:rFonts w:ascii="Times New Roman" w:hAnsi="Times New Roman" w:cs="Times New Roman"/>
          <w:sz w:val="24"/>
          <w:szCs w:val="24"/>
          <w:lang w:val="sq-AL"/>
        </w:rPr>
        <w:t>ë</w:t>
      </w:r>
      <w:r w:rsidRPr="00842D2E">
        <w:rPr>
          <w:rFonts w:ascii="Times New Roman" w:hAnsi="Times New Roman" w:cs="Times New Roman"/>
          <w:sz w:val="24"/>
          <w:szCs w:val="24"/>
          <w:lang w:val="sq-AL"/>
        </w:rPr>
        <w:t xml:space="preserve"> p</w:t>
      </w:r>
      <w:r w:rsidR="00D53C96" w:rsidRPr="00842D2E">
        <w:rPr>
          <w:rFonts w:ascii="Times New Roman" w:hAnsi="Times New Roman" w:cs="Times New Roman"/>
          <w:sz w:val="24"/>
          <w:szCs w:val="24"/>
          <w:lang w:val="sq-AL"/>
        </w:rPr>
        <w:t>ë</w:t>
      </w:r>
      <w:r w:rsidRPr="00842D2E">
        <w:rPr>
          <w:rFonts w:ascii="Times New Roman" w:hAnsi="Times New Roman" w:cs="Times New Roman"/>
          <w:sz w:val="24"/>
          <w:szCs w:val="24"/>
          <w:lang w:val="sq-AL"/>
        </w:rPr>
        <w:t>r eksporte.</w:t>
      </w:r>
      <w:r>
        <w:rPr>
          <w:rFonts w:ascii="Times New Roman" w:hAnsi="Times New Roman" w:cs="Times New Roman"/>
          <w:sz w:val="24"/>
          <w:szCs w:val="24"/>
          <w:lang w:val="sq-AL"/>
        </w:rPr>
        <w:t xml:space="preserve"> Mungesa e k</w:t>
      </w:r>
      <w:r w:rsidR="00D53C96">
        <w:rPr>
          <w:rFonts w:ascii="Times New Roman" w:hAnsi="Times New Roman" w:cs="Times New Roman"/>
          <w:sz w:val="24"/>
          <w:szCs w:val="24"/>
          <w:lang w:val="sq-AL"/>
        </w:rPr>
        <w:t>ë</w:t>
      </w:r>
      <w:r>
        <w:rPr>
          <w:rFonts w:ascii="Times New Roman" w:hAnsi="Times New Roman" w:cs="Times New Roman"/>
          <w:sz w:val="24"/>
          <w:szCs w:val="24"/>
          <w:lang w:val="sq-AL"/>
        </w:rPr>
        <w:t>rkes</w:t>
      </w:r>
      <w:r w:rsidR="00D53C96">
        <w:rPr>
          <w:rFonts w:ascii="Times New Roman" w:hAnsi="Times New Roman" w:cs="Times New Roman"/>
          <w:sz w:val="24"/>
          <w:szCs w:val="24"/>
          <w:lang w:val="sq-AL"/>
        </w:rPr>
        <w:t>ë</w:t>
      </w:r>
      <w:r>
        <w:rPr>
          <w:rFonts w:ascii="Times New Roman" w:hAnsi="Times New Roman" w:cs="Times New Roman"/>
          <w:sz w:val="24"/>
          <w:szCs w:val="24"/>
          <w:lang w:val="sq-AL"/>
        </w:rPr>
        <w:t>s u pasqyrua n</w:t>
      </w:r>
      <w:r w:rsidR="00D53C96">
        <w:rPr>
          <w:rFonts w:ascii="Times New Roman" w:hAnsi="Times New Roman" w:cs="Times New Roman"/>
          <w:sz w:val="24"/>
          <w:szCs w:val="24"/>
          <w:lang w:val="sq-AL"/>
        </w:rPr>
        <w:t>ë</w:t>
      </w:r>
      <w:r>
        <w:rPr>
          <w:rFonts w:ascii="Times New Roman" w:hAnsi="Times New Roman" w:cs="Times New Roman"/>
          <w:sz w:val="24"/>
          <w:szCs w:val="24"/>
          <w:lang w:val="sq-AL"/>
        </w:rPr>
        <w:t xml:space="preserve"> rritjen e inventar</w:t>
      </w:r>
      <w:r w:rsidR="00D53C96">
        <w:rPr>
          <w:rFonts w:ascii="Times New Roman" w:hAnsi="Times New Roman" w:cs="Times New Roman"/>
          <w:sz w:val="24"/>
          <w:szCs w:val="24"/>
          <w:lang w:val="sq-AL"/>
        </w:rPr>
        <w:t>ë</w:t>
      </w:r>
      <w:r>
        <w:rPr>
          <w:rFonts w:ascii="Times New Roman" w:hAnsi="Times New Roman" w:cs="Times New Roman"/>
          <w:sz w:val="24"/>
          <w:szCs w:val="24"/>
          <w:lang w:val="sq-AL"/>
        </w:rPr>
        <w:t>ve n</w:t>
      </w:r>
      <w:r w:rsidR="00D53C96">
        <w:rPr>
          <w:rFonts w:ascii="Times New Roman" w:hAnsi="Times New Roman" w:cs="Times New Roman"/>
          <w:sz w:val="24"/>
          <w:szCs w:val="24"/>
          <w:lang w:val="sq-AL"/>
        </w:rPr>
        <w:t>ë</w:t>
      </w:r>
      <w:r>
        <w:rPr>
          <w:rFonts w:ascii="Times New Roman" w:hAnsi="Times New Roman" w:cs="Times New Roman"/>
          <w:sz w:val="24"/>
          <w:szCs w:val="24"/>
          <w:lang w:val="sq-AL"/>
        </w:rPr>
        <w:t xml:space="preserve"> tremujorin e dyt</w:t>
      </w:r>
      <w:r w:rsidR="00D53C96">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D53C96">
        <w:rPr>
          <w:rFonts w:ascii="Times New Roman" w:hAnsi="Times New Roman" w:cs="Times New Roman"/>
          <w:sz w:val="24"/>
          <w:szCs w:val="24"/>
          <w:lang w:val="sq-AL"/>
        </w:rPr>
        <w:t>ë</w:t>
      </w:r>
      <w:r>
        <w:rPr>
          <w:rFonts w:ascii="Times New Roman" w:hAnsi="Times New Roman" w:cs="Times New Roman"/>
          <w:sz w:val="24"/>
          <w:szCs w:val="24"/>
          <w:lang w:val="sq-AL"/>
        </w:rPr>
        <w:t xml:space="preserve"> vitit 2013</w:t>
      </w:r>
      <w:r w:rsidR="000F609A">
        <w:rPr>
          <w:rFonts w:ascii="Times New Roman" w:hAnsi="Times New Roman" w:cs="Times New Roman"/>
          <w:sz w:val="24"/>
          <w:szCs w:val="24"/>
          <w:lang w:val="sq-AL"/>
        </w:rPr>
        <w:t>.</w:t>
      </w:r>
      <w:r w:rsidR="0019004D">
        <w:rPr>
          <w:rFonts w:ascii="Times New Roman" w:hAnsi="Times New Roman" w:cs="Times New Roman"/>
          <w:sz w:val="24"/>
          <w:szCs w:val="24"/>
          <w:lang w:val="sq-AL"/>
        </w:rPr>
        <w:t xml:space="preserve"> </w:t>
      </w:r>
      <w:r w:rsidR="00066AE8" w:rsidRPr="005D7230">
        <w:rPr>
          <w:rFonts w:ascii="Times New Roman" w:hAnsi="Times New Roman" w:cs="Times New Roman"/>
          <w:i/>
          <w:sz w:val="24"/>
          <w:szCs w:val="24"/>
          <w:lang w:val="sq-AL"/>
        </w:rPr>
        <w:t>Gjendja financiare</w:t>
      </w:r>
      <w:r w:rsidR="00066AE8" w:rsidRPr="005D7230">
        <w:rPr>
          <w:rFonts w:ascii="Times New Roman" w:hAnsi="Times New Roman" w:cs="Times New Roman"/>
          <w:sz w:val="24"/>
          <w:szCs w:val="24"/>
          <w:lang w:val="sq-AL"/>
        </w:rPr>
        <w:t xml:space="preserve"> e bizneseve është raportuar e p</w:t>
      </w:r>
      <w:r w:rsidR="003C7B66">
        <w:rPr>
          <w:rFonts w:ascii="Times New Roman" w:hAnsi="Times New Roman" w:cs="Times New Roman"/>
          <w:sz w:val="24"/>
          <w:szCs w:val="24"/>
          <w:lang w:val="sq-AL"/>
        </w:rPr>
        <w:t>ërkeqësuar në tremujorin e dytë</w:t>
      </w:r>
      <w:r w:rsidR="00842D2E">
        <w:rPr>
          <w:rFonts w:ascii="Times New Roman" w:hAnsi="Times New Roman" w:cs="Times New Roman"/>
          <w:sz w:val="24"/>
          <w:szCs w:val="24"/>
          <w:lang w:val="sq-AL"/>
        </w:rPr>
        <w:t xml:space="preserve"> dhe </w:t>
      </w:r>
      <w:r w:rsidR="00066AE8" w:rsidRPr="005D7230">
        <w:rPr>
          <w:rFonts w:ascii="Times New Roman" w:hAnsi="Times New Roman" w:cs="Times New Roman"/>
          <w:sz w:val="24"/>
          <w:szCs w:val="24"/>
          <w:lang w:val="sq-AL"/>
        </w:rPr>
        <w:t xml:space="preserve">balanca përkatëse ra me </w:t>
      </w:r>
      <w:r w:rsidR="00066AE8">
        <w:rPr>
          <w:rFonts w:ascii="Times New Roman" w:hAnsi="Times New Roman" w:cs="Times New Roman"/>
          <w:sz w:val="24"/>
          <w:szCs w:val="24"/>
          <w:lang w:val="sq-AL"/>
        </w:rPr>
        <w:t>9.4</w:t>
      </w:r>
      <w:r w:rsidR="00066AE8" w:rsidRPr="005D7230">
        <w:rPr>
          <w:rFonts w:ascii="Times New Roman" w:hAnsi="Times New Roman" w:cs="Times New Roman"/>
          <w:sz w:val="24"/>
          <w:szCs w:val="24"/>
          <w:lang w:val="sq-AL"/>
        </w:rPr>
        <w:t xml:space="preserve"> pikë përqindje.</w:t>
      </w:r>
    </w:p>
    <w:p w:rsidR="00C1669B" w:rsidRPr="005D7230" w:rsidRDefault="00C1669B" w:rsidP="0064275E">
      <w:pPr>
        <w:jc w:val="both"/>
        <w:rPr>
          <w:rFonts w:ascii="Times New Roman" w:hAnsi="Times New Roman" w:cs="Times New Roman"/>
          <w:sz w:val="24"/>
          <w:szCs w:val="24"/>
          <w:lang w:val="sq-AL"/>
        </w:rPr>
      </w:pPr>
      <w:r w:rsidRPr="005D7230">
        <w:rPr>
          <w:rFonts w:ascii="Times New Roman" w:hAnsi="Times New Roman" w:cs="Times New Roman"/>
          <w:i/>
          <w:sz w:val="24"/>
          <w:szCs w:val="24"/>
          <w:lang w:val="sq-AL"/>
        </w:rPr>
        <w:t>Norma e shfryt</w:t>
      </w:r>
      <w:r w:rsidR="000C4B21"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zimit t</w:t>
      </w:r>
      <w:r w:rsidR="000C4B21"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 xml:space="preserve"> kapaciteteve</w:t>
      </w:r>
      <w:r w:rsidR="0019004D">
        <w:rPr>
          <w:rFonts w:ascii="Times New Roman" w:hAnsi="Times New Roman" w:cs="Times New Roman"/>
          <w:i/>
          <w:sz w:val="24"/>
          <w:szCs w:val="24"/>
          <w:lang w:val="sq-AL"/>
        </w:rPr>
        <w:t xml:space="preserve"> </w:t>
      </w:r>
      <w:r w:rsidR="000C4B21" w:rsidRPr="005D7230">
        <w:rPr>
          <w:rFonts w:ascii="Times New Roman" w:hAnsi="Times New Roman" w:cs="Times New Roman"/>
          <w:sz w:val="24"/>
          <w:szCs w:val="24"/>
          <w:lang w:val="sq-AL"/>
        </w:rPr>
        <w:t>ra me 0.7 pikë përqindje në krahasim me tremujorin e kaluar</w:t>
      </w:r>
      <w:r w:rsidR="00E2658D">
        <w:rPr>
          <w:rFonts w:ascii="Times New Roman" w:hAnsi="Times New Roman" w:cs="Times New Roman"/>
          <w:sz w:val="24"/>
          <w:szCs w:val="24"/>
          <w:lang w:val="sq-AL"/>
        </w:rPr>
        <w:t xml:space="preserve"> dhe qëndron rreth </w:t>
      </w:r>
      <w:r w:rsidR="000C4B21" w:rsidRPr="005D7230">
        <w:rPr>
          <w:rFonts w:ascii="Times New Roman" w:hAnsi="Times New Roman" w:cs="Times New Roman"/>
          <w:sz w:val="24"/>
          <w:szCs w:val="24"/>
          <w:lang w:val="sq-AL"/>
        </w:rPr>
        <w:t xml:space="preserve"> 0.5 pikë përqindje poshtë mesatares historike. </w:t>
      </w:r>
    </w:p>
    <w:p w:rsidR="00C1669B" w:rsidRDefault="00C1669B" w:rsidP="0064275E">
      <w:pPr>
        <w:jc w:val="both"/>
        <w:rPr>
          <w:rFonts w:ascii="Times New Roman" w:hAnsi="Times New Roman" w:cs="Times New Roman"/>
          <w:sz w:val="24"/>
          <w:szCs w:val="24"/>
          <w:lang w:val="sq-AL"/>
        </w:rPr>
      </w:pPr>
    </w:p>
    <w:p w:rsidR="00D53C96" w:rsidRPr="005D7230" w:rsidRDefault="00D53C96" w:rsidP="0064275E">
      <w:pPr>
        <w:jc w:val="both"/>
        <w:rPr>
          <w:rFonts w:ascii="Times New Roman" w:hAnsi="Times New Roman" w:cs="Times New Roman"/>
          <w:sz w:val="24"/>
          <w:szCs w:val="24"/>
          <w:lang w:val="sq-AL"/>
        </w:rPr>
      </w:pPr>
    </w:p>
    <w:p w:rsidR="00FC3021" w:rsidRPr="005D7230" w:rsidRDefault="004E5FBB" w:rsidP="001D7B2C">
      <w:pPr>
        <w:rPr>
          <w:rFonts w:ascii="Times New Roman" w:hAnsi="Times New Roman" w:cs="Times New Roman"/>
          <w:b/>
          <w:sz w:val="24"/>
          <w:szCs w:val="24"/>
          <w:lang w:val="sq-AL"/>
        </w:rPr>
      </w:pPr>
      <w:r w:rsidRPr="005D7230">
        <w:rPr>
          <w:rFonts w:ascii="Times New Roman" w:hAnsi="Times New Roman" w:cs="Times New Roman"/>
          <w:b/>
          <w:sz w:val="24"/>
          <w:szCs w:val="24"/>
          <w:lang w:val="sq-AL"/>
        </w:rPr>
        <w:lastRenderedPageBreak/>
        <w:t>Sektori i ndërtimit</w:t>
      </w:r>
    </w:p>
    <w:p w:rsidR="0085696E" w:rsidRPr="005D7230" w:rsidRDefault="00FE7DDC" w:rsidP="001D7B2C">
      <w:pPr>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 xml:space="preserve">Pas përmirësimit të ndjeshëm </w:t>
      </w:r>
      <w:r w:rsidR="002067BC">
        <w:rPr>
          <w:rFonts w:ascii="Times New Roman" w:hAnsi="Times New Roman" w:cs="Times New Roman"/>
          <w:sz w:val="24"/>
          <w:szCs w:val="24"/>
          <w:lang w:val="sq-AL"/>
        </w:rPr>
        <w:t>(+17.3 p</w:t>
      </w:r>
      <w:r w:rsidR="0019004D">
        <w:rPr>
          <w:rFonts w:ascii="Times New Roman" w:hAnsi="Times New Roman" w:cs="Times New Roman"/>
          <w:sz w:val="24"/>
          <w:szCs w:val="24"/>
          <w:lang w:val="sq-AL"/>
        </w:rPr>
        <w:t xml:space="preserve">ikë </w:t>
      </w:r>
      <w:r w:rsidR="002067BC">
        <w:rPr>
          <w:rFonts w:ascii="Times New Roman" w:hAnsi="Times New Roman" w:cs="Times New Roman"/>
          <w:sz w:val="24"/>
          <w:szCs w:val="24"/>
          <w:lang w:val="sq-AL"/>
        </w:rPr>
        <w:t>p</w:t>
      </w:r>
      <w:r w:rsidR="0085521A">
        <w:rPr>
          <w:rFonts w:ascii="Times New Roman" w:hAnsi="Times New Roman" w:cs="Times New Roman"/>
          <w:sz w:val="24"/>
          <w:szCs w:val="24"/>
          <w:lang w:val="sq-AL"/>
        </w:rPr>
        <w:t>ërqindje</w:t>
      </w:r>
      <w:r w:rsidR="002067BC">
        <w:rPr>
          <w:rFonts w:ascii="Times New Roman" w:hAnsi="Times New Roman" w:cs="Times New Roman"/>
          <w:sz w:val="24"/>
          <w:szCs w:val="24"/>
          <w:lang w:val="sq-AL"/>
        </w:rPr>
        <w:t xml:space="preserve">) </w:t>
      </w:r>
      <w:r w:rsidRPr="005D7230">
        <w:rPr>
          <w:rFonts w:ascii="Times New Roman" w:hAnsi="Times New Roman" w:cs="Times New Roman"/>
          <w:sz w:val="24"/>
          <w:szCs w:val="24"/>
          <w:lang w:val="sq-AL"/>
        </w:rPr>
        <w:t>të shënuar një tremujor më parë, t</w:t>
      </w:r>
      <w:r w:rsidR="008D5BDE" w:rsidRPr="005D7230">
        <w:rPr>
          <w:rFonts w:ascii="Times New Roman" w:hAnsi="Times New Roman" w:cs="Times New Roman"/>
          <w:sz w:val="24"/>
          <w:szCs w:val="24"/>
          <w:lang w:val="sq-AL"/>
        </w:rPr>
        <w:t>reguesi i besimit në sektorin e ndërtimit shënoi rënie me rreth 6.0 pikë përqindjeje në tremujorin e dytë të vitit 2013</w:t>
      </w:r>
      <w:r w:rsidRPr="005D7230">
        <w:rPr>
          <w:rFonts w:ascii="Times New Roman" w:hAnsi="Times New Roman" w:cs="Times New Roman"/>
          <w:sz w:val="24"/>
          <w:szCs w:val="24"/>
          <w:lang w:val="sq-AL"/>
        </w:rPr>
        <w:t>.</w:t>
      </w:r>
      <w:r w:rsidR="004575D0" w:rsidRPr="005D7230">
        <w:rPr>
          <w:rFonts w:ascii="Times New Roman" w:hAnsi="Times New Roman" w:cs="Times New Roman"/>
          <w:sz w:val="24"/>
          <w:szCs w:val="24"/>
          <w:lang w:val="sq-AL"/>
        </w:rPr>
        <w:t xml:space="preserve"> Niveli aktual i TBN-s</w:t>
      </w:r>
      <w:r w:rsidR="00824E71" w:rsidRPr="005D7230">
        <w:rPr>
          <w:rFonts w:ascii="Times New Roman" w:hAnsi="Times New Roman" w:cs="Times New Roman"/>
          <w:sz w:val="24"/>
          <w:szCs w:val="24"/>
          <w:lang w:val="sq-AL"/>
        </w:rPr>
        <w:t>ë</w:t>
      </w:r>
      <w:r w:rsidR="004575D0" w:rsidRPr="005D7230">
        <w:rPr>
          <w:rFonts w:ascii="Times New Roman" w:hAnsi="Times New Roman" w:cs="Times New Roman"/>
          <w:sz w:val="24"/>
          <w:szCs w:val="24"/>
          <w:lang w:val="sq-AL"/>
        </w:rPr>
        <w:t xml:space="preserve"> qëndron rreth 20.6 pik</w:t>
      </w:r>
      <w:r w:rsidR="00824E71" w:rsidRPr="005D7230">
        <w:rPr>
          <w:rFonts w:ascii="Times New Roman" w:hAnsi="Times New Roman" w:cs="Times New Roman"/>
          <w:sz w:val="24"/>
          <w:szCs w:val="24"/>
          <w:lang w:val="sq-AL"/>
        </w:rPr>
        <w:t>ë</w:t>
      </w:r>
      <w:r w:rsidR="004575D0" w:rsidRPr="005D7230">
        <w:rPr>
          <w:rFonts w:ascii="Times New Roman" w:hAnsi="Times New Roman" w:cs="Times New Roman"/>
          <w:sz w:val="24"/>
          <w:szCs w:val="24"/>
          <w:lang w:val="sq-AL"/>
        </w:rPr>
        <w:t xml:space="preserve"> p</w:t>
      </w:r>
      <w:r w:rsidR="00824E71" w:rsidRPr="005D7230">
        <w:rPr>
          <w:rFonts w:ascii="Times New Roman" w:hAnsi="Times New Roman" w:cs="Times New Roman"/>
          <w:sz w:val="24"/>
          <w:szCs w:val="24"/>
          <w:lang w:val="sq-AL"/>
        </w:rPr>
        <w:t>ë</w:t>
      </w:r>
      <w:r w:rsidR="004575D0" w:rsidRPr="005D7230">
        <w:rPr>
          <w:rFonts w:ascii="Times New Roman" w:hAnsi="Times New Roman" w:cs="Times New Roman"/>
          <w:sz w:val="24"/>
          <w:szCs w:val="24"/>
          <w:lang w:val="sq-AL"/>
        </w:rPr>
        <w:t>rqindjeje n</w:t>
      </w:r>
      <w:r w:rsidR="00824E71" w:rsidRPr="005D7230">
        <w:rPr>
          <w:rFonts w:ascii="Times New Roman" w:hAnsi="Times New Roman" w:cs="Times New Roman"/>
          <w:sz w:val="24"/>
          <w:szCs w:val="24"/>
          <w:lang w:val="sq-AL"/>
        </w:rPr>
        <w:t>ë</w:t>
      </w:r>
      <w:r w:rsidR="004575D0" w:rsidRPr="005D7230">
        <w:rPr>
          <w:rFonts w:ascii="Times New Roman" w:hAnsi="Times New Roman" w:cs="Times New Roman"/>
          <w:sz w:val="24"/>
          <w:szCs w:val="24"/>
          <w:lang w:val="sq-AL"/>
        </w:rPr>
        <w:t>n mesataren e tij afatgjat</w:t>
      </w:r>
      <w:r w:rsidR="00824E71" w:rsidRPr="005D7230">
        <w:rPr>
          <w:rFonts w:ascii="Times New Roman" w:hAnsi="Times New Roman" w:cs="Times New Roman"/>
          <w:sz w:val="24"/>
          <w:szCs w:val="24"/>
          <w:lang w:val="sq-AL"/>
        </w:rPr>
        <w:t>ë</w:t>
      </w:r>
      <w:r w:rsidR="006C6919" w:rsidRPr="005D7230">
        <w:rPr>
          <w:rFonts w:ascii="Times New Roman" w:hAnsi="Times New Roman" w:cs="Times New Roman"/>
          <w:sz w:val="24"/>
          <w:szCs w:val="24"/>
          <w:lang w:val="sq-AL"/>
        </w:rPr>
        <w:t xml:space="preserve"> dhe rreth </w:t>
      </w:r>
      <w:r w:rsidR="006132E1">
        <w:rPr>
          <w:rFonts w:ascii="Times New Roman" w:hAnsi="Times New Roman" w:cs="Times New Roman"/>
          <w:sz w:val="24"/>
          <w:szCs w:val="24"/>
          <w:lang w:val="sq-AL"/>
        </w:rPr>
        <w:t>13.2</w:t>
      </w:r>
      <w:r w:rsidR="006C6919" w:rsidRPr="005D7230">
        <w:rPr>
          <w:rFonts w:ascii="Times New Roman" w:hAnsi="Times New Roman" w:cs="Times New Roman"/>
          <w:sz w:val="24"/>
          <w:szCs w:val="24"/>
          <w:lang w:val="sq-AL"/>
        </w:rPr>
        <w:t xml:space="preserve"> pikë përqindje nën mesataren </w:t>
      </w:r>
      <w:r w:rsidR="006132E1">
        <w:rPr>
          <w:rFonts w:ascii="Times New Roman" w:hAnsi="Times New Roman" w:cs="Times New Roman"/>
          <w:sz w:val="24"/>
          <w:szCs w:val="24"/>
          <w:lang w:val="sq-AL"/>
        </w:rPr>
        <w:t>e pesë viteve të fundit</w:t>
      </w:r>
      <w:r w:rsidR="004575D0" w:rsidRPr="005D7230">
        <w:rPr>
          <w:rFonts w:ascii="Times New Roman" w:hAnsi="Times New Roman" w:cs="Times New Roman"/>
          <w:sz w:val="24"/>
          <w:szCs w:val="24"/>
          <w:lang w:val="sq-AL"/>
        </w:rPr>
        <w:t xml:space="preserve">. </w:t>
      </w:r>
      <w:r w:rsidR="00824E71" w:rsidRPr="005D7230">
        <w:rPr>
          <w:rFonts w:ascii="Times New Roman" w:hAnsi="Times New Roman" w:cs="Times New Roman"/>
          <w:sz w:val="24"/>
          <w:szCs w:val="24"/>
          <w:lang w:val="sq-AL"/>
        </w:rPr>
        <w:t>P</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rkeq</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simi i treguesit t</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 xml:space="preserve"> besimit n</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 xml:space="preserve"> nd</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rtim u p</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rcaktua nga zhvillimet negative n</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 xml:space="preserve"> tre balancat p</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rb</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r</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se t</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 xml:space="preserve"> tij: vler</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simi p</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 xml:space="preserve">r situatën e </w:t>
      </w:r>
      <w:r w:rsidR="00824E71" w:rsidRPr="005D7230">
        <w:rPr>
          <w:rFonts w:ascii="Times New Roman" w:hAnsi="Times New Roman" w:cs="Times New Roman"/>
          <w:i/>
          <w:sz w:val="24"/>
          <w:szCs w:val="24"/>
          <w:lang w:val="sq-AL"/>
        </w:rPr>
        <w:t>prodhimit</w:t>
      </w:r>
      <w:r w:rsidR="00824E71" w:rsidRPr="005D7230">
        <w:rPr>
          <w:rFonts w:ascii="Times New Roman" w:hAnsi="Times New Roman" w:cs="Times New Roman"/>
          <w:sz w:val="24"/>
          <w:szCs w:val="24"/>
          <w:lang w:val="sq-AL"/>
        </w:rPr>
        <w:t xml:space="preserve"> (-8.5 pik</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 xml:space="preserve"> p</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rqindjeje), p</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r k</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rkes</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n (-5.</w:t>
      </w:r>
      <w:r w:rsidR="006132E1">
        <w:rPr>
          <w:rFonts w:ascii="Times New Roman" w:hAnsi="Times New Roman" w:cs="Times New Roman"/>
          <w:sz w:val="24"/>
          <w:szCs w:val="24"/>
          <w:lang w:val="sq-AL"/>
        </w:rPr>
        <w:t>0</w:t>
      </w:r>
      <w:r w:rsidR="00824E71" w:rsidRPr="005D7230">
        <w:rPr>
          <w:rFonts w:ascii="Times New Roman" w:hAnsi="Times New Roman" w:cs="Times New Roman"/>
          <w:sz w:val="24"/>
          <w:szCs w:val="24"/>
          <w:lang w:val="sq-AL"/>
        </w:rPr>
        <w:t xml:space="preserve"> pik</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 xml:space="preserve"> p</w:t>
      </w:r>
      <w:r w:rsidR="0014609A" w:rsidRPr="005D7230">
        <w:rPr>
          <w:rFonts w:ascii="Times New Roman" w:hAnsi="Times New Roman" w:cs="Times New Roman"/>
          <w:sz w:val="24"/>
          <w:szCs w:val="24"/>
          <w:lang w:val="sq-AL"/>
        </w:rPr>
        <w:t>ë</w:t>
      </w:r>
      <w:r w:rsidR="00824E71" w:rsidRPr="005D7230">
        <w:rPr>
          <w:rFonts w:ascii="Times New Roman" w:hAnsi="Times New Roman" w:cs="Times New Roman"/>
          <w:sz w:val="24"/>
          <w:szCs w:val="24"/>
          <w:lang w:val="sq-AL"/>
        </w:rPr>
        <w:t xml:space="preserve">rqindjeje) dhe </w:t>
      </w:r>
      <w:r w:rsidR="00464590" w:rsidRPr="005D7230">
        <w:rPr>
          <w:rFonts w:ascii="Times New Roman" w:hAnsi="Times New Roman" w:cs="Times New Roman"/>
          <w:sz w:val="24"/>
          <w:szCs w:val="24"/>
          <w:lang w:val="sq-AL"/>
        </w:rPr>
        <w:t>p</w:t>
      </w:r>
      <w:r w:rsidR="0014609A" w:rsidRPr="005D7230">
        <w:rPr>
          <w:rFonts w:ascii="Times New Roman" w:hAnsi="Times New Roman" w:cs="Times New Roman"/>
          <w:sz w:val="24"/>
          <w:szCs w:val="24"/>
          <w:lang w:val="sq-AL"/>
        </w:rPr>
        <w:t>ë</w:t>
      </w:r>
      <w:r w:rsidR="00464590" w:rsidRPr="005D7230">
        <w:rPr>
          <w:rFonts w:ascii="Times New Roman" w:hAnsi="Times New Roman" w:cs="Times New Roman"/>
          <w:sz w:val="24"/>
          <w:szCs w:val="24"/>
          <w:lang w:val="sq-AL"/>
        </w:rPr>
        <w:t xml:space="preserve">r </w:t>
      </w:r>
      <w:r w:rsidR="00464590" w:rsidRPr="006132E1">
        <w:rPr>
          <w:rFonts w:ascii="Times New Roman" w:hAnsi="Times New Roman" w:cs="Times New Roman"/>
          <w:i/>
          <w:sz w:val="24"/>
          <w:szCs w:val="24"/>
          <w:lang w:val="sq-AL"/>
        </w:rPr>
        <w:t>situat</w:t>
      </w:r>
      <w:r w:rsidR="0014609A" w:rsidRPr="006132E1">
        <w:rPr>
          <w:rFonts w:ascii="Times New Roman" w:hAnsi="Times New Roman" w:cs="Times New Roman"/>
          <w:i/>
          <w:sz w:val="24"/>
          <w:szCs w:val="24"/>
          <w:lang w:val="sq-AL"/>
        </w:rPr>
        <w:t>ë</w:t>
      </w:r>
      <w:r w:rsidR="00464590" w:rsidRPr="006132E1">
        <w:rPr>
          <w:rFonts w:ascii="Times New Roman" w:hAnsi="Times New Roman" w:cs="Times New Roman"/>
          <w:i/>
          <w:sz w:val="24"/>
          <w:szCs w:val="24"/>
          <w:lang w:val="sq-AL"/>
        </w:rPr>
        <w:t>n e pun</w:t>
      </w:r>
      <w:r w:rsidR="0014609A" w:rsidRPr="006132E1">
        <w:rPr>
          <w:rFonts w:ascii="Times New Roman" w:hAnsi="Times New Roman" w:cs="Times New Roman"/>
          <w:i/>
          <w:sz w:val="24"/>
          <w:szCs w:val="24"/>
          <w:lang w:val="sq-AL"/>
        </w:rPr>
        <w:t>ë</w:t>
      </w:r>
      <w:r w:rsidR="00464590" w:rsidRPr="006132E1">
        <w:rPr>
          <w:rFonts w:ascii="Times New Roman" w:hAnsi="Times New Roman" w:cs="Times New Roman"/>
          <w:i/>
          <w:sz w:val="24"/>
          <w:szCs w:val="24"/>
          <w:lang w:val="sq-AL"/>
        </w:rPr>
        <w:t>simit</w:t>
      </w:r>
      <w:r w:rsidRPr="005D7230">
        <w:rPr>
          <w:rFonts w:ascii="Times New Roman" w:hAnsi="Times New Roman" w:cs="Times New Roman"/>
          <w:sz w:val="24"/>
          <w:szCs w:val="24"/>
          <w:lang w:val="sq-AL"/>
        </w:rPr>
        <w:t xml:space="preserve"> në këtë sektor</w:t>
      </w:r>
      <w:r w:rsidR="00464590" w:rsidRPr="005D7230">
        <w:rPr>
          <w:rFonts w:ascii="Times New Roman" w:hAnsi="Times New Roman" w:cs="Times New Roman"/>
          <w:sz w:val="24"/>
          <w:szCs w:val="24"/>
          <w:lang w:val="sq-AL"/>
        </w:rPr>
        <w:t xml:space="preserve"> (-4.5 pik</w:t>
      </w:r>
      <w:r w:rsidR="0014609A" w:rsidRPr="005D7230">
        <w:rPr>
          <w:rFonts w:ascii="Times New Roman" w:hAnsi="Times New Roman" w:cs="Times New Roman"/>
          <w:sz w:val="24"/>
          <w:szCs w:val="24"/>
          <w:lang w:val="sq-AL"/>
        </w:rPr>
        <w:t>ë</w:t>
      </w:r>
      <w:r w:rsidR="00464590" w:rsidRPr="005D7230">
        <w:rPr>
          <w:rFonts w:ascii="Times New Roman" w:hAnsi="Times New Roman" w:cs="Times New Roman"/>
          <w:sz w:val="24"/>
          <w:szCs w:val="24"/>
          <w:lang w:val="sq-AL"/>
        </w:rPr>
        <w:t xml:space="preserve"> p</w:t>
      </w:r>
      <w:r w:rsidR="0014609A" w:rsidRPr="005D7230">
        <w:rPr>
          <w:rFonts w:ascii="Times New Roman" w:hAnsi="Times New Roman" w:cs="Times New Roman"/>
          <w:sz w:val="24"/>
          <w:szCs w:val="24"/>
          <w:lang w:val="sq-AL"/>
        </w:rPr>
        <w:t>ë</w:t>
      </w:r>
      <w:r w:rsidR="00464590" w:rsidRPr="005D7230">
        <w:rPr>
          <w:rFonts w:ascii="Times New Roman" w:hAnsi="Times New Roman" w:cs="Times New Roman"/>
          <w:sz w:val="24"/>
          <w:szCs w:val="24"/>
          <w:lang w:val="sq-AL"/>
        </w:rPr>
        <w:t>rqindjeje).</w:t>
      </w:r>
    </w:p>
    <w:p w:rsidR="004F55F5" w:rsidRPr="005D7230" w:rsidRDefault="004F55F5" w:rsidP="00E25879">
      <w:pPr>
        <w:pStyle w:val="ListParagraph"/>
        <w:numPr>
          <w:ilvl w:val="0"/>
          <w:numId w:val="1"/>
        </w:numPr>
        <w:tabs>
          <w:tab w:val="left" w:pos="1260"/>
        </w:tabs>
        <w:spacing w:after="0" w:line="240" w:lineRule="auto"/>
        <w:ind w:firstLine="540"/>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Treguesi i besimit në ndërtim (në pikë përqindje).</w:t>
      </w:r>
    </w:p>
    <w:p w:rsidR="00A07A99" w:rsidRPr="005D7230" w:rsidRDefault="00E25879" w:rsidP="001D7B2C">
      <w:pPr>
        <w:spacing w:after="0" w:line="240" w:lineRule="auto"/>
        <w:jc w:val="both"/>
        <w:rPr>
          <w:rFonts w:ascii="Times New Roman" w:hAnsi="Times New Roman" w:cs="Times New Roman"/>
          <w:sz w:val="24"/>
          <w:szCs w:val="24"/>
          <w:lang w:val="sq-AL"/>
        </w:rPr>
      </w:pPr>
      <w:r>
        <w:rPr>
          <w:rFonts w:ascii="Times New Roman" w:hAnsi="Times New Roman" w:cs="Times New Roman"/>
          <w:noProof/>
          <w:sz w:val="24"/>
          <w:szCs w:val="24"/>
        </w:rPr>
        <w:drawing>
          <wp:inline distT="0" distB="0" distL="0" distR="0" wp14:anchorId="24C89F9D" wp14:editId="3FA01D35">
            <wp:extent cx="5591175" cy="243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070" cy="2439663"/>
                    </a:xfrm>
                    <a:prstGeom prst="rect">
                      <a:avLst/>
                    </a:prstGeom>
                    <a:noFill/>
                  </pic:spPr>
                </pic:pic>
              </a:graphicData>
            </a:graphic>
          </wp:inline>
        </w:drawing>
      </w:r>
    </w:p>
    <w:p w:rsidR="00A07A99" w:rsidRPr="005D7230" w:rsidRDefault="00A07A99" w:rsidP="001D7B2C">
      <w:pPr>
        <w:spacing w:after="0" w:line="240" w:lineRule="auto"/>
        <w:jc w:val="both"/>
        <w:rPr>
          <w:rFonts w:ascii="Times New Roman" w:hAnsi="Times New Roman" w:cs="Times New Roman"/>
          <w:sz w:val="20"/>
          <w:szCs w:val="24"/>
          <w:lang w:val="sq-AL"/>
        </w:rPr>
      </w:pPr>
      <w:r w:rsidRPr="005D7230">
        <w:rPr>
          <w:rFonts w:ascii="Times New Roman" w:hAnsi="Times New Roman" w:cs="Times New Roman"/>
          <w:sz w:val="20"/>
          <w:szCs w:val="24"/>
          <w:lang w:val="sq-AL"/>
        </w:rPr>
        <w:t xml:space="preserve">Burimi: Vrojtimi i </w:t>
      </w:r>
      <w:r w:rsidR="00177517">
        <w:rPr>
          <w:rFonts w:ascii="Times New Roman" w:hAnsi="Times New Roman" w:cs="Times New Roman"/>
          <w:sz w:val="20"/>
          <w:szCs w:val="24"/>
          <w:lang w:val="sq-AL"/>
        </w:rPr>
        <w:t>b</w:t>
      </w:r>
      <w:r w:rsidRPr="005D7230">
        <w:rPr>
          <w:rFonts w:ascii="Times New Roman" w:hAnsi="Times New Roman" w:cs="Times New Roman"/>
          <w:sz w:val="20"/>
          <w:szCs w:val="24"/>
          <w:lang w:val="sq-AL"/>
        </w:rPr>
        <w:t xml:space="preserve">esimit të </w:t>
      </w:r>
      <w:r w:rsidR="00177517">
        <w:rPr>
          <w:rFonts w:ascii="Times New Roman" w:hAnsi="Times New Roman" w:cs="Times New Roman"/>
          <w:sz w:val="20"/>
          <w:szCs w:val="24"/>
          <w:lang w:val="sq-AL"/>
        </w:rPr>
        <w:t>b</w:t>
      </w:r>
      <w:r w:rsidRPr="005D7230">
        <w:rPr>
          <w:rFonts w:ascii="Times New Roman" w:hAnsi="Times New Roman" w:cs="Times New Roman"/>
          <w:sz w:val="20"/>
          <w:szCs w:val="24"/>
          <w:lang w:val="sq-AL"/>
        </w:rPr>
        <w:t>iznesit, Banka e Shqipërisë.</w:t>
      </w:r>
    </w:p>
    <w:p w:rsidR="004E6D4F" w:rsidRPr="005D7230" w:rsidRDefault="004E6D4F" w:rsidP="001D7B2C">
      <w:pPr>
        <w:spacing w:after="0" w:line="240" w:lineRule="auto"/>
        <w:jc w:val="both"/>
        <w:rPr>
          <w:rFonts w:ascii="Times New Roman" w:hAnsi="Times New Roman" w:cs="Times New Roman"/>
          <w:sz w:val="24"/>
          <w:szCs w:val="24"/>
          <w:lang w:val="sq-AL"/>
        </w:rPr>
      </w:pPr>
    </w:p>
    <w:p w:rsidR="004E6D4F" w:rsidRPr="005D7230" w:rsidRDefault="00ED11CA" w:rsidP="001D7B2C">
      <w:pPr>
        <w:spacing w:after="0" w:line="240" w:lineRule="auto"/>
        <w:jc w:val="both"/>
        <w:rPr>
          <w:rFonts w:ascii="Times New Roman" w:hAnsi="Times New Roman" w:cs="Times New Roman"/>
          <w:sz w:val="24"/>
          <w:szCs w:val="24"/>
          <w:u w:val="single"/>
          <w:lang w:val="sq-AL"/>
        </w:rPr>
      </w:pPr>
      <w:r w:rsidRPr="005D7230">
        <w:rPr>
          <w:rFonts w:ascii="Times New Roman" w:hAnsi="Times New Roman" w:cs="Times New Roman"/>
          <w:sz w:val="24"/>
          <w:szCs w:val="24"/>
          <w:u w:val="single"/>
          <w:lang w:val="sq-AL"/>
        </w:rPr>
        <w:t>N</w:t>
      </w:r>
      <w:r w:rsidR="00E60EA6"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 xml:space="preserve"> vijim, analiza e disa treguesve q</w:t>
      </w:r>
      <w:r w:rsidR="00E60EA6"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 xml:space="preserve"> nuk p</w:t>
      </w:r>
      <w:r w:rsidR="00E60EA6"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rfshihen n</w:t>
      </w:r>
      <w:r w:rsidR="00E60EA6"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 xml:space="preserve"> nd</w:t>
      </w:r>
      <w:r w:rsidR="00E60EA6"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rtimin e TBN-s</w:t>
      </w:r>
      <w:r w:rsidR="00E60EA6"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 xml:space="preserve">. </w:t>
      </w:r>
    </w:p>
    <w:p w:rsidR="00F202E2" w:rsidRPr="005D7230" w:rsidRDefault="00F202E2" w:rsidP="001D7B2C">
      <w:pPr>
        <w:spacing w:after="0" w:line="240" w:lineRule="auto"/>
        <w:jc w:val="both"/>
        <w:rPr>
          <w:rFonts w:ascii="Times New Roman" w:hAnsi="Times New Roman" w:cs="Times New Roman"/>
          <w:sz w:val="24"/>
          <w:szCs w:val="24"/>
          <w:u w:val="single"/>
          <w:lang w:val="sq-AL"/>
        </w:rPr>
      </w:pPr>
    </w:p>
    <w:p w:rsidR="00F202E2" w:rsidRPr="005D7230" w:rsidRDefault="005B6A33" w:rsidP="001D7B2C">
      <w:pPr>
        <w:spacing w:after="0" w:line="240" w:lineRule="auto"/>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Bizneset e sektorit t</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nd</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rtimit kan</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vler</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suar leht</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sisht n</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rmir</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sim </w:t>
      </w:r>
      <w:r w:rsidRPr="005D7230">
        <w:rPr>
          <w:rFonts w:ascii="Times New Roman" w:hAnsi="Times New Roman" w:cs="Times New Roman"/>
          <w:i/>
          <w:sz w:val="24"/>
          <w:szCs w:val="24"/>
          <w:lang w:val="sq-AL"/>
        </w:rPr>
        <w:t>situat</w:t>
      </w:r>
      <w:r w:rsidR="00FD7AF2"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n e p</w:t>
      </w:r>
      <w:r w:rsidR="00FD7AF2"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rgjithshme ekonomike</w:t>
      </w:r>
      <w:r w:rsidRPr="005D7230">
        <w:rPr>
          <w:rFonts w:ascii="Times New Roman" w:hAnsi="Times New Roman" w:cs="Times New Roman"/>
          <w:sz w:val="24"/>
          <w:szCs w:val="24"/>
          <w:lang w:val="sq-AL"/>
        </w:rPr>
        <w:t xml:space="preserve"> n</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vend</w:t>
      </w:r>
      <w:r w:rsidR="005406E3">
        <w:rPr>
          <w:rFonts w:ascii="Times New Roman" w:hAnsi="Times New Roman" w:cs="Times New Roman"/>
          <w:sz w:val="24"/>
          <w:szCs w:val="24"/>
          <w:lang w:val="sq-AL"/>
        </w:rPr>
        <w:t xml:space="preserve"> në tremujorin e dytë të viti</w:t>
      </w:r>
      <w:r w:rsidR="00265EEE">
        <w:rPr>
          <w:rFonts w:ascii="Times New Roman" w:hAnsi="Times New Roman" w:cs="Times New Roman"/>
          <w:sz w:val="24"/>
          <w:szCs w:val="24"/>
          <w:lang w:val="sq-AL"/>
        </w:rPr>
        <w:t>t</w:t>
      </w:r>
      <w:r w:rsidR="00842D2E">
        <w:rPr>
          <w:rFonts w:ascii="Times New Roman" w:hAnsi="Times New Roman" w:cs="Times New Roman"/>
          <w:sz w:val="24"/>
          <w:szCs w:val="24"/>
          <w:lang w:val="sq-AL"/>
        </w:rPr>
        <w:t xml:space="preserve"> dhe</w:t>
      </w:r>
      <w:r w:rsidRPr="005D7230">
        <w:rPr>
          <w:rFonts w:ascii="Times New Roman" w:hAnsi="Times New Roman" w:cs="Times New Roman"/>
          <w:sz w:val="24"/>
          <w:szCs w:val="24"/>
          <w:lang w:val="sq-AL"/>
        </w:rPr>
        <w:t xml:space="preserve"> balanca p</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rkat</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se u rrit me rreth 2.2 pik</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rqindjeje. </w:t>
      </w:r>
      <w:r w:rsidR="00D252BD">
        <w:rPr>
          <w:rFonts w:ascii="Times New Roman" w:hAnsi="Times New Roman" w:cs="Times New Roman"/>
          <w:i/>
          <w:sz w:val="24"/>
          <w:szCs w:val="24"/>
          <w:lang w:val="sq-AL"/>
        </w:rPr>
        <w:t>Gjendja</w:t>
      </w:r>
      <w:r w:rsidRPr="005D7230">
        <w:rPr>
          <w:rFonts w:ascii="Times New Roman" w:hAnsi="Times New Roman" w:cs="Times New Roman"/>
          <w:i/>
          <w:sz w:val="24"/>
          <w:szCs w:val="24"/>
          <w:lang w:val="sq-AL"/>
        </w:rPr>
        <w:t xml:space="preserve"> e p</w:t>
      </w:r>
      <w:r w:rsidR="00FD7AF2"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rgjithshme e biznesit</w:t>
      </w:r>
      <w:r w:rsidRPr="005D7230">
        <w:rPr>
          <w:rFonts w:ascii="Times New Roman" w:hAnsi="Times New Roman" w:cs="Times New Roman"/>
          <w:sz w:val="24"/>
          <w:szCs w:val="24"/>
          <w:lang w:val="sq-AL"/>
        </w:rPr>
        <w:t xml:space="preserve"> p</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 tremujorin e dyt</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vitit 2013 </w:t>
      </w:r>
      <w:r w:rsidR="00E25879">
        <w:rPr>
          <w:rFonts w:ascii="Times New Roman" w:hAnsi="Times New Roman" w:cs="Times New Roman"/>
          <w:sz w:val="24"/>
          <w:szCs w:val="24"/>
          <w:lang w:val="sq-AL"/>
        </w:rPr>
        <w:t xml:space="preserve">vijon të </w:t>
      </w:r>
      <w:r w:rsidR="00AC28DD" w:rsidRPr="005D7230">
        <w:rPr>
          <w:rFonts w:ascii="Times New Roman" w:hAnsi="Times New Roman" w:cs="Times New Roman"/>
          <w:sz w:val="24"/>
          <w:szCs w:val="24"/>
          <w:lang w:val="sq-AL"/>
        </w:rPr>
        <w:t>vler</w:t>
      </w:r>
      <w:r w:rsidR="00FD7AF2" w:rsidRPr="005D7230">
        <w:rPr>
          <w:rFonts w:ascii="Times New Roman" w:hAnsi="Times New Roman" w:cs="Times New Roman"/>
          <w:sz w:val="24"/>
          <w:szCs w:val="24"/>
          <w:lang w:val="sq-AL"/>
        </w:rPr>
        <w:t>ë</w:t>
      </w:r>
      <w:r w:rsidR="00AC28DD" w:rsidRPr="005D7230">
        <w:rPr>
          <w:rFonts w:ascii="Times New Roman" w:hAnsi="Times New Roman" w:cs="Times New Roman"/>
          <w:sz w:val="24"/>
          <w:szCs w:val="24"/>
          <w:lang w:val="sq-AL"/>
        </w:rPr>
        <w:t>sohet</w:t>
      </w:r>
      <w:r w:rsidR="00E25879">
        <w:rPr>
          <w:rFonts w:ascii="Times New Roman" w:hAnsi="Times New Roman" w:cs="Times New Roman"/>
          <w:sz w:val="24"/>
          <w:szCs w:val="24"/>
          <w:lang w:val="sq-AL"/>
        </w:rPr>
        <w:t xml:space="preserve"> negativisht</w:t>
      </w:r>
      <w:r w:rsidR="00265EEE">
        <w:rPr>
          <w:rFonts w:ascii="Times New Roman" w:hAnsi="Times New Roman" w:cs="Times New Roman"/>
          <w:sz w:val="24"/>
          <w:szCs w:val="24"/>
          <w:lang w:val="sq-AL"/>
        </w:rPr>
        <w:t xml:space="preserve"> </w:t>
      </w:r>
      <w:r w:rsidR="00E25879">
        <w:rPr>
          <w:rFonts w:ascii="Times New Roman" w:hAnsi="Times New Roman" w:cs="Times New Roman"/>
          <w:sz w:val="24"/>
          <w:szCs w:val="24"/>
          <w:lang w:val="sq-AL"/>
        </w:rPr>
        <w:t xml:space="preserve">pothuajse </w:t>
      </w:r>
      <w:r w:rsidRPr="005D7230">
        <w:rPr>
          <w:rFonts w:ascii="Times New Roman" w:hAnsi="Times New Roman" w:cs="Times New Roman"/>
          <w:sz w:val="24"/>
          <w:szCs w:val="24"/>
          <w:lang w:val="sq-AL"/>
        </w:rPr>
        <w:t>n</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nj</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jtin nivel me tremujorin e m</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parsh</w:t>
      </w:r>
      <w:r w:rsidR="00FD7AF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m.</w:t>
      </w:r>
      <w:r w:rsidR="00265EEE">
        <w:rPr>
          <w:rFonts w:ascii="Times New Roman" w:hAnsi="Times New Roman" w:cs="Times New Roman"/>
          <w:sz w:val="24"/>
          <w:szCs w:val="24"/>
          <w:lang w:val="sq-AL"/>
        </w:rPr>
        <w:t xml:space="preserve"> </w:t>
      </w:r>
      <w:r w:rsidR="00A02F1F" w:rsidRPr="005D7230">
        <w:rPr>
          <w:rFonts w:ascii="Times New Roman" w:hAnsi="Times New Roman" w:cs="Times New Roman"/>
          <w:sz w:val="24"/>
          <w:szCs w:val="24"/>
          <w:lang w:val="sq-AL"/>
        </w:rPr>
        <w:t xml:space="preserve">Gjendja e </w:t>
      </w:r>
      <w:r w:rsidR="00B933FE" w:rsidRPr="005D7230">
        <w:rPr>
          <w:rFonts w:ascii="Times New Roman" w:hAnsi="Times New Roman" w:cs="Times New Roman"/>
          <w:i/>
          <w:sz w:val="24"/>
          <w:szCs w:val="24"/>
          <w:lang w:val="sq-AL"/>
        </w:rPr>
        <w:t>inventarëve</w:t>
      </w:r>
      <w:r w:rsidR="00265EEE">
        <w:rPr>
          <w:rFonts w:ascii="Times New Roman" w:hAnsi="Times New Roman" w:cs="Times New Roman"/>
          <w:i/>
          <w:sz w:val="24"/>
          <w:szCs w:val="24"/>
          <w:lang w:val="sq-AL"/>
        </w:rPr>
        <w:t xml:space="preserve"> </w:t>
      </w:r>
      <w:r w:rsidR="00B933FE" w:rsidRPr="005D7230">
        <w:rPr>
          <w:rFonts w:ascii="Times New Roman" w:hAnsi="Times New Roman" w:cs="Times New Roman"/>
          <w:sz w:val="24"/>
          <w:szCs w:val="24"/>
          <w:lang w:val="sq-AL"/>
        </w:rPr>
        <w:t>vlerësohet</w:t>
      </w:r>
      <w:r w:rsidR="00265EEE">
        <w:rPr>
          <w:rFonts w:ascii="Times New Roman" w:hAnsi="Times New Roman" w:cs="Times New Roman"/>
          <w:sz w:val="24"/>
          <w:szCs w:val="24"/>
          <w:lang w:val="sq-AL"/>
        </w:rPr>
        <w:t xml:space="preserve"> </w:t>
      </w:r>
      <w:r w:rsidR="00B933FE" w:rsidRPr="005D7230">
        <w:rPr>
          <w:rFonts w:ascii="Times New Roman" w:hAnsi="Times New Roman" w:cs="Times New Roman"/>
          <w:sz w:val="24"/>
          <w:szCs w:val="24"/>
          <w:lang w:val="sq-AL"/>
        </w:rPr>
        <w:t>të</w:t>
      </w:r>
      <w:r w:rsidR="00265EEE">
        <w:rPr>
          <w:rFonts w:ascii="Times New Roman" w:hAnsi="Times New Roman" w:cs="Times New Roman"/>
          <w:sz w:val="24"/>
          <w:szCs w:val="24"/>
          <w:lang w:val="sq-AL"/>
        </w:rPr>
        <w:t xml:space="preserve"> </w:t>
      </w:r>
      <w:r w:rsidR="00B933FE" w:rsidRPr="005D7230">
        <w:rPr>
          <w:rFonts w:ascii="Times New Roman" w:hAnsi="Times New Roman" w:cs="Times New Roman"/>
          <w:sz w:val="24"/>
          <w:szCs w:val="24"/>
          <w:lang w:val="sq-AL"/>
        </w:rPr>
        <w:t>jetë</w:t>
      </w:r>
      <w:r w:rsidR="00A02F1F" w:rsidRPr="005D7230">
        <w:rPr>
          <w:rFonts w:ascii="Times New Roman" w:hAnsi="Times New Roman" w:cs="Times New Roman"/>
          <w:sz w:val="24"/>
          <w:szCs w:val="24"/>
          <w:lang w:val="sq-AL"/>
        </w:rPr>
        <w:t xml:space="preserve"> rritur </w:t>
      </w:r>
      <w:r w:rsidR="00E25879">
        <w:rPr>
          <w:rFonts w:ascii="Times New Roman" w:hAnsi="Times New Roman" w:cs="Times New Roman"/>
          <w:sz w:val="24"/>
          <w:szCs w:val="24"/>
          <w:lang w:val="sq-AL"/>
        </w:rPr>
        <w:t xml:space="preserve">dhe </w:t>
      </w:r>
      <w:r w:rsidR="00D252BD">
        <w:rPr>
          <w:rFonts w:ascii="Times New Roman" w:hAnsi="Times New Roman" w:cs="Times New Roman"/>
          <w:sz w:val="24"/>
          <w:szCs w:val="24"/>
          <w:lang w:val="sq-AL"/>
        </w:rPr>
        <w:t>bizneset</w:t>
      </w:r>
      <w:r w:rsidR="00E25879">
        <w:rPr>
          <w:rFonts w:ascii="Times New Roman" w:hAnsi="Times New Roman" w:cs="Times New Roman"/>
          <w:sz w:val="24"/>
          <w:szCs w:val="24"/>
          <w:lang w:val="sq-AL"/>
        </w:rPr>
        <w:t xml:space="preserve"> në këtë sektor </w:t>
      </w:r>
      <w:r w:rsidR="00E25879" w:rsidRPr="005D7230">
        <w:rPr>
          <w:rFonts w:ascii="Times New Roman" w:hAnsi="Times New Roman" w:cs="Times New Roman"/>
          <w:sz w:val="24"/>
          <w:szCs w:val="24"/>
          <w:lang w:val="sq-AL"/>
        </w:rPr>
        <w:t>vlerës</w:t>
      </w:r>
      <w:r w:rsidR="00E25879">
        <w:rPr>
          <w:rFonts w:ascii="Times New Roman" w:hAnsi="Times New Roman" w:cs="Times New Roman"/>
          <w:sz w:val="24"/>
          <w:szCs w:val="24"/>
          <w:lang w:val="sq-AL"/>
        </w:rPr>
        <w:t xml:space="preserve">uan </w:t>
      </w:r>
      <w:r w:rsidR="00A02F1F" w:rsidRPr="005D7230">
        <w:rPr>
          <w:rFonts w:ascii="Times New Roman" w:hAnsi="Times New Roman" w:cs="Times New Roman"/>
          <w:sz w:val="24"/>
          <w:szCs w:val="24"/>
          <w:lang w:val="sq-AL"/>
        </w:rPr>
        <w:t>negativ</w:t>
      </w:r>
      <w:r w:rsidR="00E25879">
        <w:rPr>
          <w:rFonts w:ascii="Times New Roman" w:hAnsi="Times New Roman" w:cs="Times New Roman"/>
          <w:sz w:val="24"/>
          <w:szCs w:val="24"/>
          <w:lang w:val="sq-AL"/>
        </w:rPr>
        <w:t>isht</w:t>
      </w:r>
      <w:r w:rsidR="00265EEE">
        <w:rPr>
          <w:rFonts w:ascii="Times New Roman" w:hAnsi="Times New Roman" w:cs="Times New Roman"/>
          <w:sz w:val="24"/>
          <w:szCs w:val="24"/>
          <w:lang w:val="sq-AL"/>
        </w:rPr>
        <w:t xml:space="preserve"> </w:t>
      </w:r>
      <w:r w:rsidR="00E25879" w:rsidRPr="00E25879">
        <w:rPr>
          <w:rFonts w:ascii="Times New Roman" w:hAnsi="Times New Roman" w:cs="Times New Roman"/>
          <w:i/>
          <w:sz w:val="24"/>
          <w:szCs w:val="24"/>
          <w:lang w:val="sq-AL"/>
        </w:rPr>
        <w:t xml:space="preserve">gjendjen e </w:t>
      </w:r>
      <w:r w:rsidR="00D252BD" w:rsidRPr="00E25879">
        <w:rPr>
          <w:rFonts w:ascii="Times New Roman" w:hAnsi="Times New Roman" w:cs="Times New Roman"/>
          <w:i/>
          <w:sz w:val="24"/>
          <w:szCs w:val="24"/>
          <w:lang w:val="sq-AL"/>
        </w:rPr>
        <w:t>tyre</w:t>
      </w:r>
      <w:r w:rsidR="00A02F1F" w:rsidRPr="005D7230">
        <w:rPr>
          <w:rFonts w:ascii="Times New Roman" w:hAnsi="Times New Roman" w:cs="Times New Roman"/>
          <w:i/>
          <w:sz w:val="24"/>
          <w:szCs w:val="24"/>
          <w:lang w:val="sq-AL"/>
        </w:rPr>
        <w:t xml:space="preserve"> financiare</w:t>
      </w:r>
      <w:r w:rsidR="00A02F1F" w:rsidRPr="005D7230">
        <w:rPr>
          <w:rFonts w:ascii="Times New Roman" w:hAnsi="Times New Roman" w:cs="Times New Roman"/>
          <w:sz w:val="24"/>
          <w:szCs w:val="24"/>
          <w:lang w:val="sq-AL"/>
        </w:rPr>
        <w:t xml:space="preserve">. </w:t>
      </w:r>
    </w:p>
    <w:p w:rsidR="00144A94" w:rsidRPr="005D7230" w:rsidRDefault="00144A94" w:rsidP="001D7B2C">
      <w:pPr>
        <w:spacing w:after="0" w:line="240" w:lineRule="auto"/>
        <w:jc w:val="both"/>
        <w:rPr>
          <w:rFonts w:ascii="Times New Roman" w:hAnsi="Times New Roman" w:cs="Times New Roman"/>
          <w:sz w:val="24"/>
          <w:szCs w:val="24"/>
          <w:lang w:val="sq-AL"/>
        </w:rPr>
      </w:pPr>
    </w:p>
    <w:p w:rsidR="00144A94" w:rsidRPr="005D7230" w:rsidRDefault="00144A94" w:rsidP="001D7B2C">
      <w:pPr>
        <w:spacing w:after="0" w:line="240" w:lineRule="auto"/>
        <w:jc w:val="both"/>
        <w:rPr>
          <w:rFonts w:ascii="Times New Roman" w:hAnsi="Times New Roman" w:cs="Times New Roman"/>
          <w:sz w:val="24"/>
          <w:szCs w:val="24"/>
          <w:lang w:val="sq-AL"/>
        </w:rPr>
      </w:pPr>
      <w:r w:rsidRPr="005D7230">
        <w:rPr>
          <w:rFonts w:ascii="Times New Roman" w:hAnsi="Times New Roman" w:cs="Times New Roman"/>
          <w:i/>
          <w:sz w:val="24"/>
          <w:szCs w:val="24"/>
          <w:lang w:val="sq-AL"/>
        </w:rPr>
        <w:t>Çmimet e prodhimit</w:t>
      </w:r>
      <w:r w:rsidRPr="005D7230">
        <w:rPr>
          <w:rFonts w:ascii="Times New Roman" w:hAnsi="Times New Roman" w:cs="Times New Roman"/>
          <w:sz w:val="24"/>
          <w:szCs w:val="24"/>
          <w:lang w:val="sq-AL"/>
        </w:rPr>
        <w:t xml:space="preserve"> në nd</w:t>
      </w:r>
      <w:r w:rsidR="00B933FE"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rtim</w:t>
      </w:r>
      <w:r w:rsidR="00842D2E">
        <w:rPr>
          <w:rFonts w:ascii="Times New Roman" w:hAnsi="Times New Roman" w:cs="Times New Roman"/>
          <w:sz w:val="24"/>
          <w:szCs w:val="24"/>
          <w:lang w:val="sq-AL"/>
        </w:rPr>
        <w:t xml:space="preserve"> janë vlerësuar në</w:t>
      </w:r>
      <w:r w:rsidRPr="005D7230">
        <w:rPr>
          <w:rFonts w:ascii="Times New Roman" w:hAnsi="Times New Roman" w:cs="Times New Roman"/>
          <w:sz w:val="24"/>
          <w:szCs w:val="24"/>
          <w:lang w:val="sq-AL"/>
        </w:rPr>
        <w:t xml:space="preserve"> r</w:t>
      </w:r>
      <w:r w:rsidR="00B933FE"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w:t>
      </w:r>
      <w:r w:rsidR="00842D2E">
        <w:rPr>
          <w:rFonts w:ascii="Times New Roman" w:hAnsi="Times New Roman" w:cs="Times New Roman"/>
          <w:sz w:val="24"/>
          <w:szCs w:val="24"/>
          <w:lang w:val="sq-AL"/>
        </w:rPr>
        <w:t>ie</w:t>
      </w:r>
      <w:r w:rsidR="00B933FE" w:rsidRPr="005D7230">
        <w:rPr>
          <w:rFonts w:ascii="Times New Roman" w:hAnsi="Times New Roman" w:cs="Times New Roman"/>
          <w:sz w:val="24"/>
          <w:szCs w:val="24"/>
          <w:lang w:val="sq-AL"/>
        </w:rPr>
        <w:t xml:space="preserve"> në tremujorin aktual</w:t>
      </w:r>
      <w:r w:rsidR="00917C6C">
        <w:rPr>
          <w:rFonts w:ascii="Times New Roman" w:hAnsi="Times New Roman" w:cs="Times New Roman"/>
          <w:sz w:val="24"/>
          <w:szCs w:val="24"/>
          <w:lang w:val="sq-AL"/>
        </w:rPr>
        <w:t xml:space="preserve"> dhe e </w:t>
      </w:r>
      <w:r w:rsidR="00842D2E">
        <w:rPr>
          <w:rFonts w:ascii="Times New Roman" w:hAnsi="Times New Roman" w:cs="Times New Roman"/>
          <w:sz w:val="24"/>
          <w:szCs w:val="24"/>
          <w:lang w:val="sq-AL"/>
        </w:rPr>
        <w:t xml:space="preserve">njëjta tendencë </w:t>
      </w:r>
      <w:r w:rsidRPr="005D7230">
        <w:rPr>
          <w:rFonts w:ascii="Times New Roman" w:hAnsi="Times New Roman" w:cs="Times New Roman"/>
          <w:sz w:val="24"/>
          <w:szCs w:val="24"/>
          <w:lang w:val="sq-AL"/>
        </w:rPr>
        <w:t>pritet t</w:t>
      </w:r>
      <w:r w:rsidR="00B933FE"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w:t>
      </w:r>
      <w:r w:rsidR="00842D2E">
        <w:rPr>
          <w:rFonts w:ascii="Times New Roman" w:hAnsi="Times New Roman" w:cs="Times New Roman"/>
          <w:sz w:val="24"/>
          <w:szCs w:val="24"/>
          <w:lang w:val="sq-AL"/>
        </w:rPr>
        <w:t>vijojë</w:t>
      </w:r>
      <w:r w:rsidR="00842D2E" w:rsidRPr="005D7230">
        <w:rPr>
          <w:rFonts w:ascii="Times New Roman" w:hAnsi="Times New Roman" w:cs="Times New Roman"/>
          <w:sz w:val="24"/>
          <w:szCs w:val="24"/>
          <w:lang w:val="sq-AL"/>
        </w:rPr>
        <w:t xml:space="preserve"> </w:t>
      </w:r>
      <w:r w:rsidRPr="005D7230">
        <w:rPr>
          <w:rFonts w:ascii="Times New Roman" w:hAnsi="Times New Roman" w:cs="Times New Roman"/>
          <w:sz w:val="24"/>
          <w:szCs w:val="24"/>
          <w:lang w:val="sq-AL"/>
        </w:rPr>
        <w:t>dhe n</w:t>
      </w:r>
      <w:r w:rsidR="00B933FE"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tremujorin e ardhsh</w:t>
      </w:r>
      <w:r w:rsidR="00B933FE"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m.</w:t>
      </w:r>
      <w:r w:rsidR="00917C6C">
        <w:rPr>
          <w:rFonts w:ascii="Times New Roman" w:hAnsi="Times New Roman" w:cs="Times New Roman"/>
          <w:sz w:val="24"/>
          <w:szCs w:val="24"/>
          <w:lang w:val="sq-AL"/>
        </w:rPr>
        <w:t xml:space="preserve"> Ndërkohë, </w:t>
      </w:r>
      <w:r w:rsidR="00917C6C">
        <w:rPr>
          <w:rFonts w:ascii="Times New Roman" w:hAnsi="Times New Roman" w:cs="Times New Roman"/>
          <w:i/>
          <w:sz w:val="24"/>
          <w:szCs w:val="24"/>
          <w:lang w:val="sq-AL"/>
        </w:rPr>
        <w:t>k</w:t>
      </w:r>
      <w:r w:rsidR="001F5033">
        <w:rPr>
          <w:rFonts w:ascii="Times New Roman" w:hAnsi="Times New Roman" w:cs="Times New Roman"/>
          <w:i/>
          <w:sz w:val="24"/>
          <w:szCs w:val="24"/>
          <w:lang w:val="sq-AL"/>
        </w:rPr>
        <w:t xml:space="preserve">ërkesa </w:t>
      </w:r>
      <w:r w:rsidR="001F5033">
        <w:rPr>
          <w:rFonts w:ascii="Times New Roman" w:hAnsi="Times New Roman" w:cs="Times New Roman"/>
          <w:sz w:val="24"/>
          <w:szCs w:val="24"/>
          <w:lang w:val="sq-AL"/>
        </w:rPr>
        <w:t xml:space="preserve">në sektorin e ndërtimit pritet të rritet </w:t>
      </w:r>
      <w:r w:rsidR="00917C6C">
        <w:rPr>
          <w:rFonts w:ascii="Times New Roman" w:hAnsi="Times New Roman" w:cs="Times New Roman"/>
          <w:sz w:val="24"/>
          <w:szCs w:val="24"/>
          <w:lang w:val="sq-AL"/>
        </w:rPr>
        <w:t xml:space="preserve">gjatë </w:t>
      </w:r>
      <w:r w:rsidRPr="005D7230">
        <w:rPr>
          <w:rFonts w:ascii="Times New Roman" w:hAnsi="Times New Roman" w:cs="Times New Roman"/>
          <w:sz w:val="24"/>
          <w:szCs w:val="24"/>
          <w:lang w:val="sq-AL"/>
        </w:rPr>
        <w:t>tremujori</w:t>
      </w:r>
      <w:r w:rsidR="00917C6C">
        <w:rPr>
          <w:rFonts w:ascii="Times New Roman" w:hAnsi="Times New Roman" w:cs="Times New Roman"/>
          <w:sz w:val="24"/>
          <w:szCs w:val="24"/>
          <w:lang w:val="sq-AL"/>
        </w:rPr>
        <w:t>t të</w:t>
      </w:r>
      <w:r w:rsidRPr="005D7230">
        <w:rPr>
          <w:rFonts w:ascii="Times New Roman" w:hAnsi="Times New Roman" w:cs="Times New Roman"/>
          <w:sz w:val="24"/>
          <w:szCs w:val="24"/>
          <w:lang w:val="sq-AL"/>
        </w:rPr>
        <w:t xml:space="preserve"> tret</w:t>
      </w:r>
      <w:r w:rsidR="00B933FE"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B933FE"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vitit 2013.</w:t>
      </w:r>
    </w:p>
    <w:p w:rsidR="00455AF7" w:rsidRPr="005D7230" w:rsidRDefault="00455AF7" w:rsidP="001D7B2C">
      <w:pPr>
        <w:spacing w:after="0" w:line="240" w:lineRule="auto"/>
        <w:jc w:val="both"/>
        <w:rPr>
          <w:rFonts w:ascii="Times New Roman" w:hAnsi="Times New Roman" w:cs="Times New Roman"/>
          <w:sz w:val="24"/>
          <w:szCs w:val="24"/>
          <w:lang w:val="sq-AL"/>
        </w:rPr>
      </w:pPr>
    </w:p>
    <w:p w:rsidR="00455AF7" w:rsidRPr="005D7230" w:rsidRDefault="00455AF7" w:rsidP="001D7B2C">
      <w:pPr>
        <w:spacing w:after="0" w:line="240" w:lineRule="auto"/>
        <w:jc w:val="both"/>
        <w:rPr>
          <w:rFonts w:ascii="Times New Roman" w:hAnsi="Times New Roman" w:cs="Times New Roman"/>
          <w:sz w:val="24"/>
          <w:szCs w:val="24"/>
          <w:lang w:val="sq-AL"/>
        </w:rPr>
      </w:pPr>
      <w:r w:rsidRPr="005D7230">
        <w:rPr>
          <w:rFonts w:ascii="Times New Roman" w:hAnsi="Times New Roman" w:cs="Times New Roman"/>
          <w:i/>
          <w:sz w:val="24"/>
          <w:szCs w:val="24"/>
          <w:lang w:val="sq-AL"/>
        </w:rPr>
        <w:t>Norma e shfryt</w:t>
      </w:r>
      <w:r w:rsidR="003B7076"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zimit t</w:t>
      </w:r>
      <w:r w:rsidR="003B7076"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 xml:space="preserve"> kapaciteteve</w:t>
      </w:r>
      <w:r w:rsidRPr="005D7230">
        <w:rPr>
          <w:rFonts w:ascii="Times New Roman" w:hAnsi="Times New Roman" w:cs="Times New Roman"/>
          <w:sz w:val="24"/>
          <w:szCs w:val="24"/>
          <w:lang w:val="sq-AL"/>
        </w:rPr>
        <w:t xml:space="preserve"> prodhuese n</w:t>
      </w:r>
      <w:r w:rsidR="003B707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sektorin e nd</w:t>
      </w:r>
      <w:r w:rsidR="003B7076" w:rsidRPr="005D7230">
        <w:rPr>
          <w:rFonts w:ascii="Times New Roman" w:hAnsi="Times New Roman" w:cs="Times New Roman"/>
          <w:sz w:val="24"/>
          <w:szCs w:val="24"/>
          <w:lang w:val="sq-AL"/>
        </w:rPr>
        <w:t>ë</w:t>
      </w:r>
      <w:r w:rsidR="007C34BE">
        <w:rPr>
          <w:rFonts w:ascii="Times New Roman" w:hAnsi="Times New Roman" w:cs="Times New Roman"/>
          <w:sz w:val="24"/>
          <w:szCs w:val="24"/>
          <w:lang w:val="sq-AL"/>
        </w:rPr>
        <w:t xml:space="preserve">rtimit rezultoi rreth </w:t>
      </w:r>
      <w:r w:rsidR="004F6DE0">
        <w:rPr>
          <w:rFonts w:ascii="Times New Roman" w:hAnsi="Times New Roman" w:cs="Times New Roman"/>
          <w:sz w:val="24"/>
          <w:szCs w:val="24"/>
          <w:lang w:val="sq-AL"/>
        </w:rPr>
        <w:t>61.0</w:t>
      </w:r>
      <w:r w:rsidR="007C34BE">
        <w:rPr>
          <w:rFonts w:ascii="Times New Roman" w:hAnsi="Times New Roman" w:cs="Times New Roman"/>
          <w:sz w:val="24"/>
          <w:szCs w:val="24"/>
          <w:lang w:val="sq-AL"/>
        </w:rPr>
        <w:t>%. K</w:t>
      </w:r>
      <w:r w:rsidRPr="005D7230">
        <w:rPr>
          <w:rFonts w:ascii="Times New Roman" w:hAnsi="Times New Roman" w:cs="Times New Roman"/>
          <w:sz w:val="24"/>
          <w:szCs w:val="24"/>
          <w:lang w:val="sq-AL"/>
        </w:rPr>
        <w:t>jo norm</w:t>
      </w:r>
      <w:r w:rsidR="003B707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rezultoi rreth </w:t>
      </w:r>
      <w:r w:rsidR="004F6DE0">
        <w:rPr>
          <w:rFonts w:ascii="Times New Roman" w:hAnsi="Times New Roman" w:cs="Times New Roman"/>
          <w:sz w:val="24"/>
          <w:szCs w:val="24"/>
          <w:lang w:val="sq-AL"/>
        </w:rPr>
        <w:t>2.6</w:t>
      </w:r>
      <w:r w:rsidRPr="005D7230">
        <w:rPr>
          <w:rFonts w:ascii="Times New Roman" w:hAnsi="Times New Roman" w:cs="Times New Roman"/>
          <w:sz w:val="24"/>
          <w:szCs w:val="24"/>
          <w:lang w:val="sq-AL"/>
        </w:rPr>
        <w:t xml:space="preserve"> pik</w:t>
      </w:r>
      <w:r w:rsidR="003B707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3B707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rqindjeje m</w:t>
      </w:r>
      <w:r w:rsidR="003B707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e lart</w:t>
      </w:r>
      <w:r w:rsidR="003B707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krahasuar me tremujorin e m</w:t>
      </w:r>
      <w:r w:rsidR="003B707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parsh</w:t>
      </w:r>
      <w:r w:rsidR="003B707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m dhe rreth </w:t>
      </w:r>
      <w:r w:rsidR="004F6DE0">
        <w:rPr>
          <w:rFonts w:ascii="Times New Roman" w:hAnsi="Times New Roman" w:cs="Times New Roman"/>
          <w:sz w:val="24"/>
          <w:szCs w:val="24"/>
          <w:lang w:val="sq-AL"/>
        </w:rPr>
        <w:t>5.6</w:t>
      </w:r>
      <w:r w:rsidRPr="005D7230">
        <w:rPr>
          <w:rFonts w:ascii="Times New Roman" w:hAnsi="Times New Roman" w:cs="Times New Roman"/>
          <w:sz w:val="24"/>
          <w:szCs w:val="24"/>
          <w:lang w:val="sq-AL"/>
        </w:rPr>
        <w:t xml:space="preserve"> pik</w:t>
      </w:r>
      <w:r w:rsidR="003B707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3B7076"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w:t>
      </w:r>
      <w:r w:rsidR="00374BC2" w:rsidRPr="005D7230">
        <w:rPr>
          <w:rFonts w:ascii="Times New Roman" w:hAnsi="Times New Roman" w:cs="Times New Roman"/>
          <w:sz w:val="24"/>
          <w:szCs w:val="24"/>
          <w:lang w:val="sq-AL"/>
        </w:rPr>
        <w:t>qindje n</w:t>
      </w:r>
      <w:r w:rsidR="003B7076" w:rsidRPr="005D7230">
        <w:rPr>
          <w:rFonts w:ascii="Times New Roman" w:hAnsi="Times New Roman" w:cs="Times New Roman"/>
          <w:sz w:val="24"/>
          <w:szCs w:val="24"/>
          <w:lang w:val="sq-AL"/>
        </w:rPr>
        <w:t>ë</w:t>
      </w:r>
      <w:r w:rsidR="00374BC2" w:rsidRPr="005D7230">
        <w:rPr>
          <w:rFonts w:ascii="Times New Roman" w:hAnsi="Times New Roman" w:cs="Times New Roman"/>
          <w:sz w:val="24"/>
          <w:szCs w:val="24"/>
          <w:lang w:val="sq-AL"/>
        </w:rPr>
        <w:t>n mesataren historike.</w:t>
      </w:r>
      <w:r w:rsidR="00265EEE">
        <w:rPr>
          <w:rFonts w:ascii="Times New Roman" w:hAnsi="Times New Roman" w:cs="Times New Roman"/>
          <w:sz w:val="24"/>
          <w:szCs w:val="24"/>
          <w:lang w:val="sq-AL"/>
        </w:rPr>
        <w:t xml:space="preserve"> </w:t>
      </w:r>
      <w:r w:rsidR="00C74CF8" w:rsidRPr="005D7230">
        <w:rPr>
          <w:rFonts w:ascii="Times New Roman" w:hAnsi="Times New Roman" w:cs="Times New Roman"/>
          <w:i/>
          <w:sz w:val="24"/>
          <w:szCs w:val="24"/>
          <w:lang w:val="sq-AL"/>
        </w:rPr>
        <w:t>Pamjaftueshm</w:t>
      </w:r>
      <w:r w:rsidR="00DC64B8" w:rsidRPr="005D7230">
        <w:rPr>
          <w:rFonts w:ascii="Times New Roman" w:hAnsi="Times New Roman" w:cs="Times New Roman"/>
          <w:i/>
          <w:sz w:val="24"/>
          <w:szCs w:val="24"/>
          <w:lang w:val="sq-AL"/>
        </w:rPr>
        <w:t>ë</w:t>
      </w:r>
      <w:r w:rsidR="00C74CF8" w:rsidRPr="005D7230">
        <w:rPr>
          <w:rFonts w:ascii="Times New Roman" w:hAnsi="Times New Roman" w:cs="Times New Roman"/>
          <w:i/>
          <w:sz w:val="24"/>
          <w:szCs w:val="24"/>
          <w:lang w:val="sq-AL"/>
        </w:rPr>
        <w:t>ria e k</w:t>
      </w:r>
      <w:r w:rsidR="00DC64B8" w:rsidRPr="005D7230">
        <w:rPr>
          <w:rFonts w:ascii="Times New Roman" w:hAnsi="Times New Roman" w:cs="Times New Roman"/>
          <w:i/>
          <w:sz w:val="24"/>
          <w:szCs w:val="24"/>
          <w:lang w:val="sq-AL"/>
        </w:rPr>
        <w:t>ë</w:t>
      </w:r>
      <w:r w:rsidR="00C74CF8" w:rsidRPr="005D7230">
        <w:rPr>
          <w:rFonts w:ascii="Times New Roman" w:hAnsi="Times New Roman" w:cs="Times New Roman"/>
          <w:i/>
          <w:sz w:val="24"/>
          <w:szCs w:val="24"/>
          <w:lang w:val="sq-AL"/>
        </w:rPr>
        <w:t>rkes</w:t>
      </w:r>
      <w:r w:rsidR="00DC64B8" w:rsidRPr="005D7230">
        <w:rPr>
          <w:rFonts w:ascii="Times New Roman" w:hAnsi="Times New Roman" w:cs="Times New Roman"/>
          <w:i/>
          <w:sz w:val="24"/>
          <w:szCs w:val="24"/>
          <w:lang w:val="sq-AL"/>
        </w:rPr>
        <w:t>ë</w:t>
      </w:r>
      <w:r w:rsidR="00C74CF8" w:rsidRPr="005D7230">
        <w:rPr>
          <w:rFonts w:ascii="Times New Roman" w:hAnsi="Times New Roman" w:cs="Times New Roman"/>
          <w:i/>
          <w:sz w:val="24"/>
          <w:szCs w:val="24"/>
          <w:lang w:val="sq-AL"/>
        </w:rPr>
        <w:t>s</w:t>
      </w:r>
      <w:r w:rsidR="00C74CF8" w:rsidRPr="005D7230">
        <w:rPr>
          <w:rFonts w:ascii="Times New Roman" w:hAnsi="Times New Roman" w:cs="Times New Roman"/>
          <w:sz w:val="24"/>
          <w:szCs w:val="24"/>
          <w:lang w:val="sq-AL"/>
        </w:rPr>
        <w:t xml:space="preserve"> vler</w:t>
      </w:r>
      <w:r w:rsidR="00DC64B8" w:rsidRPr="005D7230">
        <w:rPr>
          <w:rFonts w:ascii="Times New Roman" w:hAnsi="Times New Roman" w:cs="Times New Roman"/>
          <w:sz w:val="24"/>
          <w:szCs w:val="24"/>
          <w:lang w:val="sq-AL"/>
        </w:rPr>
        <w:t>ë</w:t>
      </w:r>
      <w:r w:rsidR="00C74CF8" w:rsidRPr="005D7230">
        <w:rPr>
          <w:rFonts w:ascii="Times New Roman" w:hAnsi="Times New Roman" w:cs="Times New Roman"/>
          <w:sz w:val="24"/>
          <w:szCs w:val="24"/>
          <w:lang w:val="sq-AL"/>
        </w:rPr>
        <w:t>sohet si faktori me ndikimin m</w:t>
      </w:r>
      <w:r w:rsidR="00DC64B8" w:rsidRPr="005D7230">
        <w:rPr>
          <w:rFonts w:ascii="Times New Roman" w:hAnsi="Times New Roman" w:cs="Times New Roman"/>
          <w:sz w:val="24"/>
          <w:szCs w:val="24"/>
          <w:lang w:val="sq-AL"/>
        </w:rPr>
        <w:t>ë</w:t>
      </w:r>
      <w:r w:rsidR="00C74CF8" w:rsidRPr="005D7230">
        <w:rPr>
          <w:rFonts w:ascii="Times New Roman" w:hAnsi="Times New Roman" w:cs="Times New Roman"/>
          <w:sz w:val="24"/>
          <w:szCs w:val="24"/>
          <w:lang w:val="sq-AL"/>
        </w:rPr>
        <w:t xml:space="preserve"> t</w:t>
      </w:r>
      <w:r w:rsidR="00DC64B8" w:rsidRPr="005D7230">
        <w:rPr>
          <w:rFonts w:ascii="Times New Roman" w:hAnsi="Times New Roman" w:cs="Times New Roman"/>
          <w:sz w:val="24"/>
          <w:szCs w:val="24"/>
          <w:lang w:val="sq-AL"/>
        </w:rPr>
        <w:t>ë</w:t>
      </w:r>
      <w:r w:rsidR="00C74CF8" w:rsidRPr="005D7230">
        <w:rPr>
          <w:rFonts w:ascii="Times New Roman" w:hAnsi="Times New Roman" w:cs="Times New Roman"/>
          <w:sz w:val="24"/>
          <w:szCs w:val="24"/>
          <w:lang w:val="sq-AL"/>
        </w:rPr>
        <w:t xml:space="preserve"> madh n</w:t>
      </w:r>
      <w:r w:rsidR="00DC64B8" w:rsidRPr="005D7230">
        <w:rPr>
          <w:rFonts w:ascii="Times New Roman" w:hAnsi="Times New Roman" w:cs="Times New Roman"/>
          <w:sz w:val="24"/>
          <w:szCs w:val="24"/>
          <w:lang w:val="sq-AL"/>
        </w:rPr>
        <w:t>ë</w:t>
      </w:r>
      <w:r w:rsidR="00C74CF8" w:rsidRPr="005D7230">
        <w:rPr>
          <w:rFonts w:ascii="Times New Roman" w:hAnsi="Times New Roman" w:cs="Times New Roman"/>
          <w:sz w:val="24"/>
          <w:szCs w:val="24"/>
          <w:lang w:val="sq-AL"/>
        </w:rPr>
        <w:t xml:space="preserve"> nivelin aktual t</w:t>
      </w:r>
      <w:r w:rsidR="00DC64B8" w:rsidRPr="005D7230">
        <w:rPr>
          <w:rFonts w:ascii="Times New Roman" w:hAnsi="Times New Roman" w:cs="Times New Roman"/>
          <w:sz w:val="24"/>
          <w:szCs w:val="24"/>
          <w:lang w:val="sq-AL"/>
        </w:rPr>
        <w:t>ë</w:t>
      </w:r>
      <w:r w:rsidR="00265EEE">
        <w:rPr>
          <w:rFonts w:ascii="Times New Roman" w:hAnsi="Times New Roman" w:cs="Times New Roman"/>
          <w:sz w:val="24"/>
          <w:szCs w:val="24"/>
          <w:lang w:val="sq-AL"/>
        </w:rPr>
        <w:t xml:space="preserve"> </w:t>
      </w:r>
      <w:r w:rsidR="00DC64B8" w:rsidRPr="005D7230">
        <w:rPr>
          <w:rFonts w:ascii="Times New Roman" w:hAnsi="Times New Roman" w:cs="Times New Roman"/>
          <w:sz w:val="24"/>
          <w:szCs w:val="24"/>
          <w:lang w:val="sq-AL"/>
        </w:rPr>
        <w:t>shfrytëzimit</w:t>
      </w:r>
      <w:r w:rsidR="00C74CF8" w:rsidRPr="005D7230">
        <w:rPr>
          <w:rFonts w:ascii="Times New Roman" w:hAnsi="Times New Roman" w:cs="Times New Roman"/>
          <w:sz w:val="24"/>
          <w:szCs w:val="24"/>
          <w:lang w:val="sq-AL"/>
        </w:rPr>
        <w:t xml:space="preserve"> t</w:t>
      </w:r>
      <w:r w:rsidR="00DC64B8" w:rsidRPr="005D7230">
        <w:rPr>
          <w:rFonts w:ascii="Times New Roman" w:hAnsi="Times New Roman" w:cs="Times New Roman"/>
          <w:sz w:val="24"/>
          <w:szCs w:val="24"/>
          <w:lang w:val="sq-AL"/>
        </w:rPr>
        <w:t>ë</w:t>
      </w:r>
      <w:r w:rsidR="00C74CF8" w:rsidRPr="005D7230">
        <w:rPr>
          <w:rFonts w:ascii="Times New Roman" w:hAnsi="Times New Roman" w:cs="Times New Roman"/>
          <w:sz w:val="24"/>
          <w:szCs w:val="24"/>
          <w:lang w:val="sq-AL"/>
        </w:rPr>
        <w:t xml:space="preserve"> kapaciteteve n</w:t>
      </w:r>
      <w:r w:rsidR="00DC64B8" w:rsidRPr="005D7230">
        <w:rPr>
          <w:rFonts w:ascii="Times New Roman" w:hAnsi="Times New Roman" w:cs="Times New Roman"/>
          <w:sz w:val="24"/>
          <w:szCs w:val="24"/>
          <w:lang w:val="sq-AL"/>
        </w:rPr>
        <w:t>ë</w:t>
      </w:r>
      <w:r w:rsidR="00C74CF8" w:rsidRPr="005D7230">
        <w:rPr>
          <w:rFonts w:ascii="Times New Roman" w:hAnsi="Times New Roman" w:cs="Times New Roman"/>
          <w:sz w:val="24"/>
          <w:szCs w:val="24"/>
          <w:lang w:val="sq-AL"/>
        </w:rPr>
        <w:t xml:space="preserve"> k</w:t>
      </w:r>
      <w:r w:rsidR="00DC64B8" w:rsidRPr="005D7230">
        <w:rPr>
          <w:rFonts w:ascii="Times New Roman" w:hAnsi="Times New Roman" w:cs="Times New Roman"/>
          <w:sz w:val="24"/>
          <w:szCs w:val="24"/>
          <w:lang w:val="sq-AL"/>
        </w:rPr>
        <w:t>ë</w:t>
      </w:r>
      <w:r w:rsidR="00C74CF8" w:rsidRPr="005D7230">
        <w:rPr>
          <w:rFonts w:ascii="Times New Roman" w:hAnsi="Times New Roman" w:cs="Times New Roman"/>
          <w:sz w:val="24"/>
          <w:szCs w:val="24"/>
          <w:lang w:val="sq-AL"/>
        </w:rPr>
        <w:t>t</w:t>
      </w:r>
      <w:r w:rsidR="00DC64B8" w:rsidRPr="005D7230">
        <w:rPr>
          <w:rFonts w:ascii="Times New Roman" w:hAnsi="Times New Roman" w:cs="Times New Roman"/>
          <w:sz w:val="24"/>
          <w:szCs w:val="24"/>
          <w:lang w:val="sq-AL"/>
        </w:rPr>
        <w:t>ë</w:t>
      </w:r>
      <w:r w:rsidR="00C74CF8" w:rsidRPr="005D7230">
        <w:rPr>
          <w:rFonts w:ascii="Times New Roman" w:hAnsi="Times New Roman" w:cs="Times New Roman"/>
          <w:sz w:val="24"/>
          <w:szCs w:val="24"/>
          <w:lang w:val="sq-AL"/>
        </w:rPr>
        <w:t xml:space="preserve"> sektor. </w:t>
      </w:r>
    </w:p>
    <w:p w:rsidR="005406E3" w:rsidRDefault="005406E3" w:rsidP="001D7B2C">
      <w:pPr>
        <w:spacing w:after="0" w:line="240" w:lineRule="auto"/>
        <w:jc w:val="both"/>
        <w:rPr>
          <w:rFonts w:ascii="Times New Roman" w:hAnsi="Times New Roman" w:cs="Times New Roman"/>
          <w:b/>
          <w:sz w:val="24"/>
          <w:szCs w:val="24"/>
          <w:lang w:val="sq-AL"/>
        </w:rPr>
      </w:pPr>
    </w:p>
    <w:p w:rsidR="005406E3" w:rsidRDefault="005406E3" w:rsidP="001D7B2C">
      <w:pPr>
        <w:spacing w:after="0" w:line="240" w:lineRule="auto"/>
        <w:jc w:val="both"/>
        <w:rPr>
          <w:rFonts w:ascii="Times New Roman" w:hAnsi="Times New Roman" w:cs="Times New Roman"/>
          <w:b/>
          <w:sz w:val="24"/>
          <w:szCs w:val="24"/>
          <w:lang w:val="sq-AL"/>
        </w:rPr>
      </w:pPr>
    </w:p>
    <w:p w:rsidR="00C74CF8" w:rsidRPr="005D7230" w:rsidRDefault="00764913" w:rsidP="001D7B2C">
      <w:pPr>
        <w:spacing w:after="0" w:line="240" w:lineRule="auto"/>
        <w:jc w:val="both"/>
        <w:rPr>
          <w:rFonts w:ascii="Times New Roman" w:hAnsi="Times New Roman" w:cs="Times New Roman"/>
          <w:b/>
          <w:sz w:val="24"/>
          <w:szCs w:val="24"/>
          <w:lang w:val="sq-AL"/>
        </w:rPr>
      </w:pPr>
      <w:r w:rsidRPr="005D7230">
        <w:rPr>
          <w:rFonts w:ascii="Times New Roman" w:hAnsi="Times New Roman" w:cs="Times New Roman"/>
          <w:b/>
          <w:sz w:val="24"/>
          <w:szCs w:val="24"/>
          <w:lang w:val="sq-AL"/>
        </w:rPr>
        <w:lastRenderedPageBreak/>
        <w:t>Sektori i shërbimeve</w:t>
      </w:r>
    </w:p>
    <w:p w:rsidR="003244CA" w:rsidRPr="005D7230" w:rsidRDefault="003244CA" w:rsidP="001D7B2C">
      <w:pPr>
        <w:spacing w:after="0" w:line="240" w:lineRule="auto"/>
        <w:jc w:val="both"/>
        <w:rPr>
          <w:rFonts w:ascii="Times New Roman" w:hAnsi="Times New Roman" w:cs="Times New Roman"/>
          <w:b/>
          <w:sz w:val="24"/>
          <w:szCs w:val="24"/>
          <w:lang w:val="sq-AL"/>
        </w:rPr>
      </w:pPr>
    </w:p>
    <w:p w:rsidR="003244CA" w:rsidRPr="005D7230" w:rsidRDefault="003244CA" w:rsidP="00B161FE">
      <w:pPr>
        <w:tabs>
          <w:tab w:val="left" w:pos="4230"/>
        </w:tabs>
        <w:spacing w:after="0" w:line="240" w:lineRule="auto"/>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Treguesi i besimit n</w:t>
      </w:r>
      <w:r w:rsidR="006F2C5D"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sh</w:t>
      </w:r>
      <w:r w:rsidR="006F2C5D"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rbime (TBSH) sh</w:t>
      </w:r>
      <w:r w:rsidR="006F2C5D"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noi r</w:t>
      </w:r>
      <w:r w:rsidR="006F2C5D"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nie me rreth </w:t>
      </w:r>
      <w:r w:rsidR="00B161FE" w:rsidRPr="005D7230">
        <w:rPr>
          <w:rFonts w:ascii="Times New Roman" w:hAnsi="Times New Roman" w:cs="Times New Roman"/>
          <w:sz w:val="24"/>
          <w:szCs w:val="24"/>
          <w:lang w:val="sq-AL"/>
        </w:rPr>
        <w:t>13.9</w:t>
      </w:r>
      <w:r w:rsidRPr="005D7230">
        <w:rPr>
          <w:rFonts w:ascii="Times New Roman" w:hAnsi="Times New Roman" w:cs="Times New Roman"/>
          <w:sz w:val="24"/>
          <w:szCs w:val="24"/>
          <w:lang w:val="sq-AL"/>
        </w:rPr>
        <w:t xml:space="preserve"> pik</w:t>
      </w:r>
      <w:r w:rsidR="006F2C5D"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6F2C5D"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rqindjeje n</w:t>
      </w:r>
      <w:r w:rsidR="006F2C5D"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tremujorin e dyt</w:t>
      </w:r>
      <w:r w:rsidR="006F2C5D"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6F2C5D"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vitit 2013. </w:t>
      </w:r>
      <w:r w:rsidR="00A056AE" w:rsidRPr="005D7230">
        <w:rPr>
          <w:rFonts w:ascii="Times New Roman" w:hAnsi="Times New Roman" w:cs="Times New Roman"/>
          <w:sz w:val="24"/>
          <w:szCs w:val="24"/>
          <w:lang w:val="sq-AL"/>
        </w:rPr>
        <w:t>P</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rkeq</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simi i besimit n</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sektorin e sh</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rbimeve u p</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rcaktua nga vler</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simet negative n</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tre balancat </w:t>
      </w:r>
      <w:r w:rsidR="006F2C5D" w:rsidRPr="005D7230">
        <w:rPr>
          <w:rFonts w:ascii="Times New Roman" w:hAnsi="Times New Roman" w:cs="Times New Roman"/>
          <w:sz w:val="24"/>
          <w:szCs w:val="24"/>
          <w:lang w:val="sq-AL"/>
        </w:rPr>
        <w:t>përbërëse</w:t>
      </w:r>
      <w:r w:rsidR="00A056AE" w:rsidRPr="005D7230">
        <w:rPr>
          <w:rFonts w:ascii="Times New Roman" w:hAnsi="Times New Roman" w:cs="Times New Roman"/>
          <w:sz w:val="24"/>
          <w:szCs w:val="24"/>
          <w:lang w:val="sq-AL"/>
        </w:rPr>
        <w:t xml:space="preserve"> t</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tij. </w:t>
      </w:r>
      <w:r w:rsidR="00A056AE" w:rsidRPr="005D7230">
        <w:rPr>
          <w:rFonts w:ascii="Times New Roman" w:hAnsi="Times New Roman" w:cs="Times New Roman"/>
          <w:i/>
          <w:sz w:val="24"/>
          <w:szCs w:val="24"/>
          <w:lang w:val="sq-AL"/>
        </w:rPr>
        <w:t>Gjendja e p</w:t>
      </w:r>
      <w:r w:rsidR="006F2C5D" w:rsidRPr="005D7230">
        <w:rPr>
          <w:rFonts w:ascii="Times New Roman" w:hAnsi="Times New Roman" w:cs="Times New Roman"/>
          <w:i/>
          <w:sz w:val="24"/>
          <w:szCs w:val="24"/>
          <w:lang w:val="sq-AL"/>
        </w:rPr>
        <w:t>ë</w:t>
      </w:r>
      <w:r w:rsidR="00A056AE" w:rsidRPr="005D7230">
        <w:rPr>
          <w:rFonts w:ascii="Times New Roman" w:hAnsi="Times New Roman" w:cs="Times New Roman"/>
          <w:i/>
          <w:sz w:val="24"/>
          <w:szCs w:val="24"/>
          <w:lang w:val="sq-AL"/>
        </w:rPr>
        <w:t xml:space="preserve">rgjithshme e biznesit </w:t>
      </w:r>
      <w:r w:rsidR="00A056AE" w:rsidRPr="005D7230">
        <w:rPr>
          <w:rFonts w:ascii="Times New Roman" w:hAnsi="Times New Roman" w:cs="Times New Roman"/>
          <w:sz w:val="24"/>
          <w:szCs w:val="24"/>
          <w:lang w:val="sq-AL"/>
        </w:rPr>
        <w:t xml:space="preserve">dhe </w:t>
      </w:r>
      <w:r w:rsidR="00A056AE" w:rsidRPr="005D7230">
        <w:rPr>
          <w:rFonts w:ascii="Times New Roman" w:hAnsi="Times New Roman" w:cs="Times New Roman"/>
          <w:i/>
          <w:sz w:val="24"/>
          <w:szCs w:val="24"/>
          <w:lang w:val="sq-AL"/>
        </w:rPr>
        <w:t xml:space="preserve">situata financiare </w:t>
      </w:r>
      <w:r w:rsidR="00A056AE" w:rsidRPr="003578E1">
        <w:rPr>
          <w:rFonts w:ascii="Times New Roman" w:hAnsi="Times New Roman" w:cs="Times New Roman"/>
          <w:sz w:val="24"/>
          <w:szCs w:val="24"/>
          <w:lang w:val="sq-AL"/>
        </w:rPr>
        <w:t>e</w:t>
      </w:r>
      <w:r w:rsidR="004659FD">
        <w:rPr>
          <w:rFonts w:ascii="Times New Roman" w:hAnsi="Times New Roman" w:cs="Times New Roman"/>
          <w:sz w:val="24"/>
          <w:szCs w:val="24"/>
          <w:lang w:val="sq-AL"/>
        </w:rPr>
        <w:t xml:space="preserve"> </w:t>
      </w:r>
      <w:r w:rsidR="00A056AE" w:rsidRPr="005D7230">
        <w:rPr>
          <w:rFonts w:ascii="Times New Roman" w:hAnsi="Times New Roman" w:cs="Times New Roman"/>
          <w:sz w:val="24"/>
          <w:szCs w:val="24"/>
          <w:lang w:val="sq-AL"/>
        </w:rPr>
        <w:t>nd</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rmarrjeve n</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k</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t</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sektor </w:t>
      </w:r>
      <w:r w:rsidR="003578E1">
        <w:rPr>
          <w:rFonts w:ascii="Times New Roman" w:hAnsi="Times New Roman" w:cs="Times New Roman"/>
          <w:sz w:val="24"/>
          <w:szCs w:val="24"/>
          <w:lang w:val="sq-AL"/>
        </w:rPr>
        <w:t>janë</w:t>
      </w:r>
      <w:r w:rsidR="004659FD">
        <w:rPr>
          <w:rFonts w:ascii="Times New Roman" w:hAnsi="Times New Roman" w:cs="Times New Roman"/>
          <w:sz w:val="24"/>
          <w:szCs w:val="24"/>
          <w:lang w:val="sq-AL"/>
        </w:rPr>
        <w:t xml:space="preserve"> </w:t>
      </w:r>
      <w:r w:rsidR="00A056AE" w:rsidRPr="005D7230">
        <w:rPr>
          <w:rFonts w:ascii="Times New Roman" w:hAnsi="Times New Roman" w:cs="Times New Roman"/>
          <w:sz w:val="24"/>
          <w:szCs w:val="24"/>
          <w:lang w:val="sq-AL"/>
        </w:rPr>
        <w:t>vler</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suar negativisht n</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tremujorin e dyt</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t</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vitit 201</w:t>
      </w:r>
      <w:r w:rsidR="006C2E96">
        <w:rPr>
          <w:rFonts w:ascii="Times New Roman" w:hAnsi="Times New Roman" w:cs="Times New Roman"/>
          <w:sz w:val="24"/>
          <w:szCs w:val="24"/>
          <w:lang w:val="sq-AL"/>
        </w:rPr>
        <w:t>3</w:t>
      </w:r>
      <w:bookmarkStart w:id="0" w:name="_GoBack"/>
      <w:bookmarkEnd w:id="0"/>
      <w:r w:rsidR="00A056AE" w:rsidRPr="005D7230">
        <w:rPr>
          <w:rFonts w:ascii="Times New Roman" w:hAnsi="Times New Roman" w:cs="Times New Roman"/>
          <w:sz w:val="24"/>
          <w:szCs w:val="24"/>
          <w:lang w:val="sq-AL"/>
        </w:rPr>
        <w:t>. Balancat p</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rkat</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se sh</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nuan r</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nie me rreth 2</w:t>
      </w:r>
      <w:r w:rsidR="00B161FE" w:rsidRPr="005D7230">
        <w:rPr>
          <w:rFonts w:ascii="Times New Roman" w:hAnsi="Times New Roman" w:cs="Times New Roman"/>
          <w:sz w:val="24"/>
          <w:szCs w:val="24"/>
          <w:lang w:val="sq-AL"/>
        </w:rPr>
        <w:t>2</w:t>
      </w:r>
      <w:r w:rsidR="00A056AE" w:rsidRPr="005D7230">
        <w:rPr>
          <w:rFonts w:ascii="Times New Roman" w:hAnsi="Times New Roman" w:cs="Times New Roman"/>
          <w:sz w:val="24"/>
          <w:szCs w:val="24"/>
          <w:lang w:val="sq-AL"/>
        </w:rPr>
        <w:t xml:space="preserve">.4 dhe </w:t>
      </w:r>
      <w:r w:rsidR="00B161FE" w:rsidRPr="005D7230">
        <w:rPr>
          <w:rFonts w:ascii="Times New Roman" w:hAnsi="Times New Roman" w:cs="Times New Roman"/>
          <w:sz w:val="24"/>
          <w:szCs w:val="24"/>
          <w:lang w:val="sq-AL"/>
        </w:rPr>
        <w:t>11.9</w:t>
      </w:r>
      <w:r w:rsidR="00A056AE" w:rsidRPr="005D7230">
        <w:rPr>
          <w:rFonts w:ascii="Times New Roman" w:hAnsi="Times New Roman" w:cs="Times New Roman"/>
          <w:sz w:val="24"/>
          <w:szCs w:val="24"/>
          <w:lang w:val="sq-AL"/>
        </w:rPr>
        <w:t xml:space="preserve"> pik</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p</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rqindjeje. N</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t</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 njëjtin drejtim ndikoi dhe vler</w:t>
      </w:r>
      <w:r w:rsidR="006F2C5D" w:rsidRPr="005D7230">
        <w:rPr>
          <w:rFonts w:ascii="Times New Roman" w:hAnsi="Times New Roman" w:cs="Times New Roman"/>
          <w:sz w:val="24"/>
          <w:szCs w:val="24"/>
          <w:lang w:val="sq-AL"/>
        </w:rPr>
        <w:t>ë</w:t>
      </w:r>
      <w:r w:rsidR="00A056AE" w:rsidRPr="005D7230">
        <w:rPr>
          <w:rFonts w:ascii="Times New Roman" w:hAnsi="Times New Roman" w:cs="Times New Roman"/>
          <w:sz w:val="24"/>
          <w:szCs w:val="24"/>
          <w:lang w:val="sq-AL"/>
        </w:rPr>
        <w:t xml:space="preserve">simi negativ </w:t>
      </w:r>
      <w:r w:rsidR="00A056AE" w:rsidRPr="005406E3">
        <w:rPr>
          <w:rFonts w:ascii="Times New Roman" w:hAnsi="Times New Roman" w:cs="Times New Roman"/>
          <w:sz w:val="24"/>
          <w:szCs w:val="24"/>
          <w:lang w:val="sq-AL"/>
        </w:rPr>
        <w:t>p</w:t>
      </w:r>
      <w:r w:rsidR="006F2C5D" w:rsidRPr="005406E3">
        <w:rPr>
          <w:rFonts w:ascii="Times New Roman" w:hAnsi="Times New Roman" w:cs="Times New Roman"/>
          <w:sz w:val="24"/>
          <w:szCs w:val="24"/>
          <w:lang w:val="sq-AL"/>
        </w:rPr>
        <w:t>ë</w:t>
      </w:r>
      <w:r w:rsidR="00A056AE" w:rsidRPr="005406E3">
        <w:rPr>
          <w:rFonts w:ascii="Times New Roman" w:hAnsi="Times New Roman" w:cs="Times New Roman"/>
          <w:sz w:val="24"/>
          <w:szCs w:val="24"/>
          <w:lang w:val="sq-AL"/>
        </w:rPr>
        <w:t xml:space="preserve">r </w:t>
      </w:r>
      <w:r w:rsidR="00A056AE" w:rsidRPr="005406E3">
        <w:rPr>
          <w:rFonts w:ascii="Times New Roman" w:hAnsi="Times New Roman" w:cs="Times New Roman"/>
          <w:i/>
          <w:sz w:val="24"/>
          <w:szCs w:val="24"/>
          <w:lang w:val="sq-AL"/>
        </w:rPr>
        <w:t>situat</w:t>
      </w:r>
      <w:r w:rsidR="006F2C5D" w:rsidRPr="005406E3">
        <w:rPr>
          <w:rFonts w:ascii="Times New Roman" w:hAnsi="Times New Roman" w:cs="Times New Roman"/>
          <w:i/>
          <w:sz w:val="24"/>
          <w:szCs w:val="24"/>
          <w:lang w:val="sq-AL"/>
        </w:rPr>
        <w:t>ë</w:t>
      </w:r>
      <w:r w:rsidR="00A056AE" w:rsidRPr="005406E3">
        <w:rPr>
          <w:rFonts w:ascii="Times New Roman" w:hAnsi="Times New Roman" w:cs="Times New Roman"/>
          <w:i/>
          <w:sz w:val="24"/>
          <w:szCs w:val="24"/>
          <w:lang w:val="sq-AL"/>
        </w:rPr>
        <w:t>n e pun</w:t>
      </w:r>
      <w:r w:rsidR="006F2C5D" w:rsidRPr="005406E3">
        <w:rPr>
          <w:rFonts w:ascii="Times New Roman" w:hAnsi="Times New Roman" w:cs="Times New Roman"/>
          <w:i/>
          <w:sz w:val="24"/>
          <w:szCs w:val="24"/>
          <w:lang w:val="sq-AL"/>
        </w:rPr>
        <w:t>ë</w:t>
      </w:r>
      <w:r w:rsidR="00A056AE" w:rsidRPr="005406E3">
        <w:rPr>
          <w:rFonts w:ascii="Times New Roman" w:hAnsi="Times New Roman" w:cs="Times New Roman"/>
          <w:i/>
          <w:sz w:val="24"/>
          <w:szCs w:val="24"/>
          <w:lang w:val="sq-AL"/>
        </w:rPr>
        <w:t xml:space="preserve">simit </w:t>
      </w:r>
      <w:r w:rsidR="00A056AE" w:rsidRPr="005406E3">
        <w:rPr>
          <w:rFonts w:ascii="Times New Roman" w:hAnsi="Times New Roman" w:cs="Times New Roman"/>
          <w:sz w:val="24"/>
          <w:szCs w:val="24"/>
          <w:lang w:val="sq-AL"/>
        </w:rPr>
        <w:t>n</w:t>
      </w:r>
      <w:r w:rsidR="006F2C5D" w:rsidRPr="005406E3">
        <w:rPr>
          <w:rFonts w:ascii="Times New Roman" w:hAnsi="Times New Roman" w:cs="Times New Roman"/>
          <w:sz w:val="24"/>
          <w:szCs w:val="24"/>
          <w:lang w:val="sq-AL"/>
        </w:rPr>
        <w:t>ë</w:t>
      </w:r>
      <w:r w:rsidR="00A056AE" w:rsidRPr="005406E3">
        <w:rPr>
          <w:rFonts w:ascii="Times New Roman" w:hAnsi="Times New Roman" w:cs="Times New Roman"/>
          <w:sz w:val="24"/>
          <w:szCs w:val="24"/>
          <w:lang w:val="sq-AL"/>
        </w:rPr>
        <w:t xml:space="preserve"> k</w:t>
      </w:r>
      <w:r w:rsidR="006F2C5D" w:rsidRPr="005406E3">
        <w:rPr>
          <w:rFonts w:ascii="Times New Roman" w:hAnsi="Times New Roman" w:cs="Times New Roman"/>
          <w:sz w:val="24"/>
          <w:szCs w:val="24"/>
          <w:lang w:val="sq-AL"/>
        </w:rPr>
        <w:t>ë</w:t>
      </w:r>
      <w:r w:rsidR="00A056AE" w:rsidRPr="005406E3">
        <w:rPr>
          <w:rFonts w:ascii="Times New Roman" w:hAnsi="Times New Roman" w:cs="Times New Roman"/>
          <w:sz w:val="24"/>
          <w:szCs w:val="24"/>
          <w:lang w:val="sq-AL"/>
        </w:rPr>
        <w:t>t</w:t>
      </w:r>
      <w:r w:rsidR="006F2C5D" w:rsidRPr="005406E3">
        <w:rPr>
          <w:rFonts w:ascii="Times New Roman" w:hAnsi="Times New Roman" w:cs="Times New Roman"/>
          <w:sz w:val="24"/>
          <w:szCs w:val="24"/>
          <w:lang w:val="sq-AL"/>
        </w:rPr>
        <w:t>ë</w:t>
      </w:r>
      <w:r w:rsidR="005406E3" w:rsidRPr="005406E3">
        <w:rPr>
          <w:rFonts w:ascii="Times New Roman" w:hAnsi="Times New Roman" w:cs="Times New Roman"/>
          <w:sz w:val="24"/>
          <w:szCs w:val="24"/>
          <w:lang w:val="sq-AL"/>
        </w:rPr>
        <w:t xml:space="preserve"> sektor</w:t>
      </w:r>
      <w:r w:rsidR="00917C6C">
        <w:rPr>
          <w:rFonts w:ascii="Times New Roman" w:hAnsi="Times New Roman" w:cs="Times New Roman"/>
          <w:sz w:val="24"/>
          <w:szCs w:val="24"/>
          <w:lang w:val="sq-AL"/>
        </w:rPr>
        <w:t xml:space="preserve"> dhe</w:t>
      </w:r>
      <w:r w:rsidR="00A056AE" w:rsidRPr="005406E3">
        <w:rPr>
          <w:rFonts w:ascii="Times New Roman" w:hAnsi="Times New Roman" w:cs="Times New Roman"/>
          <w:sz w:val="24"/>
          <w:szCs w:val="24"/>
          <w:lang w:val="sq-AL"/>
        </w:rPr>
        <w:t xml:space="preserve"> balanca p</w:t>
      </w:r>
      <w:r w:rsidR="006F2C5D" w:rsidRPr="005406E3">
        <w:rPr>
          <w:rFonts w:ascii="Times New Roman" w:hAnsi="Times New Roman" w:cs="Times New Roman"/>
          <w:sz w:val="24"/>
          <w:szCs w:val="24"/>
          <w:lang w:val="sq-AL"/>
        </w:rPr>
        <w:t>ë</w:t>
      </w:r>
      <w:r w:rsidR="00A056AE" w:rsidRPr="005406E3">
        <w:rPr>
          <w:rFonts w:ascii="Times New Roman" w:hAnsi="Times New Roman" w:cs="Times New Roman"/>
          <w:sz w:val="24"/>
          <w:szCs w:val="24"/>
          <w:lang w:val="sq-AL"/>
        </w:rPr>
        <w:t>rkat</w:t>
      </w:r>
      <w:r w:rsidR="006F2C5D" w:rsidRPr="005406E3">
        <w:rPr>
          <w:rFonts w:ascii="Times New Roman" w:hAnsi="Times New Roman" w:cs="Times New Roman"/>
          <w:sz w:val="24"/>
          <w:szCs w:val="24"/>
          <w:lang w:val="sq-AL"/>
        </w:rPr>
        <w:t>ë</w:t>
      </w:r>
      <w:r w:rsidR="00A056AE" w:rsidRPr="005406E3">
        <w:rPr>
          <w:rFonts w:ascii="Times New Roman" w:hAnsi="Times New Roman" w:cs="Times New Roman"/>
          <w:sz w:val="24"/>
          <w:szCs w:val="24"/>
          <w:lang w:val="sq-AL"/>
        </w:rPr>
        <w:t>se sh</w:t>
      </w:r>
      <w:r w:rsidR="006F2C5D" w:rsidRPr="005406E3">
        <w:rPr>
          <w:rFonts w:ascii="Times New Roman" w:hAnsi="Times New Roman" w:cs="Times New Roman"/>
          <w:sz w:val="24"/>
          <w:szCs w:val="24"/>
          <w:lang w:val="sq-AL"/>
        </w:rPr>
        <w:t>ë</w:t>
      </w:r>
      <w:r w:rsidR="00A056AE" w:rsidRPr="005406E3">
        <w:rPr>
          <w:rFonts w:ascii="Times New Roman" w:hAnsi="Times New Roman" w:cs="Times New Roman"/>
          <w:sz w:val="24"/>
          <w:szCs w:val="24"/>
          <w:lang w:val="sq-AL"/>
        </w:rPr>
        <w:t>noi r</w:t>
      </w:r>
      <w:r w:rsidR="006F2C5D" w:rsidRPr="005406E3">
        <w:rPr>
          <w:rFonts w:ascii="Times New Roman" w:hAnsi="Times New Roman" w:cs="Times New Roman"/>
          <w:sz w:val="24"/>
          <w:szCs w:val="24"/>
          <w:lang w:val="sq-AL"/>
        </w:rPr>
        <w:t>ë</w:t>
      </w:r>
      <w:r w:rsidR="00A056AE" w:rsidRPr="005406E3">
        <w:rPr>
          <w:rFonts w:ascii="Times New Roman" w:hAnsi="Times New Roman" w:cs="Times New Roman"/>
          <w:sz w:val="24"/>
          <w:szCs w:val="24"/>
          <w:lang w:val="sq-AL"/>
        </w:rPr>
        <w:t xml:space="preserve">nie me </w:t>
      </w:r>
      <w:r w:rsidR="006F2C5D" w:rsidRPr="005406E3">
        <w:rPr>
          <w:rFonts w:ascii="Times New Roman" w:hAnsi="Times New Roman" w:cs="Times New Roman"/>
          <w:sz w:val="24"/>
          <w:szCs w:val="24"/>
          <w:lang w:val="sq-AL"/>
        </w:rPr>
        <w:t>rreth</w:t>
      </w:r>
      <w:r w:rsidR="00A056AE" w:rsidRPr="005406E3">
        <w:rPr>
          <w:rFonts w:ascii="Times New Roman" w:hAnsi="Times New Roman" w:cs="Times New Roman"/>
          <w:sz w:val="24"/>
          <w:szCs w:val="24"/>
          <w:lang w:val="sq-AL"/>
        </w:rPr>
        <w:t xml:space="preserve"> 7.</w:t>
      </w:r>
      <w:r w:rsidR="00B161FE" w:rsidRPr="005406E3">
        <w:rPr>
          <w:rFonts w:ascii="Times New Roman" w:hAnsi="Times New Roman" w:cs="Times New Roman"/>
          <w:sz w:val="24"/>
          <w:szCs w:val="24"/>
          <w:lang w:val="sq-AL"/>
        </w:rPr>
        <w:t>4</w:t>
      </w:r>
      <w:r w:rsidR="00A056AE" w:rsidRPr="005406E3">
        <w:rPr>
          <w:rFonts w:ascii="Times New Roman" w:hAnsi="Times New Roman" w:cs="Times New Roman"/>
          <w:sz w:val="24"/>
          <w:szCs w:val="24"/>
          <w:lang w:val="sq-AL"/>
        </w:rPr>
        <w:t xml:space="preserve"> pik</w:t>
      </w:r>
      <w:r w:rsidR="006F2C5D" w:rsidRPr="005406E3">
        <w:rPr>
          <w:rFonts w:ascii="Times New Roman" w:hAnsi="Times New Roman" w:cs="Times New Roman"/>
          <w:sz w:val="24"/>
          <w:szCs w:val="24"/>
          <w:lang w:val="sq-AL"/>
        </w:rPr>
        <w:t>ë</w:t>
      </w:r>
      <w:r w:rsidR="00A056AE" w:rsidRPr="005406E3">
        <w:rPr>
          <w:rFonts w:ascii="Times New Roman" w:hAnsi="Times New Roman" w:cs="Times New Roman"/>
          <w:sz w:val="24"/>
          <w:szCs w:val="24"/>
          <w:lang w:val="sq-AL"/>
        </w:rPr>
        <w:t xml:space="preserve"> p</w:t>
      </w:r>
      <w:r w:rsidR="006F2C5D" w:rsidRPr="005406E3">
        <w:rPr>
          <w:rFonts w:ascii="Times New Roman" w:hAnsi="Times New Roman" w:cs="Times New Roman"/>
          <w:sz w:val="24"/>
          <w:szCs w:val="24"/>
          <w:lang w:val="sq-AL"/>
        </w:rPr>
        <w:t>ë</w:t>
      </w:r>
      <w:r w:rsidR="00A056AE" w:rsidRPr="005406E3">
        <w:rPr>
          <w:rFonts w:ascii="Times New Roman" w:hAnsi="Times New Roman" w:cs="Times New Roman"/>
          <w:sz w:val="24"/>
          <w:szCs w:val="24"/>
          <w:lang w:val="sq-AL"/>
        </w:rPr>
        <w:t xml:space="preserve">rqindjeje. </w:t>
      </w:r>
      <w:r w:rsidR="00C309CD" w:rsidRPr="005406E3">
        <w:rPr>
          <w:rFonts w:ascii="Times New Roman" w:hAnsi="Times New Roman" w:cs="Times New Roman"/>
          <w:sz w:val="24"/>
          <w:szCs w:val="24"/>
          <w:lang w:val="sq-AL"/>
        </w:rPr>
        <w:t>Niveli aktual i TBSH-s</w:t>
      </w:r>
      <w:r w:rsidR="006F2C5D" w:rsidRPr="005406E3">
        <w:rPr>
          <w:rFonts w:ascii="Times New Roman" w:hAnsi="Times New Roman" w:cs="Times New Roman"/>
          <w:sz w:val="24"/>
          <w:szCs w:val="24"/>
          <w:lang w:val="sq-AL"/>
        </w:rPr>
        <w:t>ë</w:t>
      </w:r>
      <w:r w:rsidR="00C309CD" w:rsidRPr="005406E3">
        <w:rPr>
          <w:rFonts w:ascii="Times New Roman" w:hAnsi="Times New Roman" w:cs="Times New Roman"/>
          <w:sz w:val="24"/>
          <w:szCs w:val="24"/>
          <w:lang w:val="sq-AL"/>
        </w:rPr>
        <w:t xml:space="preserve"> q</w:t>
      </w:r>
      <w:r w:rsidR="006F2C5D" w:rsidRPr="005406E3">
        <w:rPr>
          <w:rFonts w:ascii="Times New Roman" w:hAnsi="Times New Roman" w:cs="Times New Roman"/>
          <w:sz w:val="24"/>
          <w:szCs w:val="24"/>
          <w:lang w:val="sq-AL"/>
        </w:rPr>
        <w:t>ë</w:t>
      </w:r>
      <w:r w:rsidR="00C309CD" w:rsidRPr="005406E3">
        <w:rPr>
          <w:rFonts w:ascii="Times New Roman" w:hAnsi="Times New Roman" w:cs="Times New Roman"/>
          <w:sz w:val="24"/>
          <w:szCs w:val="24"/>
          <w:lang w:val="sq-AL"/>
        </w:rPr>
        <w:t xml:space="preserve">ndron </w:t>
      </w:r>
      <w:r w:rsidR="006F2C5D" w:rsidRPr="005406E3">
        <w:rPr>
          <w:rFonts w:ascii="Times New Roman" w:hAnsi="Times New Roman" w:cs="Times New Roman"/>
          <w:sz w:val="24"/>
          <w:szCs w:val="24"/>
          <w:lang w:val="sq-AL"/>
        </w:rPr>
        <w:t>rreth</w:t>
      </w:r>
      <w:r w:rsidR="00C309CD" w:rsidRPr="005406E3">
        <w:rPr>
          <w:rFonts w:ascii="Times New Roman" w:hAnsi="Times New Roman" w:cs="Times New Roman"/>
          <w:sz w:val="24"/>
          <w:szCs w:val="24"/>
          <w:lang w:val="sq-AL"/>
        </w:rPr>
        <w:t xml:space="preserve"> 19.8 pik</w:t>
      </w:r>
      <w:r w:rsidR="006F2C5D" w:rsidRPr="005406E3">
        <w:rPr>
          <w:rFonts w:ascii="Times New Roman" w:hAnsi="Times New Roman" w:cs="Times New Roman"/>
          <w:sz w:val="24"/>
          <w:szCs w:val="24"/>
          <w:lang w:val="sq-AL"/>
        </w:rPr>
        <w:t>ë</w:t>
      </w:r>
      <w:r w:rsidR="00C309CD" w:rsidRPr="005406E3">
        <w:rPr>
          <w:rFonts w:ascii="Times New Roman" w:hAnsi="Times New Roman" w:cs="Times New Roman"/>
          <w:sz w:val="24"/>
          <w:szCs w:val="24"/>
          <w:lang w:val="sq-AL"/>
        </w:rPr>
        <w:t xml:space="preserve"> p</w:t>
      </w:r>
      <w:r w:rsidR="006F2C5D" w:rsidRPr="005406E3">
        <w:rPr>
          <w:rFonts w:ascii="Times New Roman" w:hAnsi="Times New Roman" w:cs="Times New Roman"/>
          <w:sz w:val="24"/>
          <w:szCs w:val="24"/>
          <w:lang w:val="sq-AL"/>
        </w:rPr>
        <w:t>ë</w:t>
      </w:r>
      <w:r w:rsidR="00C309CD" w:rsidRPr="005406E3">
        <w:rPr>
          <w:rFonts w:ascii="Times New Roman" w:hAnsi="Times New Roman" w:cs="Times New Roman"/>
          <w:sz w:val="24"/>
          <w:szCs w:val="24"/>
          <w:lang w:val="sq-AL"/>
        </w:rPr>
        <w:t>rqindjeje n</w:t>
      </w:r>
      <w:r w:rsidR="006F2C5D" w:rsidRPr="005406E3">
        <w:rPr>
          <w:rFonts w:ascii="Times New Roman" w:hAnsi="Times New Roman" w:cs="Times New Roman"/>
          <w:sz w:val="24"/>
          <w:szCs w:val="24"/>
          <w:lang w:val="sq-AL"/>
        </w:rPr>
        <w:t>ë</w:t>
      </w:r>
      <w:r w:rsidR="00C309CD" w:rsidRPr="005406E3">
        <w:rPr>
          <w:rFonts w:ascii="Times New Roman" w:hAnsi="Times New Roman" w:cs="Times New Roman"/>
          <w:sz w:val="24"/>
          <w:szCs w:val="24"/>
          <w:lang w:val="sq-AL"/>
        </w:rPr>
        <w:t>n mesataren e tij afatgjat</w:t>
      </w:r>
      <w:r w:rsidR="006F2C5D" w:rsidRPr="005406E3">
        <w:rPr>
          <w:rFonts w:ascii="Times New Roman" w:hAnsi="Times New Roman" w:cs="Times New Roman"/>
          <w:sz w:val="24"/>
          <w:szCs w:val="24"/>
          <w:lang w:val="sq-AL"/>
        </w:rPr>
        <w:t>ë</w:t>
      </w:r>
      <w:r w:rsidR="003578E1" w:rsidRPr="005406E3">
        <w:rPr>
          <w:rFonts w:ascii="Times New Roman" w:hAnsi="Times New Roman" w:cs="Times New Roman"/>
          <w:sz w:val="24"/>
          <w:szCs w:val="24"/>
          <w:lang w:val="sq-AL"/>
        </w:rPr>
        <w:t xml:space="preserve"> dhe rreth 19.3 </w:t>
      </w:r>
      <w:r w:rsidR="001F4AB4" w:rsidRPr="005406E3">
        <w:rPr>
          <w:rFonts w:ascii="Times New Roman" w:hAnsi="Times New Roman" w:cs="Times New Roman"/>
          <w:sz w:val="24"/>
          <w:szCs w:val="24"/>
          <w:lang w:val="sq-AL"/>
        </w:rPr>
        <w:t>pikë</w:t>
      </w:r>
      <w:r w:rsidR="0085521A">
        <w:rPr>
          <w:rFonts w:ascii="Times New Roman" w:hAnsi="Times New Roman" w:cs="Times New Roman"/>
          <w:sz w:val="24"/>
          <w:szCs w:val="24"/>
          <w:lang w:val="sq-AL"/>
        </w:rPr>
        <w:t xml:space="preserve"> </w:t>
      </w:r>
      <w:r w:rsidR="001F4AB4" w:rsidRPr="005406E3">
        <w:rPr>
          <w:rFonts w:ascii="Times New Roman" w:hAnsi="Times New Roman" w:cs="Times New Roman"/>
          <w:sz w:val="24"/>
          <w:szCs w:val="24"/>
          <w:lang w:val="sq-AL"/>
        </w:rPr>
        <w:t>përqindjeje</w:t>
      </w:r>
      <w:r w:rsidR="0085521A">
        <w:rPr>
          <w:rFonts w:ascii="Times New Roman" w:hAnsi="Times New Roman" w:cs="Times New Roman"/>
          <w:sz w:val="24"/>
          <w:szCs w:val="24"/>
          <w:lang w:val="sq-AL"/>
        </w:rPr>
        <w:t xml:space="preserve"> </w:t>
      </w:r>
      <w:r w:rsidR="001F4AB4" w:rsidRPr="005406E3">
        <w:rPr>
          <w:rFonts w:ascii="Times New Roman" w:hAnsi="Times New Roman" w:cs="Times New Roman"/>
          <w:sz w:val="24"/>
          <w:szCs w:val="24"/>
          <w:lang w:val="sq-AL"/>
        </w:rPr>
        <w:t>nën</w:t>
      </w:r>
      <w:r w:rsidR="003578E1" w:rsidRPr="005406E3">
        <w:rPr>
          <w:rFonts w:ascii="Times New Roman" w:hAnsi="Times New Roman" w:cs="Times New Roman"/>
          <w:sz w:val="24"/>
          <w:szCs w:val="24"/>
          <w:lang w:val="sq-AL"/>
        </w:rPr>
        <w:t xml:space="preserve"> mesataren e </w:t>
      </w:r>
      <w:r w:rsidR="001F4AB4" w:rsidRPr="005406E3">
        <w:rPr>
          <w:rFonts w:ascii="Times New Roman" w:hAnsi="Times New Roman" w:cs="Times New Roman"/>
          <w:sz w:val="24"/>
          <w:szCs w:val="24"/>
          <w:lang w:val="sq-AL"/>
        </w:rPr>
        <w:t>pesë</w:t>
      </w:r>
      <w:r w:rsidR="003578E1" w:rsidRPr="005406E3">
        <w:rPr>
          <w:rFonts w:ascii="Times New Roman" w:hAnsi="Times New Roman" w:cs="Times New Roman"/>
          <w:sz w:val="24"/>
          <w:szCs w:val="24"/>
          <w:lang w:val="sq-AL"/>
        </w:rPr>
        <w:t xml:space="preserve"> viteve </w:t>
      </w:r>
      <w:r w:rsidR="001F4AB4" w:rsidRPr="005406E3">
        <w:rPr>
          <w:rFonts w:ascii="Times New Roman" w:hAnsi="Times New Roman" w:cs="Times New Roman"/>
          <w:sz w:val="24"/>
          <w:szCs w:val="24"/>
          <w:lang w:val="sq-AL"/>
        </w:rPr>
        <w:t>të</w:t>
      </w:r>
      <w:r w:rsidR="003578E1" w:rsidRPr="005406E3">
        <w:rPr>
          <w:rFonts w:ascii="Times New Roman" w:hAnsi="Times New Roman" w:cs="Times New Roman"/>
          <w:sz w:val="24"/>
          <w:szCs w:val="24"/>
          <w:lang w:val="sq-AL"/>
        </w:rPr>
        <w:t xml:space="preserve"> fundit</w:t>
      </w:r>
      <w:r w:rsidR="00C309CD" w:rsidRPr="005406E3">
        <w:rPr>
          <w:rFonts w:ascii="Times New Roman" w:hAnsi="Times New Roman" w:cs="Times New Roman"/>
          <w:sz w:val="24"/>
          <w:szCs w:val="24"/>
          <w:lang w:val="sq-AL"/>
        </w:rPr>
        <w:t>.</w:t>
      </w:r>
    </w:p>
    <w:p w:rsidR="000C76F7" w:rsidRPr="005D7230" w:rsidRDefault="000C76F7" w:rsidP="001D7B2C">
      <w:pPr>
        <w:spacing w:after="0" w:line="240" w:lineRule="auto"/>
        <w:jc w:val="both"/>
        <w:rPr>
          <w:rFonts w:ascii="Times New Roman" w:hAnsi="Times New Roman" w:cs="Times New Roman"/>
          <w:sz w:val="24"/>
          <w:szCs w:val="24"/>
          <w:lang w:val="sq-AL"/>
        </w:rPr>
      </w:pPr>
    </w:p>
    <w:p w:rsidR="000C76F7" w:rsidRPr="005D7230" w:rsidRDefault="000C76F7" w:rsidP="00B33255">
      <w:pPr>
        <w:pStyle w:val="ListParagraph"/>
        <w:numPr>
          <w:ilvl w:val="0"/>
          <w:numId w:val="1"/>
        </w:numPr>
        <w:tabs>
          <w:tab w:val="left" w:pos="1260"/>
        </w:tabs>
        <w:spacing w:after="0" w:line="240" w:lineRule="auto"/>
        <w:ind w:firstLine="540"/>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Treguesi i besimit në shërbime (TBSH).</w:t>
      </w:r>
    </w:p>
    <w:p w:rsidR="000C76F7" w:rsidRPr="005D7230" w:rsidRDefault="00562158" w:rsidP="001D7B2C">
      <w:pPr>
        <w:spacing w:after="0" w:line="240" w:lineRule="auto"/>
        <w:jc w:val="both"/>
        <w:rPr>
          <w:rFonts w:ascii="Times New Roman" w:hAnsi="Times New Roman" w:cs="Times New Roman"/>
          <w:sz w:val="24"/>
          <w:szCs w:val="24"/>
          <w:lang w:val="sq-AL"/>
        </w:rPr>
      </w:pPr>
      <w:r w:rsidRPr="005D7230">
        <w:rPr>
          <w:noProof/>
        </w:rPr>
        <w:drawing>
          <wp:inline distT="0" distB="0" distL="0" distR="0" wp14:anchorId="50A0C810" wp14:editId="4327FD15">
            <wp:extent cx="600075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0" cy="2743200"/>
                    </a:xfrm>
                    <a:prstGeom prst="rect">
                      <a:avLst/>
                    </a:prstGeom>
                    <a:noFill/>
                    <a:ln>
                      <a:noFill/>
                    </a:ln>
                  </pic:spPr>
                </pic:pic>
              </a:graphicData>
            </a:graphic>
          </wp:inline>
        </w:drawing>
      </w:r>
    </w:p>
    <w:p w:rsidR="006F2C5D" w:rsidRPr="005D7230" w:rsidRDefault="000C76F7" w:rsidP="001D7B2C">
      <w:pPr>
        <w:spacing w:after="0" w:line="240" w:lineRule="auto"/>
        <w:jc w:val="both"/>
        <w:rPr>
          <w:rFonts w:ascii="Times New Roman" w:hAnsi="Times New Roman" w:cs="Times New Roman"/>
          <w:sz w:val="20"/>
          <w:szCs w:val="24"/>
          <w:lang w:val="sq-AL"/>
        </w:rPr>
      </w:pPr>
      <w:r w:rsidRPr="005D7230">
        <w:rPr>
          <w:rFonts w:ascii="Times New Roman" w:hAnsi="Times New Roman" w:cs="Times New Roman"/>
          <w:sz w:val="20"/>
          <w:szCs w:val="24"/>
          <w:lang w:val="sq-AL"/>
        </w:rPr>
        <w:t xml:space="preserve">Burimi: Vrojtimi i </w:t>
      </w:r>
      <w:r w:rsidR="00177517">
        <w:rPr>
          <w:rFonts w:ascii="Times New Roman" w:hAnsi="Times New Roman" w:cs="Times New Roman"/>
          <w:sz w:val="20"/>
          <w:szCs w:val="24"/>
          <w:lang w:val="sq-AL"/>
        </w:rPr>
        <w:t>b</w:t>
      </w:r>
      <w:r w:rsidRPr="005D7230">
        <w:rPr>
          <w:rFonts w:ascii="Times New Roman" w:hAnsi="Times New Roman" w:cs="Times New Roman"/>
          <w:sz w:val="20"/>
          <w:szCs w:val="24"/>
          <w:lang w:val="sq-AL"/>
        </w:rPr>
        <w:t xml:space="preserve">esimit të </w:t>
      </w:r>
      <w:r w:rsidR="00177517">
        <w:rPr>
          <w:rFonts w:ascii="Times New Roman" w:hAnsi="Times New Roman" w:cs="Times New Roman"/>
          <w:sz w:val="20"/>
          <w:szCs w:val="24"/>
          <w:lang w:val="sq-AL"/>
        </w:rPr>
        <w:t>b</w:t>
      </w:r>
      <w:r w:rsidRPr="005D7230">
        <w:rPr>
          <w:rFonts w:ascii="Times New Roman" w:hAnsi="Times New Roman" w:cs="Times New Roman"/>
          <w:sz w:val="20"/>
          <w:szCs w:val="24"/>
          <w:lang w:val="sq-AL"/>
        </w:rPr>
        <w:t>iznesit, Banka e Shqipërisë.</w:t>
      </w:r>
    </w:p>
    <w:p w:rsidR="008E275B" w:rsidRPr="005D7230" w:rsidRDefault="008E275B" w:rsidP="001D7B2C">
      <w:pPr>
        <w:spacing w:after="0" w:line="240" w:lineRule="auto"/>
        <w:jc w:val="both"/>
        <w:rPr>
          <w:rFonts w:ascii="Times New Roman" w:hAnsi="Times New Roman" w:cs="Times New Roman"/>
          <w:sz w:val="20"/>
          <w:szCs w:val="24"/>
          <w:lang w:val="sq-AL"/>
        </w:rPr>
      </w:pPr>
    </w:p>
    <w:p w:rsidR="008E275B" w:rsidRPr="005D7230" w:rsidRDefault="00A241FA" w:rsidP="001D7B2C">
      <w:pPr>
        <w:spacing w:after="0" w:line="240" w:lineRule="auto"/>
        <w:jc w:val="both"/>
        <w:rPr>
          <w:rFonts w:ascii="Times New Roman" w:hAnsi="Times New Roman" w:cs="Times New Roman"/>
          <w:sz w:val="24"/>
          <w:szCs w:val="24"/>
          <w:u w:val="single"/>
          <w:lang w:val="sq-AL"/>
        </w:rPr>
      </w:pPr>
      <w:r w:rsidRPr="005D7230">
        <w:rPr>
          <w:rFonts w:ascii="Times New Roman" w:hAnsi="Times New Roman" w:cs="Times New Roman"/>
          <w:sz w:val="24"/>
          <w:szCs w:val="24"/>
          <w:u w:val="single"/>
          <w:lang w:val="sq-AL"/>
        </w:rPr>
        <w:t>N</w:t>
      </w:r>
      <w:r w:rsidR="00B753F0"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 xml:space="preserve"> vijim, analiza e disa treguesve q</w:t>
      </w:r>
      <w:r w:rsidR="00B753F0"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 xml:space="preserve"> nuk p</w:t>
      </w:r>
      <w:r w:rsidR="00B753F0"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rfshihen n</w:t>
      </w:r>
      <w:r w:rsidR="00B753F0"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 xml:space="preserve"> nd</w:t>
      </w:r>
      <w:r w:rsidR="00B753F0"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rtimin e TBSH-s</w:t>
      </w:r>
      <w:r w:rsidR="00B753F0" w:rsidRPr="005D7230">
        <w:rPr>
          <w:rFonts w:ascii="Times New Roman" w:hAnsi="Times New Roman" w:cs="Times New Roman"/>
          <w:sz w:val="24"/>
          <w:szCs w:val="24"/>
          <w:u w:val="single"/>
          <w:lang w:val="sq-AL"/>
        </w:rPr>
        <w:t>ë</w:t>
      </w:r>
      <w:r w:rsidRPr="005D7230">
        <w:rPr>
          <w:rFonts w:ascii="Times New Roman" w:hAnsi="Times New Roman" w:cs="Times New Roman"/>
          <w:sz w:val="24"/>
          <w:szCs w:val="24"/>
          <w:u w:val="single"/>
          <w:lang w:val="sq-AL"/>
        </w:rPr>
        <w:t xml:space="preserve">. </w:t>
      </w:r>
    </w:p>
    <w:p w:rsidR="00FA10B7" w:rsidRPr="005D7230" w:rsidRDefault="00FA10B7" w:rsidP="001D7B2C">
      <w:pPr>
        <w:spacing w:after="0" w:line="240" w:lineRule="auto"/>
        <w:jc w:val="both"/>
        <w:rPr>
          <w:rFonts w:ascii="Times New Roman" w:hAnsi="Times New Roman" w:cs="Times New Roman"/>
          <w:sz w:val="24"/>
          <w:szCs w:val="24"/>
          <w:u w:val="single"/>
          <w:lang w:val="sq-AL"/>
        </w:rPr>
      </w:pPr>
    </w:p>
    <w:p w:rsidR="00FA10B7" w:rsidRPr="005D7230" w:rsidRDefault="00FA10B7" w:rsidP="001D7B2C">
      <w:pPr>
        <w:spacing w:after="0" w:line="240" w:lineRule="auto"/>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Nd</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rmarrjet q</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operojn</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n</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sektorin e sh</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rbimeve kan</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vler</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suar negativisht </w:t>
      </w:r>
      <w:r w:rsidRPr="005D7230">
        <w:rPr>
          <w:rFonts w:ascii="Times New Roman" w:hAnsi="Times New Roman" w:cs="Times New Roman"/>
          <w:i/>
          <w:sz w:val="24"/>
          <w:szCs w:val="24"/>
          <w:lang w:val="sq-AL"/>
        </w:rPr>
        <w:t>gjendjen e p</w:t>
      </w:r>
      <w:r w:rsidR="00B753F0"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rgjithshme ekonomike</w:t>
      </w:r>
      <w:r w:rsidRPr="005D7230">
        <w:rPr>
          <w:rFonts w:ascii="Times New Roman" w:hAnsi="Times New Roman" w:cs="Times New Roman"/>
          <w:sz w:val="24"/>
          <w:szCs w:val="24"/>
          <w:lang w:val="sq-AL"/>
        </w:rPr>
        <w:t xml:space="preserve"> n</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vend n</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tremujorin e dyt</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vitit 2013. Balanca p</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rkat</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se sh</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noi r</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nie me rreth 18.9 pik</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B753F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rqindjeje. </w:t>
      </w:r>
      <w:r w:rsidR="00A51FA1" w:rsidRPr="005D7230">
        <w:rPr>
          <w:rFonts w:ascii="Times New Roman" w:hAnsi="Times New Roman" w:cs="Times New Roman"/>
          <w:i/>
          <w:sz w:val="24"/>
          <w:szCs w:val="24"/>
          <w:lang w:val="sq-AL"/>
        </w:rPr>
        <w:t>K</w:t>
      </w:r>
      <w:r w:rsidR="00B753F0" w:rsidRPr="005D7230">
        <w:rPr>
          <w:rFonts w:ascii="Times New Roman" w:hAnsi="Times New Roman" w:cs="Times New Roman"/>
          <w:i/>
          <w:sz w:val="24"/>
          <w:szCs w:val="24"/>
          <w:lang w:val="sq-AL"/>
        </w:rPr>
        <w:t>ë</w:t>
      </w:r>
      <w:r w:rsidR="00A51FA1" w:rsidRPr="005D7230">
        <w:rPr>
          <w:rFonts w:ascii="Times New Roman" w:hAnsi="Times New Roman" w:cs="Times New Roman"/>
          <w:i/>
          <w:sz w:val="24"/>
          <w:szCs w:val="24"/>
          <w:lang w:val="sq-AL"/>
        </w:rPr>
        <w:t xml:space="preserve">rkesa </w:t>
      </w:r>
      <w:r w:rsidR="00A51FA1" w:rsidRPr="005D7230">
        <w:rPr>
          <w:rFonts w:ascii="Times New Roman" w:hAnsi="Times New Roman" w:cs="Times New Roman"/>
          <w:sz w:val="24"/>
          <w:szCs w:val="24"/>
          <w:lang w:val="sq-AL"/>
        </w:rPr>
        <w:t>n</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k</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t</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sektor </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sht</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vler</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suar gjithashtu n</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r</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nie gjat</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tremujorit t</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dyt</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t</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vitit 2013. </w:t>
      </w:r>
      <w:r w:rsidR="00A51FA1" w:rsidRPr="005D7230">
        <w:rPr>
          <w:rFonts w:ascii="Times New Roman" w:hAnsi="Times New Roman" w:cs="Times New Roman"/>
          <w:i/>
          <w:sz w:val="24"/>
          <w:szCs w:val="24"/>
          <w:lang w:val="sq-AL"/>
        </w:rPr>
        <w:t xml:space="preserve">Korrupsioni, ekonomia informale </w:t>
      </w:r>
      <w:r w:rsidR="00A51FA1" w:rsidRPr="005D7230">
        <w:rPr>
          <w:rFonts w:ascii="Times New Roman" w:hAnsi="Times New Roman" w:cs="Times New Roman"/>
          <w:sz w:val="24"/>
          <w:szCs w:val="24"/>
          <w:lang w:val="sq-AL"/>
        </w:rPr>
        <w:t xml:space="preserve">dhe </w:t>
      </w:r>
      <w:r w:rsidR="00B753F0" w:rsidRPr="005D7230">
        <w:rPr>
          <w:rFonts w:ascii="Times New Roman" w:hAnsi="Times New Roman" w:cs="Times New Roman"/>
          <w:i/>
          <w:sz w:val="24"/>
          <w:szCs w:val="24"/>
          <w:lang w:val="sq-AL"/>
        </w:rPr>
        <w:t>marrëdhëniet</w:t>
      </w:r>
      <w:r w:rsidR="00A51FA1" w:rsidRPr="005D7230">
        <w:rPr>
          <w:rFonts w:ascii="Times New Roman" w:hAnsi="Times New Roman" w:cs="Times New Roman"/>
          <w:i/>
          <w:sz w:val="24"/>
          <w:szCs w:val="24"/>
          <w:lang w:val="sq-AL"/>
        </w:rPr>
        <w:t xml:space="preserve"> me bankat </w:t>
      </w:r>
      <w:r w:rsidR="00A51FA1" w:rsidRPr="005D7230">
        <w:rPr>
          <w:rFonts w:ascii="Times New Roman" w:hAnsi="Times New Roman" w:cs="Times New Roman"/>
          <w:sz w:val="24"/>
          <w:szCs w:val="24"/>
          <w:lang w:val="sq-AL"/>
        </w:rPr>
        <w:t>renditen nga bizneset si faktor</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t me ndikimin m</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t</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madh n</w:t>
      </w:r>
      <w:r w:rsidR="00B753F0" w:rsidRPr="005D7230">
        <w:rPr>
          <w:rFonts w:ascii="Times New Roman" w:hAnsi="Times New Roman" w:cs="Times New Roman"/>
          <w:sz w:val="24"/>
          <w:szCs w:val="24"/>
          <w:lang w:val="sq-AL"/>
        </w:rPr>
        <w:t>ë</w:t>
      </w:r>
      <w:r w:rsidR="00A51FA1" w:rsidRPr="005D7230">
        <w:rPr>
          <w:rFonts w:ascii="Times New Roman" w:hAnsi="Times New Roman" w:cs="Times New Roman"/>
          <w:sz w:val="24"/>
          <w:szCs w:val="24"/>
          <w:lang w:val="sq-AL"/>
        </w:rPr>
        <w:t xml:space="preserve"> aktivitetin e </w:t>
      </w:r>
      <w:r w:rsidR="00B753F0" w:rsidRPr="005D7230">
        <w:rPr>
          <w:rFonts w:ascii="Times New Roman" w:hAnsi="Times New Roman" w:cs="Times New Roman"/>
          <w:sz w:val="24"/>
          <w:szCs w:val="24"/>
          <w:lang w:val="sq-AL"/>
        </w:rPr>
        <w:t>tyre</w:t>
      </w:r>
      <w:r w:rsidR="00A51FA1" w:rsidRPr="005D7230">
        <w:rPr>
          <w:rFonts w:ascii="Times New Roman" w:hAnsi="Times New Roman" w:cs="Times New Roman"/>
          <w:sz w:val="24"/>
          <w:szCs w:val="24"/>
          <w:lang w:val="sq-AL"/>
        </w:rPr>
        <w:t xml:space="preserve">. </w:t>
      </w:r>
      <w:r w:rsidR="00B8769A" w:rsidRPr="005D7230">
        <w:rPr>
          <w:rFonts w:ascii="Times New Roman" w:hAnsi="Times New Roman" w:cs="Times New Roman"/>
          <w:sz w:val="24"/>
          <w:szCs w:val="24"/>
          <w:lang w:val="sq-AL"/>
        </w:rPr>
        <w:t>P</w:t>
      </w:r>
      <w:r w:rsidR="00B753F0" w:rsidRPr="005D7230">
        <w:rPr>
          <w:rFonts w:ascii="Times New Roman" w:hAnsi="Times New Roman" w:cs="Times New Roman"/>
          <w:sz w:val="24"/>
          <w:szCs w:val="24"/>
          <w:lang w:val="sq-AL"/>
        </w:rPr>
        <w:t>ë</w:t>
      </w:r>
      <w:r w:rsidR="00B8769A" w:rsidRPr="005D7230">
        <w:rPr>
          <w:rFonts w:ascii="Times New Roman" w:hAnsi="Times New Roman" w:cs="Times New Roman"/>
          <w:sz w:val="24"/>
          <w:szCs w:val="24"/>
          <w:lang w:val="sq-AL"/>
        </w:rPr>
        <w:t>r tremujorin e tret</w:t>
      </w:r>
      <w:r w:rsidR="00B753F0" w:rsidRPr="005D7230">
        <w:rPr>
          <w:rFonts w:ascii="Times New Roman" w:hAnsi="Times New Roman" w:cs="Times New Roman"/>
          <w:sz w:val="24"/>
          <w:szCs w:val="24"/>
          <w:lang w:val="sq-AL"/>
        </w:rPr>
        <w:t>ë</w:t>
      </w:r>
      <w:r w:rsidR="00B8769A" w:rsidRPr="005D7230">
        <w:rPr>
          <w:rFonts w:ascii="Times New Roman" w:hAnsi="Times New Roman" w:cs="Times New Roman"/>
          <w:sz w:val="24"/>
          <w:szCs w:val="24"/>
          <w:lang w:val="sq-AL"/>
        </w:rPr>
        <w:t xml:space="preserve"> t</w:t>
      </w:r>
      <w:r w:rsidR="00B753F0" w:rsidRPr="005D7230">
        <w:rPr>
          <w:rFonts w:ascii="Times New Roman" w:hAnsi="Times New Roman" w:cs="Times New Roman"/>
          <w:sz w:val="24"/>
          <w:szCs w:val="24"/>
          <w:lang w:val="sq-AL"/>
        </w:rPr>
        <w:t>ë</w:t>
      </w:r>
      <w:r w:rsidR="00B8769A" w:rsidRPr="005D7230">
        <w:rPr>
          <w:rFonts w:ascii="Times New Roman" w:hAnsi="Times New Roman" w:cs="Times New Roman"/>
          <w:sz w:val="24"/>
          <w:szCs w:val="24"/>
          <w:lang w:val="sq-AL"/>
        </w:rPr>
        <w:t xml:space="preserve"> vitit, bizneset n</w:t>
      </w:r>
      <w:r w:rsidR="00B753F0" w:rsidRPr="005D7230">
        <w:rPr>
          <w:rFonts w:ascii="Times New Roman" w:hAnsi="Times New Roman" w:cs="Times New Roman"/>
          <w:sz w:val="24"/>
          <w:szCs w:val="24"/>
          <w:lang w:val="sq-AL"/>
        </w:rPr>
        <w:t>ë</w:t>
      </w:r>
      <w:r w:rsidR="00B8769A" w:rsidRPr="005D7230">
        <w:rPr>
          <w:rFonts w:ascii="Times New Roman" w:hAnsi="Times New Roman" w:cs="Times New Roman"/>
          <w:sz w:val="24"/>
          <w:szCs w:val="24"/>
          <w:lang w:val="sq-AL"/>
        </w:rPr>
        <w:t xml:space="preserve"> sektorin e sh</w:t>
      </w:r>
      <w:r w:rsidR="00B753F0" w:rsidRPr="005D7230">
        <w:rPr>
          <w:rFonts w:ascii="Times New Roman" w:hAnsi="Times New Roman" w:cs="Times New Roman"/>
          <w:sz w:val="24"/>
          <w:szCs w:val="24"/>
          <w:lang w:val="sq-AL"/>
        </w:rPr>
        <w:t>ë</w:t>
      </w:r>
      <w:r w:rsidR="00B8769A" w:rsidRPr="005D7230">
        <w:rPr>
          <w:rFonts w:ascii="Times New Roman" w:hAnsi="Times New Roman" w:cs="Times New Roman"/>
          <w:sz w:val="24"/>
          <w:szCs w:val="24"/>
          <w:lang w:val="sq-AL"/>
        </w:rPr>
        <w:t>rbimeve presin nj</w:t>
      </w:r>
      <w:r w:rsidR="00B753F0" w:rsidRPr="005D7230">
        <w:rPr>
          <w:rFonts w:ascii="Times New Roman" w:hAnsi="Times New Roman" w:cs="Times New Roman"/>
          <w:sz w:val="24"/>
          <w:szCs w:val="24"/>
          <w:lang w:val="sq-AL"/>
        </w:rPr>
        <w:t>ë</w:t>
      </w:r>
      <w:r w:rsidR="00B8769A" w:rsidRPr="005D7230">
        <w:rPr>
          <w:rFonts w:ascii="Times New Roman" w:hAnsi="Times New Roman" w:cs="Times New Roman"/>
          <w:sz w:val="24"/>
          <w:szCs w:val="24"/>
          <w:lang w:val="sq-AL"/>
        </w:rPr>
        <w:t xml:space="preserve"> p</w:t>
      </w:r>
      <w:r w:rsidR="00B753F0" w:rsidRPr="005D7230">
        <w:rPr>
          <w:rFonts w:ascii="Times New Roman" w:hAnsi="Times New Roman" w:cs="Times New Roman"/>
          <w:sz w:val="24"/>
          <w:szCs w:val="24"/>
          <w:lang w:val="sq-AL"/>
        </w:rPr>
        <w:t>ë</w:t>
      </w:r>
      <w:r w:rsidR="00B8769A" w:rsidRPr="005D7230">
        <w:rPr>
          <w:rFonts w:ascii="Times New Roman" w:hAnsi="Times New Roman" w:cs="Times New Roman"/>
          <w:sz w:val="24"/>
          <w:szCs w:val="24"/>
          <w:lang w:val="sq-AL"/>
        </w:rPr>
        <w:t>rmir</w:t>
      </w:r>
      <w:r w:rsidR="00B753F0" w:rsidRPr="005D7230">
        <w:rPr>
          <w:rFonts w:ascii="Times New Roman" w:hAnsi="Times New Roman" w:cs="Times New Roman"/>
          <w:sz w:val="24"/>
          <w:szCs w:val="24"/>
          <w:lang w:val="sq-AL"/>
        </w:rPr>
        <w:t>ë</w:t>
      </w:r>
      <w:r w:rsidR="00B8769A" w:rsidRPr="005D7230">
        <w:rPr>
          <w:rFonts w:ascii="Times New Roman" w:hAnsi="Times New Roman" w:cs="Times New Roman"/>
          <w:sz w:val="24"/>
          <w:szCs w:val="24"/>
          <w:lang w:val="sq-AL"/>
        </w:rPr>
        <w:t>sim t</w:t>
      </w:r>
      <w:r w:rsidR="00B753F0" w:rsidRPr="005D7230">
        <w:rPr>
          <w:rFonts w:ascii="Times New Roman" w:hAnsi="Times New Roman" w:cs="Times New Roman"/>
          <w:sz w:val="24"/>
          <w:szCs w:val="24"/>
          <w:lang w:val="sq-AL"/>
        </w:rPr>
        <w:t>ë</w:t>
      </w:r>
      <w:r w:rsidR="00917C6C">
        <w:rPr>
          <w:rFonts w:ascii="Times New Roman" w:hAnsi="Times New Roman" w:cs="Times New Roman"/>
          <w:sz w:val="24"/>
          <w:szCs w:val="24"/>
          <w:lang w:val="sq-AL"/>
        </w:rPr>
        <w:t xml:space="preserve"> </w:t>
      </w:r>
      <w:r w:rsidR="00B8769A" w:rsidRPr="005D7230">
        <w:rPr>
          <w:rFonts w:ascii="Times New Roman" w:hAnsi="Times New Roman" w:cs="Times New Roman"/>
          <w:i/>
          <w:sz w:val="24"/>
          <w:szCs w:val="24"/>
          <w:lang w:val="sq-AL"/>
        </w:rPr>
        <w:t>gjendjes s</w:t>
      </w:r>
      <w:r w:rsidR="00B753F0" w:rsidRPr="005D7230">
        <w:rPr>
          <w:rFonts w:ascii="Times New Roman" w:hAnsi="Times New Roman" w:cs="Times New Roman"/>
          <w:i/>
          <w:sz w:val="24"/>
          <w:szCs w:val="24"/>
          <w:lang w:val="sq-AL"/>
        </w:rPr>
        <w:t>ë</w:t>
      </w:r>
      <w:r w:rsidR="00917C6C">
        <w:rPr>
          <w:rFonts w:ascii="Times New Roman" w:hAnsi="Times New Roman" w:cs="Times New Roman"/>
          <w:i/>
          <w:sz w:val="24"/>
          <w:szCs w:val="24"/>
          <w:lang w:val="sq-AL"/>
        </w:rPr>
        <w:t xml:space="preserve"> </w:t>
      </w:r>
      <w:r w:rsidR="00B753F0" w:rsidRPr="005D7230">
        <w:rPr>
          <w:rFonts w:ascii="Times New Roman" w:hAnsi="Times New Roman" w:cs="Times New Roman"/>
          <w:i/>
          <w:sz w:val="24"/>
          <w:szCs w:val="24"/>
          <w:lang w:val="sq-AL"/>
        </w:rPr>
        <w:t>biznesit</w:t>
      </w:r>
      <w:r w:rsidR="00B8769A" w:rsidRPr="005D7230">
        <w:rPr>
          <w:rFonts w:ascii="Times New Roman" w:hAnsi="Times New Roman" w:cs="Times New Roman"/>
          <w:sz w:val="24"/>
          <w:szCs w:val="24"/>
          <w:lang w:val="sq-AL"/>
        </w:rPr>
        <w:t xml:space="preserve"> dhe rritje t</w:t>
      </w:r>
      <w:r w:rsidR="00B753F0" w:rsidRPr="005D7230">
        <w:rPr>
          <w:rFonts w:ascii="Times New Roman" w:hAnsi="Times New Roman" w:cs="Times New Roman"/>
          <w:sz w:val="24"/>
          <w:szCs w:val="24"/>
          <w:lang w:val="sq-AL"/>
        </w:rPr>
        <w:t>ë</w:t>
      </w:r>
      <w:r w:rsidR="00917C6C">
        <w:rPr>
          <w:rFonts w:ascii="Times New Roman" w:hAnsi="Times New Roman" w:cs="Times New Roman"/>
          <w:sz w:val="24"/>
          <w:szCs w:val="24"/>
          <w:lang w:val="sq-AL"/>
        </w:rPr>
        <w:t xml:space="preserve"> </w:t>
      </w:r>
      <w:r w:rsidR="00B8769A" w:rsidRPr="005D7230">
        <w:rPr>
          <w:rFonts w:ascii="Times New Roman" w:hAnsi="Times New Roman" w:cs="Times New Roman"/>
          <w:i/>
          <w:sz w:val="24"/>
          <w:szCs w:val="24"/>
          <w:lang w:val="sq-AL"/>
        </w:rPr>
        <w:t>k</w:t>
      </w:r>
      <w:r w:rsidR="00B753F0" w:rsidRPr="005D7230">
        <w:rPr>
          <w:rFonts w:ascii="Times New Roman" w:hAnsi="Times New Roman" w:cs="Times New Roman"/>
          <w:i/>
          <w:sz w:val="24"/>
          <w:szCs w:val="24"/>
          <w:lang w:val="sq-AL"/>
        </w:rPr>
        <w:t>ë</w:t>
      </w:r>
      <w:r w:rsidR="00B8769A" w:rsidRPr="005D7230">
        <w:rPr>
          <w:rFonts w:ascii="Times New Roman" w:hAnsi="Times New Roman" w:cs="Times New Roman"/>
          <w:i/>
          <w:sz w:val="24"/>
          <w:szCs w:val="24"/>
          <w:lang w:val="sq-AL"/>
        </w:rPr>
        <w:t>rkes</w:t>
      </w:r>
      <w:r w:rsidR="00B753F0" w:rsidRPr="005D7230">
        <w:rPr>
          <w:rFonts w:ascii="Times New Roman" w:hAnsi="Times New Roman" w:cs="Times New Roman"/>
          <w:i/>
          <w:sz w:val="24"/>
          <w:szCs w:val="24"/>
          <w:lang w:val="sq-AL"/>
        </w:rPr>
        <w:t>ë</w:t>
      </w:r>
      <w:r w:rsidR="00B8769A" w:rsidRPr="005D7230">
        <w:rPr>
          <w:rFonts w:ascii="Times New Roman" w:hAnsi="Times New Roman" w:cs="Times New Roman"/>
          <w:i/>
          <w:sz w:val="24"/>
          <w:szCs w:val="24"/>
          <w:lang w:val="sq-AL"/>
        </w:rPr>
        <w:t xml:space="preserve">s </w:t>
      </w:r>
      <w:r w:rsidR="00B8769A" w:rsidRPr="005D7230">
        <w:rPr>
          <w:rFonts w:ascii="Times New Roman" w:hAnsi="Times New Roman" w:cs="Times New Roman"/>
          <w:sz w:val="24"/>
          <w:szCs w:val="24"/>
          <w:lang w:val="sq-AL"/>
        </w:rPr>
        <w:t>p</w:t>
      </w:r>
      <w:r w:rsidR="00B753F0" w:rsidRPr="005D7230">
        <w:rPr>
          <w:rFonts w:ascii="Times New Roman" w:hAnsi="Times New Roman" w:cs="Times New Roman"/>
          <w:sz w:val="24"/>
          <w:szCs w:val="24"/>
          <w:lang w:val="sq-AL"/>
        </w:rPr>
        <w:t>ë</w:t>
      </w:r>
      <w:r w:rsidR="00B8769A" w:rsidRPr="005D7230">
        <w:rPr>
          <w:rFonts w:ascii="Times New Roman" w:hAnsi="Times New Roman" w:cs="Times New Roman"/>
          <w:sz w:val="24"/>
          <w:szCs w:val="24"/>
          <w:lang w:val="sq-AL"/>
        </w:rPr>
        <w:t>r sh</w:t>
      </w:r>
      <w:r w:rsidR="00B753F0" w:rsidRPr="005D7230">
        <w:rPr>
          <w:rFonts w:ascii="Times New Roman" w:hAnsi="Times New Roman" w:cs="Times New Roman"/>
          <w:sz w:val="24"/>
          <w:szCs w:val="24"/>
          <w:lang w:val="sq-AL"/>
        </w:rPr>
        <w:t>ë</w:t>
      </w:r>
      <w:r w:rsidR="00B8769A" w:rsidRPr="005D7230">
        <w:rPr>
          <w:rFonts w:ascii="Times New Roman" w:hAnsi="Times New Roman" w:cs="Times New Roman"/>
          <w:sz w:val="24"/>
          <w:szCs w:val="24"/>
          <w:lang w:val="sq-AL"/>
        </w:rPr>
        <w:t>rbimet e tyre.</w:t>
      </w:r>
    </w:p>
    <w:p w:rsidR="00F65063" w:rsidRPr="005D7230" w:rsidRDefault="00F65063" w:rsidP="001D7B2C">
      <w:pPr>
        <w:spacing w:after="0" w:line="240" w:lineRule="auto"/>
        <w:jc w:val="both"/>
        <w:rPr>
          <w:rFonts w:ascii="Times New Roman" w:hAnsi="Times New Roman" w:cs="Times New Roman"/>
          <w:sz w:val="24"/>
          <w:szCs w:val="24"/>
          <w:lang w:val="sq-AL"/>
        </w:rPr>
      </w:pPr>
    </w:p>
    <w:p w:rsidR="00F65063" w:rsidRPr="005D7230" w:rsidRDefault="00F65063" w:rsidP="001D7B2C">
      <w:pPr>
        <w:spacing w:after="0" w:line="240" w:lineRule="auto"/>
        <w:jc w:val="both"/>
        <w:rPr>
          <w:rFonts w:ascii="Times New Roman" w:hAnsi="Times New Roman" w:cs="Times New Roman"/>
          <w:sz w:val="24"/>
          <w:szCs w:val="24"/>
          <w:lang w:val="sq-AL"/>
        </w:rPr>
      </w:pPr>
      <w:r w:rsidRPr="005D7230">
        <w:rPr>
          <w:rFonts w:ascii="Times New Roman" w:hAnsi="Times New Roman" w:cs="Times New Roman"/>
          <w:i/>
          <w:sz w:val="24"/>
          <w:szCs w:val="24"/>
          <w:lang w:val="sq-AL"/>
        </w:rPr>
        <w:t>Norma e shfryt</w:t>
      </w:r>
      <w:r w:rsidR="00735F32"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zimit t</w:t>
      </w:r>
      <w:r w:rsidR="00735F32"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 xml:space="preserve"> kapaciteteve</w:t>
      </w:r>
      <w:r w:rsidRPr="005D7230">
        <w:rPr>
          <w:rFonts w:ascii="Times New Roman" w:hAnsi="Times New Roman" w:cs="Times New Roman"/>
          <w:sz w:val="24"/>
          <w:szCs w:val="24"/>
          <w:lang w:val="sq-AL"/>
        </w:rPr>
        <w:t xml:space="preserve"> n</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sektorin e sh</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rbimeve</w:t>
      </w:r>
      <w:r w:rsidR="009C6F08">
        <w:rPr>
          <w:rFonts w:ascii="Times New Roman" w:hAnsi="Times New Roman" w:cs="Times New Roman"/>
          <w:sz w:val="24"/>
          <w:szCs w:val="24"/>
          <w:lang w:val="sq-AL"/>
        </w:rPr>
        <w:t xml:space="preserve"> regjistroi vlerën</w:t>
      </w:r>
      <w:r w:rsidRPr="005D7230">
        <w:rPr>
          <w:rFonts w:ascii="Times New Roman" w:hAnsi="Times New Roman" w:cs="Times New Roman"/>
          <w:sz w:val="24"/>
          <w:szCs w:val="24"/>
          <w:lang w:val="sq-AL"/>
        </w:rPr>
        <w:t>7</w:t>
      </w:r>
      <w:r w:rsidR="00EF4F07">
        <w:rPr>
          <w:rFonts w:ascii="Times New Roman" w:hAnsi="Times New Roman" w:cs="Times New Roman"/>
          <w:sz w:val="24"/>
          <w:szCs w:val="24"/>
          <w:lang w:val="sq-AL"/>
        </w:rPr>
        <w:t>6.4</w:t>
      </w:r>
      <w:r w:rsidRPr="005D7230">
        <w:rPr>
          <w:rFonts w:ascii="Times New Roman" w:hAnsi="Times New Roman" w:cs="Times New Roman"/>
          <w:sz w:val="24"/>
          <w:szCs w:val="24"/>
          <w:lang w:val="sq-AL"/>
        </w:rPr>
        <w:t>%</w:t>
      </w:r>
      <w:r w:rsidR="009C6F08">
        <w:rPr>
          <w:rFonts w:ascii="Times New Roman" w:hAnsi="Times New Roman" w:cs="Times New Roman"/>
          <w:sz w:val="24"/>
          <w:szCs w:val="24"/>
          <w:lang w:val="sq-AL"/>
        </w:rPr>
        <w:t xml:space="preserve">. </w:t>
      </w:r>
      <w:r w:rsidR="0058002E">
        <w:rPr>
          <w:rFonts w:ascii="Times New Roman" w:hAnsi="Times New Roman" w:cs="Times New Roman"/>
          <w:sz w:val="24"/>
          <w:szCs w:val="24"/>
          <w:lang w:val="sq-AL"/>
        </w:rPr>
        <w:t>K</w:t>
      </w:r>
      <w:r w:rsidR="009C6F08">
        <w:rPr>
          <w:rFonts w:ascii="Times New Roman" w:hAnsi="Times New Roman" w:cs="Times New Roman"/>
          <w:sz w:val="24"/>
          <w:szCs w:val="24"/>
          <w:lang w:val="sq-AL"/>
        </w:rPr>
        <w:t>jo normë rezulton</w:t>
      </w:r>
      <w:r w:rsidRPr="005D7230">
        <w:rPr>
          <w:rFonts w:ascii="Times New Roman" w:hAnsi="Times New Roman" w:cs="Times New Roman"/>
          <w:sz w:val="24"/>
          <w:szCs w:val="24"/>
          <w:lang w:val="sq-AL"/>
        </w:rPr>
        <w:t xml:space="preserve"> rreth </w:t>
      </w:r>
      <w:r w:rsidR="00EF4F07">
        <w:rPr>
          <w:rFonts w:ascii="Times New Roman" w:hAnsi="Times New Roman" w:cs="Times New Roman"/>
          <w:sz w:val="24"/>
          <w:szCs w:val="24"/>
          <w:lang w:val="sq-AL"/>
        </w:rPr>
        <w:t xml:space="preserve">4.1 </w:t>
      </w:r>
      <w:r w:rsidRPr="005D7230">
        <w:rPr>
          <w:rFonts w:ascii="Times New Roman" w:hAnsi="Times New Roman" w:cs="Times New Roman"/>
          <w:sz w:val="24"/>
          <w:szCs w:val="24"/>
          <w:lang w:val="sq-AL"/>
        </w:rPr>
        <w:t>pik</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rqindjeje </w:t>
      </w:r>
      <w:r w:rsidR="009C6F08">
        <w:rPr>
          <w:rFonts w:ascii="Times New Roman" w:hAnsi="Times New Roman" w:cs="Times New Roman"/>
          <w:sz w:val="24"/>
          <w:szCs w:val="24"/>
          <w:lang w:val="sq-AL"/>
        </w:rPr>
        <w:t xml:space="preserve">më e ulët </w:t>
      </w:r>
      <w:r w:rsidRPr="005D7230">
        <w:rPr>
          <w:rFonts w:ascii="Times New Roman" w:hAnsi="Times New Roman" w:cs="Times New Roman"/>
          <w:sz w:val="24"/>
          <w:szCs w:val="24"/>
          <w:lang w:val="sq-AL"/>
        </w:rPr>
        <w:t>krahasuar me tremujorin e m</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parsh</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m. Niveli aktual i shfryt</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zimit t</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kapaciteteve qëndron rreth </w:t>
      </w:r>
      <w:r w:rsidR="00EF4F07">
        <w:rPr>
          <w:rFonts w:ascii="Times New Roman" w:hAnsi="Times New Roman" w:cs="Times New Roman"/>
          <w:sz w:val="24"/>
          <w:szCs w:val="24"/>
          <w:lang w:val="sq-AL"/>
        </w:rPr>
        <w:t>5.5</w:t>
      </w:r>
      <w:r w:rsidRPr="005D7230">
        <w:rPr>
          <w:rFonts w:ascii="Times New Roman" w:hAnsi="Times New Roman" w:cs="Times New Roman"/>
          <w:sz w:val="24"/>
          <w:szCs w:val="24"/>
          <w:lang w:val="sq-AL"/>
        </w:rPr>
        <w:t xml:space="preserve"> pik</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rqindjeje n</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 mesataren afatgjat</w:t>
      </w:r>
      <w:r w:rsidR="00735F3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w:t>
      </w:r>
      <w:r w:rsidR="00735F32" w:rsidRPr="005D7230">
        <w:rPr>
          <w:rFonts w:ascii="Times New Roman" w:hAnsi="Times New Roman" w:cs="Times New Roman"/>
          <w:i/>
          <w:sz w:val="24"/>
          <w:szCs w:val="24"/>
          <w:lang w:val="sq-AL"/>
        </w:rPr>
        <w:t>Pamjaftueshmëria  e kërkesës</w:t>
      </w:r>
      <w:r w:rsidR="00735F32" w:rsidRPr="005D7230">
        <w:rPr>
          <w:rFonts w:ascii="Times New Roman" w:hAnsi="Times New Roman" w:cs="Times New Roman"/>
          <w:sz w:val="24"/>
          <w:szCs w:val="24"/>
          <w:lang w:val="sq-AL"/>
        </w:rPr>
        <w:t xml:space="preserve"> për shërbime vlerësohet të jetë faktori kryesor </w:t>
      </w:r>
      <w:r w:rsidR="00AC0A7F">
        <w:rPr>
          <w:rFonts w:ascii="Times New Roman" w:hAnsi="Times New Roman" w:cs="Times New Roman"/>
          <w:sz w:val="24"/>
          <w:szCs w:val="24"/>
          <w:lang w:val="sq-AL"/>
        </w:rPr>
        <w:t>q</w:t>
      </w:r>
      <w:r w:rsidR="00EF4F07">
        <w:rPr>
          <w:rFonts w:ascii="Times New Roman" w:hAnsi="Times New Roman" w:cs="Times New Roman"/>
          <w:sz w:val="24"/>
          <w:szCs w:val="24"/>
          <w:lang w:val="sq-AL"/>
        </w:rPr>
        <w:t>ë</w:t>
      </w:r>
      <w:r w:rsidR="00AC0A7F">
        <w:rPr>
          <w:rFonts w:ascii="Times New Roman" w:hAnsi="Times New Roman" w:cs="Times New Roman"/>
          <w:sz w:val="24"/>
          <w:szCs w:val="24"/>
          <w:lang w:val="sq-AL"/>
        </w:rPr>
        <w:t xml:space="preserve"> pengon</w:t>
      </w:r>
      <w:r w:rsidR="00735F32" w:rsidRPr="005D7230">
        <w:rPr>
          <w:rFonts w:ascii="Times New Roman" w:hAnsi="Times New Roman" w:cs="Times New Roman"/>
          <w:sz w:val="24"/>
          <w:szCs w:val="24"/>
          <w:lang w:val="sq-AL"/>
        </w:rPr>
        <w:t xml:space="preserve"> shfrytëzimi</w:t>
      </w:r>
      <w:r w:rsidR="00AC0A7F">
        <w:rPr>
          <w:rFonts w:ascii="Times New Roman" w:hAnsi="Times New Roman" w:cs="Times New Roman"/>
          <w:sz w:val="24"/>
          <w:szCs w:val="24"/>
          <w:lang w:val="sq-AL"/>
        </w:rPr>
        <w:t>n</w:t>
      </w:r>
      <w:r w:rsidR="0085521A">
        <w:rPr>
          <w:rFonts w:ascii="Times New Roman" w:hAnsi="Times New Roman" w:cs="Times New Roman"/>
          <w:sz w:val="24"/>
          <w:szCs w:val="24"/>
          <w:lang w:val="sq-AL"/>
        </w:rPr>
        <w:t xml:space="preserve"> </w:t>
      </w:r>
      <w:r w:rsidR="00AC0A7F">
        <w:rPr>
          <w:rFonts w:ascii="Times New Roman" w:hAnsi="Times New Roman" w:cs="Times New Roman"/>
          <w:sz w:val="24"/>
          <w:szCs w:val="24"/>
          <w:lang w:val="sq-AL"/>
        </w:rPr>
        <w:t>e</w:t>
      </w:r>
      <w:r w:rsidR="00735F32" w:rsidRPr="005D7230">
        <w:rPr>
          <w:rFonts w:ascii="Times New Roman" w:hAnsi="Times New Roman" w:cs="Times New Roman"/>
          <w:sz w:val="24"/>
          <w:szCs w:val="24"/>
          <w:lang w:val="sq-AL"/>
        </w:rPr>
        <w:t xml:space="preserve"> kapaciteteve në këtë sektor. </w:t>
      </w:r>
    </w:p>
    <w:p w:rsidR="000C4B21" w:rsidRPr="005D7230" w:rsidRDefault="000C4B21" w:rsidP="001D7B2C">
      <w:pPr>
        <w:spacing w:after="0" w:line="240" w:lineRule="auto"/>
        <w:jc w:val="both"/>
        <w:rPr>
          <w:rFonts w:ascii="Times New Roman" w:hAnsi="Times New Roman" w:cs="Times New Roman"/>
          <w:sz w:val="24"/>
          <w:szCs w:val="24"/>
          <w:lang w:val="sq-AL"/>
        </w:rPr>
      </w:pPr>
    </w:p>
    <w:p w:rsidR="000C4B21" w:rsidRPr="005D7230" w:rsidRDefault="000C4B21" w:rsidP="005E2B52">
      <w:pPr>
        <w:jc w:val="both"/>
        <w:rPr>
          <w:rFonts w:ascii="Times New Roman" w:hAnsi="Times New Roman" w:cs="Times New Roman"/>
          <w:b/>
          <w:sz w:val="24"/>
          <w:szCs w:val="24"/>
          <w:lang w:val="sq-AL"/>
        </w:rPr>
      </w:pPr>
      <w:r w:rsidRPr="005D7230">
        <w:rPr>
          <w:rFonts w:ascii="Times New Roman" w:hAnsi="Times New Roman" w:cs="Times New Roman"/>
          <w:b/>
          <w:sz w:val="24"/>
          <w:szCs w:val="24"/>
          <w:lang w:val="sq-AL"/>
        </w:rPr>
        <w:lastRenderedPageBreak/>
        <w:t>Besimi i konsumator</w:t>
      </w:r>
      <w:r w:rsidR="005E2B52" w:rsidRPr="005D7230">
        <w:rPr>
          <w:rFonts w:ascii="Times New Roman" w:hAnsi="Times New Roman" w:cs="Times New Roman"/>
          <w:b/>
          <w:sz w:val="24"/>
          <w:szCs w:val="24"/>
          <w:lang w:val="sq-AL"/>
        </w:rPr>
        <w:t>ë</w:t>
      </w:r>
      <w:r w:rsidRPr="005D7230">
        <w:rPr>
          <w:rFonts w:ascii="Times New Roman" w:hAnsi="Times New Roman" w:cs="Times New Roman"/>
          <w:b/>
          <w:sz w:val="24"/>
          <w:szCs w:val="24"/>
          <w:lang w:val="sq-AL"/>
        </w:rPr>
        <w:t>ve</w:t>
      </w:r>
    </w:p>
    <w:p w:rsidR="000C4B21" w:rsidRPr="005D7230" w:rsidRDefault="00AA4F3F" w:rsidP="005E2B52">
      <w:pPr>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Besimi i konsumator</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ve </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sht</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rmir</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suar n</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tremujorin e dyt</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vitit 2013,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 t</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dytin tremujor r</w:t>
      </w:r>
      <w:r w:rsidR="00E6562E">
        <w:rPr>
          <w:rFonts w:ascii="Times New Roman" w:hAnsi="Times New Roman" w:cs="Times New Roman"/>
          <w:sz w:val="24"/>
          <w:szCs w:val="24"/>
          <w:lang w:val="sq-AL"/>
        </w:rPr>
        <w:t>adhazi</w:t>
      </w:r>
      <w:r w:rsidRPr="005D7230">
        <w:rPr>
          <w:rFonts w:ascii="Times New Roman" w:hAnsi="Times New Roman" w:cs="Times New Roman"/>
          <w:sz w:val="24"/>
          <w:szCs w:val="24"/>
          <w:lang w:val="sq-AL"/>
        </w:rPr>
        <w:t>. Treguesi i besimit t</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tyre sh</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noi rritje me 5.</w:t>
      </w:r>
      <w:r w:rsidR="000252A8">
        <w:rPr>
          <w:rFonts w:ascii="Times New Roman" w:hAnsi="Times New Roman" w:cs="Times New Roman"/>
          <w:sz w:val="24"/>
          <w:szCs w:val="24"/>
          <w:lang w:val="sq-AL"/>
        </w:rPr>
        <w:t>7</w:t>
      </w:r>
      <w:r w:rsidR="0085521A">
        <w:rPr>
          <w:rFonts w:ascii="Times New Roman" w:hAnsi="Times New Roman" w:cs="Times New Roman"/>
          <w:sz w:val="24"/>
          <w:szCs w:val="24"/>
          <w:lang w:val="sq-AL"/>
        </w:rPr>
        <w:t xml:space="preserve"> </w:t>
      </w:r>
      <w:r w:rsidRPr="005D7230">
        <w:rPr>
          <w:rFonts w:ascii="Times New Roman" w:hAnsi="Times New Roman" w:cs="Times New Roman"/>
          <w:sz w:val="24"/>
          <w:szCs w:val="24"/>
          <w:lang w:val="sq-AL"/>
        </w:rPr>
        <w:t>pik</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rqindje, duke u pozicionuar mbi mesataren historike t</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k</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tij treguesi.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rmir</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simi i TBK u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rcaktua nga pritje m</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optimiste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r </w:t>
      </w:r>
      <w:r w:rsidRPr="005D7230">
        <w:rPr>
          <w:rFonts w:ascii="Times New Roman" w:hAnsi="Times New Roman" w:cs="Times New Roman"/>
          <w:i/>
          <w:sz w:val="24"/>
          <w:szCs w:val="24"/>
          <w:lang w:val="sq-AL"/>
        </w:rPr>
        <w:t>situat</w:t>
      </w:r>
      <w:r w:rsidR="005E2B52"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n e ardhshme ekonomike</w:t>
      </w:r>
      <w:r w:rsidRPr="005D7230">
        <w:rPr>
          <w:rFonts w:ascii="Times New Roman" w:hAnsi="Times New Roman" w:cs="Times New Roman"/>
          <w:sz w:val="24"/>
          <w:szCs w:val="24"/>
          <w:lang w:val="sq-AL"/>
        </w:rPr>
        <w:t xml:space="preserve"> dhe situat</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n e tyre </w:t>
      </w:r>
      <w:r w:rsidRPr="005D7230">
        <w:rPr>
          <w:rFonts w:ascii="Times New Roman" w:hAnsi="Times New Roman" w:cs="Times New Roman"/>
          <w:i/>
          <w:sz w:val="24"/>
          <w:szCs w:val="24"/>
          <w:lang w:val="sq-AL"/>
        </w:rPr>
        <w:t>financiare</w:t>
      </w:r>
      <w:r w:rsidRPr="005D7230">
        <w:rPr>
          <w:rFonts w:ascii="Times New Roman" w:hAnsi="Times New Roman" w:cs="Times New Roman"/>
          <w:sz w:val="24"/>
          <w:szCs w:val="24"/>
          <w:lang w:val="sq-AL"/>
        </w:rPr>
        <w:t>, balancat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rkat</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se u rrit</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n me </w:t>
      </w:r>
      <w:r w:rsidR="000252A8">
        <w:rPr>
          <w:rFonts w:ascii="Times New Roman" w:hAnsi="Times New Roman" w:cs="Times New Roman"/>
          <w:sz w:val="24"/>
          <w:szCs w:val="24"/>
          <w:lang w:val="sq-AL"/>
        </w:rPr>
        <w:t>8.5</w:t>
      </w:r>
      <w:r w:rsidRPr="005D7230">
        <w:rPr>
          <w:rFonts w:ascii="Times New Roman" w:hAnsi="Times New Roman" w:cs="Times New Roman"/>
          <w:sz w:val="24"/>
          <w:szCs w:val="24"/>
          <w:lang w:val="sq-AL"/>
        </w:rPr>
        <w:t xml:space="preserve"> dhe </w:t>
      </w:r>
      <w:r w:rsidR="000252A8">
        <w:rPr>
          <w:rFonts w:ascii="Times New Roman" w:hAnsi="Times New Roman" w:cs="Times New Roman"/>
          <w:sz w:val="24"/>
          <w:szCs w:val="24"/>
          <w:lang w:val="sq-AL"/>
        </w:rPr>
        <w:t>5.6</w:t>
      </w:r>
      <w:r w:rsidRPr="005D7230">
        <w:rPr>
          <w:rFonts w:ascii="Times New Roman" w:hAnsi="Times New Roman" w:cs="Times New Roman"/>
          <w:sz w:val="24"/>
          <w:szCs w:val="24"/>
          <w:lang w:val="sq-AL"/>
        </w:rPr>
        <w:t xml:space="preserve"> pik</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rqindje. </w:t>
      </w:r>
      <w:r w:rsidR="005E2B52" w:rsidRPr="005D7230">
        <w:rPr>
          <w:rFonts w:ascii="Times New Roman" w:hAnsi="Times New Roman" w:cs="Times New Roman"/>
          <w:sz w:val="24"/>
          <w:szCs w:val="24"/>
          <w:lang w:val="sq-AL"/>
        </w:rPr>
        <w:t>Njëkohësisht</w:t>
      </w:r>
      <w:r w:rsidRPr="005D7230">
        <w:rPr>
          <w:rFonts w:ascii="Times New Roman" w:hAnsi="Times New Roman" w:cs="Times New Roman"/>
          <w:sz w:val="24"/>
          <w:szCs w:val="24"/>
          <w:lang w:val="sq-AL"/>
        </w:rPr>
        <w:t xml:space="preserve">, balanca e </w:t>
      </w:r>
      <w:r w:rsidRPr="005D7230">
        <w:rPr>
          <w:rFonts w:ascii="Times New Roman" w:hAnsi="Times New Roman" w:cs="Times New Roman"/>
          <w:i/>
          <w:sz w:val="24"/>
          <w:szCs w:val="24"/>
          <w:lang w:val="sq-AL"/>
        </w:rPr>
        <w:t>blerjeve t</w:t>
      </w:r>
      <w:r w:rsidR="005E2B52"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 xml:space="preserve"> m</w:t>
      </w:r>
      <w:r w:rsidR="005E2B52"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dha</w:t>
      </w:r>
      <w:r w:rsidRPr="005D7230">
        <w:rPr>
          <w:rFonts w:ascii="Times New Roman" w:hAnsi="Times New Roman" w:cs="Times New Roman"/>
          <w:sz w:val="24"/>
          <w:szCs w:val="24"/>
          <w:lang w:val="sq-AL"/>
        </w:rPr>
        <w:t xml:space="preserve"> u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rmir</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sua me </w:t>
      </w:r>
      <w:r w:rsidR="000252A8">
        <w:rPr>
          <w:rFonts w:ascii="Times New Roman" w:hAnsi="Times New Roman" w:cs="Times New Roman"/>
          <w:sz w:val="24"/>
          <w:szCs w:val="24"/>
          <w:lang w:val="sq-AL"/>
        </w:rPr>
        <w:t>5.9</w:t>
      </w:r>
      <w:r w:rsidRPr="005D7230">
        <w:rPr>
          <w:rFonts w:ascii="Times New Roman" w:hAnsi="Times New Roman" w:cs="Times New Roman"/>
          <w:sz w:val="24"/>
          <w:szCs w:val="24"/>
          <w:lang w:val="sq-AL"/>
        </w:rPr>
        <w:t xml:space="preserve"> pik</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rqindje nd</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rsa balanca e situat</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 s</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5E2B52" w:rsidRPr="005D7230">
        <w:rPr>
          <w:rFonts w:ascii="Times New Roman" w:hAnsi="Times New Roman" w:cs="Times New Roman"/>
          <w:sz w:val="24"/>
          <w:szCs w:val="24"/>
          <w:lang w:val="sq-AL"/>
        </w:rPr>
        <w:t>ë</w:t>
      </w:r>
      <w:r w:rsidR="0085521A">
        <w:rPr>
          <w:rFonts w:ascii="Times New Roman" w:hAnsi="Times New Roman" w:cs="Times New Roman"/>
          <w:sz w:val="24"/>
          <w:szCs w:val="24"/>
          <w:lang w:val="sq-AL"/>
        </w:rPr>
        <w:t xml:space="preserve"> </w:t>
      </w:r>
      <w:r w:rsidRPr="005D7230">
        <w:rPr>
          <w:rFonts w:ascii="Times New Roman" w:hAnsi="Times New Roman" w:cs="Times New Roman"/>
          <w:i/>
          <w:sz w:val="24"/>
          <w:szCs w:val="24"/>
          <w:lang w:val="sq-AL"/>
        </w:rPr>
        <w:t>ardhurave-shpenzimeve</w:t>
      </w:r>
      <w:r w:rsidRPr="005D7230">
        <w:rPr>
          <w:rFonts w:ascii="Times New Roman" w:hAnsi="Times New Roman" w:cs="Times New Roman"/>
          <w:sz w:val="24"/>
          <w:szCs w:val="24"/>
          <w:lang w:val="sq-AL"/>
        </w:rPr>
        <w:t xml:space="preserve"> u rrit me 2</w:t>
      </w:r>
      <w:r w:rsidR="000252A8">
        <w:rPr>
          <w:rFonts w:ascii="Times New Roman" w:hAnsi="Times New Roman" w:cs="Times New Roman"/>
          <w:sz w:val="24"/>
          <w:szCs w:val="24"/>
          <w:lang w:val="sq-AL"/>
        </w:rPr>
        <w:t>.8</w:t>
      </w:r>
      <w:r w:rsidRPr="005D7230">
        <w:rPr>
          <w:rFonts w:ascii="Times New Roman" w:hAnsi="Times New Roman" w:cs="Times New Roman"/>
          <w:sz w:val="24"/>
          <w:szCs w:val="24"/>
          <w:lang w:val="sq-AL"/>
        </w:rPr>
        <w:t xml:space="preserve"> pik</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p</w:t>
      </w:r>
      <w:r w:rsidR="005E2B52"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rqindje.</w:t>
      </w:r>
    </w:p>
    <w:p w:rsidR="000C4B21" w:rsidRDefault="000C4B21" w:rsidP="00D53C96">
      <w:pPr>
        <w:pStyle w:val="ListParagraph"/>
        <w:numPr>
          <w:ilvl w:val="0"/>
          <w:numId w:val="1"/>
        </w:numPr>
        <w:tabs>
          <w:tab w:val="left" w:pos="1260"/>
        </w:tabs>
        <w:spacing w:after="0" w:line="240" w:lineRule="auto"/>
        <w:ind w:firstLine="540"/>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Treguesi i besimit t</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konsumator</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ve (TBK).</w:t>
      </w:r>
    </w:p>
    <w:p w:rsidR="00B33255" w:rsidRPr="00D53C96" w:rsidRDefault="00B33255" w:rsidP="00D53C96">
      <w:pPr>
        <w:tabs>
          <w:tab w:val="left" w:pos="1260"/>
        </w:tabs>
        <w:spacing w:after="0" w:line="240" w:lineRule="auto"/>
        <w:jc w:val="both"/>
        <w:rPr>
          <w:rFonts w:ascii="Times New Roman" w:hAnsi="Times New Roman" w:cs="Times New Roman"/>
          <w:sz w:val="24"/>
          <w:szCs w:val="24"/>
          <w:lang w:val="sq-AL"/>
        </w:rPr>
      </w:pPr>
      <w:r w:rsidRPr="00B33255">
        <w:rPr>
          <w:noProof/>
        </w:rPr>
        <w:drawing>
          <wp:inline distT="0" distB="0" distL="0" distR="0" wp14:anchorId="0769F8FC" wp14:editId="07819FA9">
            <wp:extent cx="6010275" cy="2828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0275" cy="2828925"/>
                    </a:xfrm>
                    <a:prstGeom prst="rect">
                      <a:avLst/>
                    </a:prstGeom>
                    <a:noFill/>
                    <a:ln>
                      <a:noFill/>
                    </a:ln>
                  </pic:spPr>
                </pic:pic>
              </a:graphicData>
            </a:graphic>
          </wp:inline>
        </w:drawing>
      </w:r>
    </w:p>
    <w:p w:rsidR="000C4B21" w:rsidRPr="005D7230" w:rsidRDefault="000C4B21" w:rsidP="001D7B2C">
      <w:pPr>
        <w:spacing w:after="0" w:line="240" w:lineRule="auto"/>
        <w:jc w:val="both"/>
        <w:rPr>
          <w:rFonts w:ascii="Times New Roman" w:hAnsi="Times New Roman" w:cs="Times New Roman"/>
          <w:sz w:val="24"/>
          <w:szCs w:val="24"/>
          <w:lang w:val="sq-AL"/>
        </w:rPr>
      </w:pPr>
    </w:p>
    <w:p w:rsidR="000C4B21" w:rsidRPr="005D7230" w:rsidRDefault="000C4B21" w:rsidP="000C4B21">
      <w:pPr>
        <w:spacing w:after="0" w:line="240" w:lineRule="auto"/>
        <w:jc w:val="both"/>
        <w:rPr>
          <w:rFonts w:ascii="Times New Roman" w:hAnsi="Times New Roman" w:cs="Times New Roman"/>
          <w:sz w:val="20"/>
          <w:szCs w:val="24"/>
          <w:lang w:val="sq-AL"/>
        </w:rPr>
      </w:pPr>
      <w:r w:rsidRPr="005D7230">
        <w:rPr>
          <w:rFonts w:ascii="Times New Roman" w:hAnsi="Times New Roman" w:cs="Times New Roman"/>
          <w:sz w:val="20"/>
          <w:szCs w:val="24"/>
          <w:lang w:val="sq-AL"/>
        </w:rPr>
        <w:t xml:space="preserve">Burimi: Vrojtimi i </w:t>
      </w:r>
      <w:r w:rsidR="00177517">
        <w:rPr>
          <w:rFonts w:ascii="Times New Roman" w:hAnsi="Times New Roman" w:cs="Times New Roman"/>
          <w:sz w:val="20"/>
          <w:szCs w:val="24"/>
          <w:lang w:val="sq-AL"/>
        </w:rPr>
        <w:t>b</w:t>
      </w:r>
      <w:r w:rsidRPr="005D7230">
        <w:rPr>
          <w:rFonts w:ascii="Times New Roman" w:hAnsi="Times New Roman" w:cs="Times New Roman"/>
          <w:sz w:val="20"/>
          <w:szCs w:val="24"/>
          <w:lang w:val="sq-AL"/>
        </w:rPr>
        <w:t xml:space="preserve">esimit të </w:t>
      </w:r>
      <w:r w:rsidR="00177517">
        <w:rPr>
          <w:rFonts w:ascii="Times New Roman" w:hAnsi="Times New Roman" w:cs="Times New Roman"/>
          <w:sz w:val="20"/>
          <w:szCs w:val="24"/>
          <w:lang w:val="sq-AL"/>
        </w:rPr>
        <w:t>k</w:t>
      </w:r>
      <w:r w:rsidRPr="005D7230">
        <w:rPr>
          <w:rFonts w:ascii="Times New Roman" w:hAnsi="Times New Roman" w:cs="Times New Roman"/>
          <w:sz w:val="20"/>
          <w:szCs w:val="24"/>
          <w:lang w:val="sq-AL"/>
        </w:rPr>
        <w:t>onsumatorit, Banka e Shqipërisë.</w:t>
      </w:r>
    </w:p>
    <w:p w:rsidR="005E2B52" w:rsidRPr="005D7230" w:rsidRDefault="005E2B52" w:rsidP="005E2B52">
      <w:pPr>
        <w:spacing w:after="0" w:line="240" w:lineRule="auto"/>
        <w:jc w:val="both"/>
        <w:rPr>
          <w:rFonts w:ascii="Times New Roman" w:hAnsi="Times New Roman" w:cs="Times New Roman"/>
          <w:sz w:val="24"/>
          <w:szCs w:val="24"/>
          <w:u w:val="single"/>
          <w:lang w:val="sq-AL"/>
        </w:rPr>
      </w:pPr>
    </w:p>
    <w:p w:rsidR="005E2B52" w:rsidRPr="005D7230" w:rsidRDefault="005E2B52" w:rsidP="005E2B52">
      <w:pPr>
        <w:spacing w:after="0" w:line="240" w:lineRule="auto"/>
        <w:jc w:val="both"/>
        <w:rPr>
          <w:rFonts w:ascii="Times New Roman" w:hAnsi="Times New Roman" w:cs="Times New Roman"/>
          <w:sz w:val="24"/>
          <w:szCs w:val="24"/>
          <w:u w:val="single"/>
          <w:lang w:val="sq-AL"/>
        </w:rPr>
      </w:pPr>
      <w:r w:rsidRPr="005D7230">
        <w:rPr>
          <w:rFonts w:ascii="Times New Roman" w:hAnsi="Times New Roman" w:cs="Times New Roman"/>
          <w:sz w:val="24"/>
          <w:szCs w:val="24"/>
          <w:u w:val="single"/>
          <w:lang w:val="sq-AL"/>
        </w:rPr>
        <w:t xml:space="preserve">Në vijim, analiza e disa treguesve që nuk përfshihen në ndërtimin e TBK-së. </w:t>
      </w:r>
    </w:p>
    <w:p w:rsidR="000C4B21" w:rsidRPr="005D7230" w:rsidRDefault="000C4B21" w:rsidP="000C4B21">
      <w:pPr>
        <w:spacing w:after="0" w:line="240" w:lineRule="auto"/>
        <w:jc w:val="both"/>
        <w:rPr>
          <w:rFonts w:ascii="Times New Roman" w:hAnsi="Times New Roman" w:cs="Times New Roman"/>
          <w:sz w:val="24"/>
          <w:szCs w:val="24"/>
          <w:lang w:val="sq-AL"/>
        </w:rPr>
      </w:pPr>
    </w:p>
    <w:p w:rsidR="005E2B52" w:rsidRPr="005D7230" w:rsidRDefault="005E2B52" w:rsidP="000C4B21">
      <w:pPr>
        <w:spacing w:after="0" w:line="240" w:lineRule="auto"/>
        <w:jc w:val="both"/>
        <w:rPr>
          <w:rFonts w:ascii="Times New Roman" w:hAnsi="Times New Roman" w:cs="Times New Roman"/>
          <w:sz w:val="24"/>
          <w:szCs w:val="24"/>
          <w:lang w:val="sq-AL"/>
        </w:rPr>
      </w:pPr>
      <w:r w:rsidRPr="00A6591B">
        <w:rPr>
          <w:rFonts w:ascii="Times New Roman" w:hAnsi="Times New Roman" w:cs="Times New Roman"/>
          <w:sz w:val="24"/>
          <w:szCs w:val="24"/>
          <w:lang w:val="sq-AL"/>
        </w:rPr>
        <w:t>P</w:t>
      </w:r>
      <w:r w:rsidR="00F230E0" w:rsidRPr="00A6591B">
        <w:rPr>
          <w:rFonts w:ascii="Times New Roman" w:hAnsi="Times New Roman" w:cs="Times New Roman"/>
          <w:sz w:val="24"/>
          <w:szCs w:val="24"/>
          <w:lang w:val="sq-AL"/>
        </w:rPr>
        <w:t>ë</w:t>
      </w:r>
      <w:r w:rsidRPr="00A6591B">
        <w:rPr>
          <w:rFonts w:ascii="Times New Roman" w:hAnsi="Times New Roman" w:cs="Times New Roman"/>
          <w:sz w:val="24"/>
          <w:szCs w:val="24"/>
          <w:lang w:val="sq-AL"/>
        </w:rPr>
        <w:t>rmir</w:t>
      </w:r>
      <w:r w:rsidR="00F230E0" w:rsidRPr="00A6591B">
        <w:rPr>
          <w:rFonts w:ascii="Times New Roman" w:hAnsi="Times New Roman" w:cs="Times New Roman"/>
          <w:sz w:val="24"/>
          <w:szCs w:val="24"/>
          <w:lang w:val="sq-AL"/>
        </w:rPr>
        <w:t>ë</w:t>
      </w:r>
      <w:r w:rsidRPr="00A6591B">
        <w:rPr>
          <w:rFonts w:ascii="Times New Roman" w:hAnsi="Times New Roman" w:cs="Times New Roman"/>
          <w:sz w:val="24"/>
          <w:szCs w:val="24"/>
          <w:lang w:val="sq-AL"/>
        </w:rPr>
        <w:t>simi i gjendjes s</w:t>
      </w:r>
      <w:r w:rsidR="00F230E0" w:rsidRPr="00A6591B">
        <w:rPr>
          <w:rFonts w:ascii="Times New Roman" w:hAnsi="Times New Roman" w:cs="Times New Roman"/>
          <w:sz w:val="24"/>
          <w:szCs w:val="24"/>
          <w:lang w:val="sq-AL"/>
        </w:rPr>
        <w:t>ë</w:t>
      </w:r>
      <w:r w:rsidRPr="00A6591B">
        <w:rPr>
          <w:rFonts w:ascii="Times New Roman" w:hAnsi="Times New Roman" w:cs="Times New Roman"/>
          <w:sz w:val="24"/>
          <w:szCs w:val="24"/>
          <w:lang w:val="sq-AL"/>
        </w:rPr>
        <w:t xml:space="preserve"> p</w:t>
      </w:r>
      <w:r w:rsidR="00F230E0" w:rsidRPr="00A6591B">
        <w:rPr>
          <w:rFonts w:ascii="Times New Roman" w:hAnsi="Times New Roman" w:cs="Times New Roman"/>
          <w:sz w:val="24"/>
          <w:szCs w:val="24"/>
          <w:lang w:val="sq-AL"/>
        </w:rPr>
        <w:t>ë</w:t>
      </w:r>
      <w:r w:rsidRPr="00A6591B">
        <w:rPr>
          <w:rFonts w:ascii="Times New Roman" w:hAnsi="Times New Roman" w:cs="Times New Roman"/>
          <w:sz w:val="24"/>
          <w:szCs w:val="24"/>
          <w:lang w:val="sq-AL"/>
        </w:rPr>
        <w:t>rgjithshme t</w:t>
      </w:r>
      <w:r w:rsidR="00F230E0" w:rsidRPr="00A6591B">
        <w:rPr>
          <w:rFonts w:ascii="Times New Roman" w:hAnsi="Times New Roman" w:cs="Times New Roman"/>
          <w:sz w:val="24"/>
          <w:szCs w:val="24"/>
          <w:lang w:val="sq-AL"/>
        </w:rPr>
        <w:t>ë</w:t>
      </w:r>
      <w:r w:rsidRPr="00A6591B">
        <w:rPr>
          <w:rFonts w:ascii="Times New Roman" w:hAnsi="Times New Roman" w:cs="Times New Roman"/>
          <w:sz w:val="24"/>
          <w:szCs w:val="24"/>
          <w:lang w:val="sq-AL"/>
        </w:rPr>
        <w:t xml:space="preserve"> besimit t</w:t>
      </w:r>
      <w:r w:rsidR="00F230E0" w:rsidRPr="00A6591B">
        <w:rPr>
          <w:rFonts w:ascii="Times New Roman" w:hAnsi="Times New Roman" w:cs="Times New Roman"/>
          <w:sz w:val="24"/>
          <w:szCs w:val="24"/>
          <w:lang w:val="sq-AL"/>
        </w:rPr>
        <w:t>ë</w:t>
      </w:r>
      <w:r w:rsidRPr="00A6591B">
        <w:rPr>
          <w:rFonts w:ascii="Times New Roman" w:hAnsi="Times New Roman" w:cs="Times New Roman"/>
          <w:sz w:val="24"/>
          <w:szCs w:val="24"/>
          <w:lang w:val="sq-AL"/>
        </w:rPr>
        <w:t xml:space="preserve"> konsumat</w:t>
      </w:r>
      <w:r w:rsidR="003B28FA" w:rsidRPr="00A6591B">
        <w:rPr>
          <w:rFonts w:ascii="Times New Roman" w:hAnsi="Times New Roman" w:cs="Times New Roman"/>
          <w:sz w:val="24"/>
          <w:szCs w:val="24"/>
          <w:lang w:val="sq-AL"/>
        </w:rPr>
        <w:t>orit</w:t>
      </w:r>
      <w:r w:rsidRPr="00A6591B">
        <w:rPr>
          <w:rFonts w:ascii="Times New Roman" w:hAnsi="Times New Roman" w:cs="Times New Roman"/>
          <w:sz w:val="24"/>
          <w:szCs w:val="24"/>
          <w:lang w:val="sq-AL"/>
        </w:rPr>
        <w:t xml:space="preserve"> u reflektua n</w:t>
      </w:r>
      <w:r w:rsidR="00F230E0" w:rsidRPr="00A6591B">
        <w:rPr>
          <w:rFonts w:ascii="Times New Roman" w:hAnsi="Times New Roman" w:cs="Times New Roman"/>
          <w:sz w:val="24"/>
          <w:szCs w:val="24"/>
          <w:lang w:val="sq-AL"/>
        </w:rPr>
        <w:t>ë</w:t>
      </w:r>
      <w:r w:rsidRPr="00A6591B">
        <w:rPr>
          <w:rFonts w:ascii="Times New Roman" w:hAnsi="Times New Roman" w:cs="Times New Roman"/>
          <w:sz w:val="24"/>
          <w:szCs w:val="24"/>
          <w:lang w:val="sq-AL"/>
        </w:rPr>
        <w:t xml:space="preserve"> t</w:t>
      </w:r>
      <w:r w:rsidR="00F230E0" w:rsidRPr="00A6591B">
        <w:rPr>
          <w:rFonts w:ascii="Times New Roman" w:hAnsi="Times New Roman" w:cs="Times New Roman"/>
          <w:sz w:val="24"/>
          <w:szCs w:val="24"/>
          <w:lang w:val="sq-AL"/>
        </w:rPr>
        <w:t>ë</w:t>
      </w:r>
      <w:r w:rsidRPr="00A6591B">
        <w:rPr>
          <w:rFonts w:ascii="Times New Roman" w:hAnsi="Times New Roman" w:cs="Times New Roman"/>
          <w:sz w:val="24"/>
          <w:szCs w:val="24"/>
          <w:lang w:val="sq-AL"/>
        </w:rPr>
        <w:t xml:space="preserve"> gjitha aspektet e tjera, p</w:t>
      </w:r>
      <w:r w:rsidR="00F230E0" w:rsidRPr="00A6591B">
        <w:rPr>
          <w:rFonts w:ascii="Times New Roman" w:hAnsi="Times New Roman" w:cs="Times New Roman"/>
          <w:sz w:val="24"/>
          <w:szCs w:val="24"/>
          <w:lang w:val="sq-AL"/>
        </w:rPr>
        <w:t>ë</w:t>
      </w:r>
      <w:r w:rsidRPr="00A6591B">
        <w:rPr>
          <w:rFonts w:ascii="Times New Roman" w:hAnsi="Times New Roman" w:cs="Times New Roman"/>
          <w:sz w:val="24"/>
          <w:szCs w:val="24"/>
          <w:lang w:val="sq-AL"/>
        </w:rPr>
        <w:t>r t</w:t>
      </w:r>
      <w:r w:rsidR="00F230E0" w:rsidRPr="00A6591B">
        <w:rPr>
          <w:rFonts w:ascii="Times New Roman" w:hAnsi="Times New Roman" w:cs="Times New Roman"/>
          <w:sz w:val="24"/>
          <w:szCs w:val="24"/>
          <w:lang w:val="sq-AL"/>
        </w:rPr>
        <w:t>ë</w:t>
      </w:r>
      <w:r w:rsidRPr="00A6591B">
        <w:rPr>
          <w:rFonts w:ascii="Times New Roman" w:hAnsi="Times New Roman" w:cs="Times New Roman"/>
          <w:sz w:val="24"/>
          <w:szCs w:val="24"/>
          <w:lang w:val="sq-AL"/>
        </w:rPr>
        <w:t xml:space="preserve"> cilat intervistohen</w:t>
      </w:r>
      <w:r w:rsidRPr="005D7230">
        <w:rPr>
          <w:rFonts w:ascii="Times New Roman" w:hAnsi="Times New Roman" w:cs="Times New Roman"/>
          <w:sz w:val="24"/>
          <w:szCs w:val="24"/>
          <w:lang w:val="sq-AL"/>
        </w:rPr>
        <w:t>. Vler</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simi p</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r </w:t>
      </w:r>
      <w:r w:rsidRPr="005D7230">
        <w:rPr>
          <w:rFonts w:ascii="Times New Roman" w:hAnsi="Times New Roman" w:cs="Times New Roman"/>
          <w:i/>
          <w:sz w:val="24"/>
          <w:szCs w:val="24"/>
          <w:lang w:val="sq-AL"/>
        </w:rPr>
        <w:t>gjendjen financiare</w:t>
      </w:r>
      <w:r w:rsidRPr="005D7230">
        <w:rPr>
          <w:rFonts w:ascii="Times New Roman" w:hAnsi="Times New Roman" w:cs="Times New Roman"/>
          <w:sz w:val="24"/>
          <w:szCs w:val="24"/>
          <w:lang w:val="sq-AL"/>
        </w:rPr>
        <w:t xml:space="preserve"> dhe </w:t>
      </w:r>
      <w:r w:rsidRPr="005D7230">
        <w:rPr>
          <w:rFonts w:ascii="Times New Roman" w:hAnsi="Times New Roman" w:cs="Times New Roman"/>
          <w:i/>
          <w:sz w:val="24"/>
          <w:szCs w:val="24"/>
          <w:lang w:val="sq-AL"/>
        </w:rPr>
        <w:t>situat</w:t>
      </w:r>
      <w:r w:rsidR="00F230E0" w:rsidRPr="005D7230">
        <w:rPr>
          <w:rFonts w:ascii="Times New Roman" w:hAnsi="Times New Roman" w:cs="Times New Roman"/>
          <w:i/>
          <w:sz w:val="24"/>
          <w:szCs w:val="24"/>
          <w:lang w:val="sq-AL"/>
        </w:rPr>
        <w:t>ë</w:t>
      </w:r>
      <w:r w:rsidRPr="005D7230">
        <w:rPr>
          <w:rFonts w:ascii="Times New Roman" w:hAnsi="Times New Roman" w:cs="Times New Roman"/>
          <w:i/>
          <w:sz w:val="24"/>
          <w:szCs w:val="24"/>
          <w:lang w:val="sq-AL"/>
        </w:rPr>
        <w:t>n ekonomike</w:t>
      </w:r>
      <w:r w:rsidRPr="005D7230">
        <w:rPr>
          <w:rFonts w:ascii="Times New Roman" w:hAnsi="Times New Roman" w:cs="Times New Roman"/>
          <w:sz w:val="24"/>
          <w:szCs w:val="24"/>
          <w:lang w:val="sq-AL"/>
        </w:rPr>
        <w:t xml:space="preserve"> u rrit gjat</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tremujorit t</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dyt</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vitit. Nj</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koh</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sisht, pritjet</w:t>
      </w:r>
      <w:r w:rsidR="00413DEC">
        <w:rPr>
          <w:rFonts w:ascii="Times New Roman" w:hAnsi="Times New Roman" w:cs="Times New Roman"/>
          <w:sz w:val="24"/>
          <w:szCs w:val="24"/>
          <w:lang w:val="sq-AL"/>
        </w:rPr>
        <w:t xml:space="preserve"> e konsumatorëve për normën e</w:t>
      </w:r>
      <w:r w:rsidRPr="005D7230">
        <w:rPr>
          <w:rFonts w:ascii="Times New Roman" w:hAnsi="Times New Roman" w:cs="Times New Roman"/>
          <w:sz w:val="24"/>
          <w:szCs w:val="24"/>
          <w:lang w:val="sq-AL"/>
        </w:rPr>
        <w:t xml:space="preserve"> </w:t>
      </w:r>
      <w:r w:rsidR="00495BFC" w:rsidRPr="005D7230">
        <w:rPr>
          <w:rFonts w:ascii="Times New Roman" w:hAnsi="Times New Roman" w:cs="Times New Roman"/>
          <w:i/>
          <w:sz w:val="24"/>
          <w:szCs w:val="24"/>
          <w:lang w:val="sq-AL"/>
        </w:rPr>
        <w:t>papun</w:t>
      </w:r>
      <w:r w:rsidR="00F230E0" w:rsidRPr="005D7230">
        <w:rPr>
          <w:rFonts w:ascii="Times New Roman" w:hAnsi="Times New Roman" w:cs="Times New Roman"/>
          <w:i/>
          <w:sz w:val="24"/>
          <w:szCs w:val="24"/>
          <w:lang w:val="sq-AL"/>
        </w:rPr>
        <w:t>ë</w:t>
      </w:r>
      <w:r w:rsidR="00495BFC" w:rsidRPr="005D7230">
        <w:rPr>
          <w:rFonts w:ascii="Times New Roman" w:hAnsi="Times New Roman" w:cs="Times New Roman"/>
          <w:i/>
          <w:sz w:val="24"/>
          <w:szCs w:val="24"/>
          <w:lang w:val="sq-AL"/>
        </w:rPr>
        <w:t>si</w:t>
      </w:r>
      <w:r w:rsidR="00413DEC">
        <w:rPr>
          <w:rFonts w:ascii="Times New Roman" w:hAnsi="Times New Roman" w:cs="Times New Roman"/>
          <w:i/>
          <w:sz w:val="24"/>
          <w:szCs w:val="24"/>
          <w:lang w:val="sq-AL"/>
        </w:rPr>
        <w:t>s</w:t>
      </w:r>
      <w:r w:rsidR="00F230E0" w:rsidRPr="005D7230">
        <w:rPr>
          <w:rFonts w:ascii="Times New Roman" w:hAnsi="Times New Roman" w:cs="Times New Roman"/>
          <w:i/>
          <w:sz w:val="24"/>
          <w:szCs w:val="24"/>
          <w:lang w:val="sq-AL"/>
        </w:rPr>
        <w:t>ë</w:t>
      </w:r>
      <w:r w:rsidR="00495BFC" w:rsidRPr="005D7230">
        <w:rPr>
          <w:rFonts w:ascii="Times New Roman" w:hAnsi="Times New Roman" w:cs="Times New Roman"/>
          <w:sz w:val="24"/>
          <w:szCs w:val="24"/>
          <w:lang w:val="sq-AL"/>
        </w:rPr>
        <w:t xml:space="preserve"> </w:t>
      </w:r>
      <w:r w:rsidR="00413DEC">
        <w:rPr>
          <w:rFonts w:ascii="Times New Roman" w:hAnsi="Times New Roman" w:cs="Times New Roman"/>
          <w:sz w:val="24"/>
          <w:szCs w:val="24"/>
          <w:lang w:val="sq-AL"/>
        </w:rPr>
        <w:t xml:space="preserve"> për gjashtëmujorin e ardhshëm</w:t>
      </w:r>
      <w:r w:rsidR="00495BFC" w:rsidRPr="005D7230">
        <w:rPr>
          <w:rFonts w:ascii="Times New Roman" w:hAnsi="Times New Roman" w:cs="Times New Roman"/>
          <w:sz w:val="24"/>
          <w:szCs w:val="24"/>
          <w:lang w:val="sq-AL"/>
        </w:rPr>
        <w:t xml:space="preserve"> kan</w:t>
      </w:r>
      <w:r w:rsidR="00F230E0" w:rsidRPr="005D7230">
        <w:rPr>
          <w:rFonts w:ascii="Times New Roman" w:hAnsi="Times New Roman" w:cs="Times New Roman"/>
          <w:sz w:val="24"/>
          <w:szCs w:val="24"/>
          <w:lang w:val="sq-AL"/>
        </w:rPr>
        <w:t>ë</w:t>
      </w:r>
      <w:r w:rsidR="00495BFC" w:rsidRPr="005D7230">
        <w:rPr>
          <w:rFonts w:ascii="Times New Roman" w:hAnsi="Times New Roman" w:cs="Times New Roman"/>
          <w:sz w:val="24"/>
          <w:szCs w:val="24"/>
          <w:lang w:val="sq-AL"/>
        </w:rPr>
        <w:t xml:space="preserve"> ardhur n</w:t>
      </w:r>
      <w:r w:rsidR="00F230E0" w:rsidRPr="005D7230">
        <w:rPr>
          <w:rFonts w:ascii="Times New Roman" w:hAnsi="Times New Roman" w:cs="Times New Roman"/>
          <w:sz w:val="24"/>
          <w:szCs w:val="24"/>
          <w:lang w:val="sq-AL"/>
        </w:rPr>
        <w:t>ë</w:t>
      </w:r>
      <w:r w:rsidR="00495BFC" w:rsidRPr="005D7230">
        <w:rPr>
          <w:rFonts w:ascii="Times New Roman" w:hAnsi="Times New Roman" w:cs="Times New Roman"/>
          <w:sz w:val="24"/>
          <w:szCs w:val="24"/>
          <w:lang w:val="sq-AL"/>
        </w:rPr>
        <w:t xml:space="preserve"> r</w:t>
      </w:r>
      <w:r w:rsidR="00F230E0" w:rsidRPr="005D7230">
        <w:rPr>
          <w:rFonts w:ascii="Times New Roman" w:hAnsi="Times New Roman" w:cs="Times New Roman"/>
          <w:sz w:val="24"/>
          <w:szCs w:val="24"/>
          <w:lang w:val="sq-AL"/>
        </w:rPr>
        <w:t>ë</w:t>
      </w:r>
      <w:r w:rsidR="00495BFC" w:rsidRPr="005D7230">
        <w:rPr>
          <w:rFonts w:ascii="Times New Roman" w:hAnsi="Times New Roman" w:cs="Times New Roman"/>
          <w:sz w:val="24"/>
          <w:szCs w:val="24"/>
          <w:lang w:val="sq-AL"/>
        </w:rPr>
        <w:t>nie p</w:t>
      </w:r>
      <w:r w:rsidR="00F230E0" w:rsidRPr="005D7230">
        <w:rPr>
          <w:rFonts w:ascii="Times New Roman" w:hAnsi="Times New Roman" w:cs="Times New Roman"/>
          <w:sz w:val="24"/>
          <w:szCs w:val="24"/>
          <w:lang w:val="sq-AL"/>
        </w:rPr>
        <w:t>ë</w:t>
      </w:r>
      <w:r w:rsidR="00495BFC" w:rsidRPr="005D7230">
        <w:rPr>
          <w:rFonts w:ascii="Times New Roman" w:hAnsi="Times New Roman" w:cs="Times New Roman"/>
          <w:sz w:val="24"/>
          <w:szCs w:val="24"/>
          <w:lang w:val="sq-AL"/>
        </w:rPr>
        <w:t>r t</w:t>
      </w:r>
      <w:r w:rsidR="00F230E0" w:rsidRPr="005D7230">
        <w:rPr>
          <w:rFonts w:ascii="Times New Roman" w:hAnsi="Times New Roman" w:cs="Times New Roman"/>
          <w:sz w:val="24"/>
          <w:szCs w:val="24"/>
          <w:lang w:val="sq-AL"/>
        </w:rPr>
        <w:t>ë</w:t>
      </w:r>
      <w:r w:rsidR="00495BFC" w:rsidRPr="005D7230">
        <w:rPr>
          <w:rFonts w:ascii="Times New Roman" w:hAnsi="Times New Roman" w:cs="Times New Roman"/>
          <w:sz w:val="24"/>
          <w:szCs w:val="24"/>
          <w:lang w:val="sq-AL"/>
        </w:rPr>
        <w:t xml:space="preserve"> dytin tremujor </w:t>
      </w:r>
      <w:r w:rsidR="00E6562E">
        <w:rPr>
          <w:rFonts w:ascii="Times New Roman" w:hAnsi="Times New Roman" w:cs="Times New Roman"/>
          <w:sz w:val="24"/>
          <w:szCs w:val="24"/>
          <w:lang w:val="sq-AL"/>
        </w:rPr>
        <w:t>radhazi</w:t>
      </w:r>
      <w:r w:rsidR="00495BFC" w:rsidRPr="005D7230">
        <w:rPr>
          <w:rFonts w:ascii="Times New Roman" w:hAnsi="Times New Roman" w:cs="Times New Roman"/>
          <w:sz w:val="24"/>
          <w:szCs w:val="24"/>
          <w:lang w:val="sq-AL"/>
        </w:rPr>
        <w:t xml:space="preserve">. </w:t>
      </w:r>
    </w:p>
    <w:p w:rsidR="00495BFC" w:rsidRPr="005D7230" w:rsidRDefault="00495BFC" w:rsidP="000C4B21">
      <w:pPr>
        <w:spacing w:after="0" w:line="240" w:lineRule="auto"/>
        <w:jc w:val="both"/>
        <w:rPr>
          <w:rFonts w:ascii="Times New Roman" w:hAnsi="Times New Roman" w:cs="Times New Roman"/>
          <w:sz w:val="24"/>
          <w:szCs w:val="24"/>
          <w:lang w:val="sq-AL"/>
        </w:rPr>
      </w:pPr>
    </w:p>
    <w:p w:rsidR="00495BFC" w:rsidRPr="005D7230" w:rsidRDefault="00495BFC" w:rsidP="000C4B21">
      <w:pPr>
        <w:spacing w:after="0" w:line="240" w:lineRule="auto"/>
        <w:jc w:val="both"/>
        <w:rPr>
          <w:rFonts w:ascii="Times New Roman" w:hAnsi="Times New Roman" w:cs="Times New Roman"/>
          <w:sz w:val="24"/>
          <w:szCs w:val="24"/>
          <w:lang w:val="sq-AL"/>
        </w:rPr>
      </w:pPr>
      <w:r w:rsidRPr="005D7230">
        <w:rPr>
          <w:rFonts w:ascii="Times New Roman" w:hAnsi="Times New Roman" w:cs="Times New Roman"/>
          <w:sz w:val="24"/>
          <w:szCs w:val="24"/>
          <w:lang w:val="sq-AL"/>
        </w:rPr>
        <w:t>Perceptimi p</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r koston e jetes</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s </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sht</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ulur, s</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bashku me pritje m</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t</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 ul</w:t>
      </w:r>
      <w:r w:rsidR="00F230E0" w:rsidRPr="005D7230">
        <w:rPr>
          <w:rFonts w:ascii="Times New Roman" w:hAnsi="Times New Roman" w:cs="Times New Roman"/>
          <w:sz w:val="24"/>
          <w:szCs w:val="24"/>
          <w:lang w:val="sq-AL"/>
        </w:rPr>
        <w:t>ë</w:t>
      </w:r>
      <w:r w:rsidRPr="005D7230">
        <w:rPr>
          <w:rFonts w:ascii="Times New Roman" w:hAnsi="Times New Roman" w:cs="Times New Roman"/>
          <w:sz w:val="24"/>
          <w:szCs w:val="24"/>
          <w:lang w:val="sq-AL"/>
        </w:rPr>
        <w:t xml:space="preserve">ta inflacioniste. </w:t>
      </w:r>
      <w:r w:rsidR="00F230E0" w:rsidRPr="005D7230">
        <w:rPr>
          <w:rFonts w:ascii="Times New Roman" w:hAnsi="Times New Roman" w:cs="Times New Roman"/>
          <w:sz w:val="24"/>
          <w:szCs w:val="24"/>
          <w:lang w:val="sq-AL"/>
        </w:rPr>
        <w:t xml:space="preserve">Balanca e pyetjes lidhur me nivelin e kursimeve ka regjistruar një rritje të lehtë, me </w:t>
      </w:r>
      <w:r w:rsidR="003B28FA">
        <w:rPr>
          <w:rFonts w:ascii="Times New Roman" w:hAnsi="Times New Roman" w:cs="Times New Roman"/>
          <w:sz w:val="24"/>
          <w:szCs w:val="24"/>
          <w:lang w:val="sq-AL"/>
        </w:rPr>
        <w:t>2.9</w:t>
      </w:r>
      <w:r w:rsidR="00F230E0" w:rsidRPr="005D7230">
        <w:rPr>
          <w:rFonts w:ascii="Times New Roman" w:hAnsi="Times New Roman" w:cs="Times New Roman"/>
          <w:sz w:val="24"/>
          <w:szCs w:val="24"/>
          <w:lang w:val="sq-AL"/>
        </w:rPr>
        <w:t xml:space="preserve"> pikë përqindje.</w:t>
      </w:r>
    </w:p>
    <w:p w:rsidR="005D7230" w:rsidRDefault="005D7230" w:rsidP="000C4B21">
      <w:pPr>
        <w:spacing w:after="0" w:line="240" w:lineRule="auto"/>
        <w:jc w:val="both"/>
        <w:rPr>
          <w:rFonts w:ascii="Times New Roman" w:hAnsi="Times New Roman" w:cs="Times New Roman"/>
          <w:sz w:val="24"/>
          <w:szCs w:val="24"/>
          <w:lang w:val="sq-AL"/>
        </w:rPr>
      </w:pPr>
    </w:p>
    <w:p w:rsidR="00D53C96" w:rsidRDefault="00D53C96" w:rsidP="000C4B21">
      <w:pPr>
        <w:spacing w:after="0" w:line="240" w:lineRule="auto"/>
        <w:jc w:val="both"/>
        <w:rPr>
          <w:rFonts w:ascii="Times New Roman" w:hAnsi="Times New Roman" w:cs="Times New Roman"/>
          <w:sz w:val="24"/>
          <w:szCs w:val="24"/>
          <w:lang w:val="sq-AL"/>
        </w:rPr>
      </w:pPr>
    </w:p>
    <w:p w:rsidR="00D53C96" w:rsidRDefault="00D53C96" w:rsidP="000C4B21">
      <w:pPr>
        <w:spacing w:after="0" w:line="240" w:lineRule="auto"/>
        <w:jc w:val="both"/>
        <w:rPr>
          <w:rFonts w:ascii="Times New Roman" w:hAnsi="Times New Roman" w:cs="Times New Roman"/>
          <w:sz w:val="24"/>
          <w:szCs w:val="24"/>
          <w:lang w:val="sq-AL"/>
        </w:rPr>
      </w:pPr>
    </w:p>
    <w:p w:rsidR="00D53C96" w:rsidRDefault="00D53C96" w:rsidP="000C4B21">
      <w:pPr>
        <w:spacing w:after="0" w:line="240" w:lineRule="auto"/>
        <w:jc w:val="both"/>
        <w:rPr>
          <w:rFonts w:ascii="Times New Roman" w:hAnsi="Times New Roman" w:cs="Times New Roman"/>
          <w:sz w:val="24"/>
          <w:szCs w:val="24"/>
          <w:lang w:val="sq-AL"/>
        </w:rPr>
      </w:pPr>
    </w:p>
    <w:p w:rsidR="00D53C96" w:rsidRDefault="00D53C96" w:rsidP="000C4B21">
      <w:pPr>
        <w:spacing w:after="0" w:line="240" w:lineRule="auto"/>
        <w:jc w:val="both"/>
        <w:rPr>
          <w:rFonts w:ascii="Times New Roman" w:hAnsi="Times New Roman" w:cs="Times New Roman"/>
          <w:sz w:val="24"/>
          <w:szCs w:val="24"/>
          <w:lang w:val="sq-AL"/>
        </w:rPr>
      </w:pPr>
    </w:p>
    <w:p w:rsidR="00D53C96" w:rsidRDefault="00D53C96" w:rsidP="000C4B21">
      <w:pPr>
        <w:spacing w:after="0" w:line="240" w:lineRule="auto"/>
        <w:jc w:val="both"/>
        <w:rPr>
          <w:rFonts w:ascii="Times New Roman" w:hAnsi="Times New Roman" w:cs="Times New Roman"/>
          <w:sz w:val="24"/>
          <w:szCs w:val="24"/>
          <w:lang w:val="sq-AL"/>
        </w:rPr>
      </w:pPr>
    </w:p>
    <w:p w:rsidR="00D53C96" w:rsidRPr="005D7230" w:rsidRDefault="00D53C96" w:rsidP="000C4B21">
      <w:pPr>
        <w:spacing w:after="0" w:line="240" w:lineRule="auto"/>
        <w:jc w:val="both"/>
        <w:rPr>
          <w:rFonts w:ascii="Times New Roman" w:hAnsi="Times New Roman" w:cs="Times New Roman"/>
          <w:sz w:val="24"/>
          <w:szCs w:val="24"/>
          <w:lang w:val="sq-AL"/>
        </w:rPr>
      </w:pPr>
    </w:p>
    <w:p w:rsidR="005D7230" w:rsidRPr="005D7230" w:rsidRDefault="005D7230" w:rsidP="000C4B21">
      <w:pPr>
        <w:spacing w:after="0" w:line="240" w:lineRule="auto"/>
        <w:jc w:val="both"/>
        <w:rPr>
          <w:rFonts w:ascii="Times New Roman" w:hAnsi="Times New Roman" w:cs="Times New Roman"/>
          <w:sz w:val="24"/>
          <w:szCs w:val="24"/>
          <w:lang w:val="sq-AL"/>
        </w:rPr>
      </w:pPr>
    </w:p>
    <w:p w:rsidR="005D7230" w:rsidRPr="005D7230" w:rsidRDefault="005D7230" w:rsidP="005D7230">
      <w:pPr>
        <w:rPr>
          <w:szCs w:val="16"/>
          <w:lang w:val="sq-AL"/>
        </w:rPr>
      </w:pPr>
      <w:r w:rsidRPr="005D7230">
        <w:rPr>
          <w:szCs w:val="16"/>
          <w:lang w:val="sq-AL"/>
        </w:rPr>
        <w:t>Tabelë 1: Treguesit e besimit sipas sektorëve</w:t>
      </w:r>
      <w:r w:rsidRPr="005D7230">
        <w:rPr>
          <w:szCs w:val="16"/>
          <w:vertAlign w:val="superscript"/>
          <w:lang w:val="sq-AL"/>
        </w:rPr>
        <w:t>*</w:t>
      </w:r>
      <w:r w:rsidRPr="005D7230">
        <w:rPr>
          <w:szCs w:val="16"/>
          <w:lang w:val="sq-AL"/>
        </w:rPr>
        <w:t>.</w:t>
      </w:r>
    </w:p>
    <w:tbl>
      <w:tblPr>
        <w:tblStyle w:val="TableGrid"/>
        <w:tblW w:w="5037" w:type="pct"/>
        <w:tblLook w:val="04A0" w:firstRow="1" w:lastRow="0" w:firstColumn="1" w:lastColumn="0" w:noHBand="0" w:noVBand="1"/>
      </w:tblPr>
      <w:tblGrid>
        <w:gridCol w:w="1195"/>
        <w:gridCol w:w="683"/>
        <w:gridCol w:w="683"/>
        <w:gridCol w:w="725"/>
        <w:gridCol w:w="639"/>
        <w:gridCol w:w="639"/>
        <w:gridCol w:w="642"/>
        <w:gridCol w:w="639"/>
        <w:gridCol w:w="621"/>
        <w:gridCol w:w="1659"/>
        <w:gridCol w:w="1522"/>
      </w:tblGrid>
      <w:tr w:rsidR="005D7230" w:rsidRPr="005D7230" w:rsidTr="005D7230">
        <w:trPr>
          <w:trHeight w:val="255"/>
        </w:trPr>
        <w:tc>
          <w:tcPr>
            <w:tcW w:w="619" w:type="pct"/>
            <w:noWrap/>
          </w:tcPr>
          <w:p w:rsidR="005D7230" w:rsidRPr="005D7230" w:rsidRDefault="005D7230" w:rsidP="00F7150D">
            <w:pPr>
              <w:spacing w:line="264" w:lineRule="auto"/>
              <w:jc w:val="both"/>
              <w:rPr>
                <w:b/>
                <w:bCs/>
                <w:sz w:val="18"/>
                <w:lang w:val="sq-AL"/>
              </w:rPr>
            </w:pPr>
            <w:r w:rsidRPr="005D7230">
              <w:rPr>
                <w:b/>
                <w:bCs/>
                <w:sz w:val="18"/>
                <w:lang w:val="sq-AL"/>
              </w:rPr>
              <w:t> </w:t>
            </w:r>
          </w:p>
        </w:tc>
        <w:tc>
          <w:tcPr>
            <w:tcW w:w="1084" w:type="pct"/>
            <w:gridSpan w:val="3"/>
            <w:noWrap/>
          </w:tcPr>
          <w:p w:rsidR="005D7230" w:rsidRPr="005D7230" w:rsidRDefault="005D7230" w:rsidP="00F7150D">
            <w:pPr>
              <w:spacing w:line="264" w:lineRule="auto"/>
              <w:jc w:val="center"/>
              <w:rPr>
                <w:b/>
                <w:bCs/>
                <w:sz w:val="18"/>
                <w:lang w:val="sq-AL"/>
              </w:rPr>
            </w:pPr>
            <w:r w:rsidRPr="005D7230">
              <w:rPr>
                <w:b/>
                <w:bCs/>
                <w:sz w:val="18"/>
                <w:lang w:val="sq-AL"/>
              </w:rPr>
              <w:t>Vlerat që nga T2-2002</w:t>
            </w:r>
          </w:p>
        </w:tc>
        <w:tc>
          <w:tcPr>
            <w:tcW w:w="995" w:type="pct"/>
            <w:gridSpan w:val="3"/>
          </w:tcPr>
          <w:p w:rsidR="005D7230" w:rsidRPr="005D7230" w:rsidRDefault="005D7230" w:rsidP="00F7150D">
            <w:pPr>
              <w:spacing w:line="264" w:lineRule="auto"/>
              <w:jc w:val="center"/>
              <w:rPr>
                <w:b/>
                <w:bCs/>
                <w:sz w:val="18"/>
                <w:lang w:val="sq-AL"/>
              </w:rPr>
            </w:pPr>
            <w:r w:rsidRPr="005D7230">
              <w:rPr>
                <w:b/>
                <w:bCs/>
                <w:sz w:val="18"/>
                <w:lang w:val="sq-AL"/>
              </w:rPr>
              <w:t>2012</w:t>
            </w:r>
          </w:p>
        </w:tc>
        <w:tc>
          <w:tcPr>
            <w:tcW w:w="653" w:type="pct"/>
            <w:gridSpan w:val="2"/>
          </w:tcPr>
          <w:p w:rsidR="005D7230" w:rsidRPr="005D7230" w:rsidRDefault="005D7230" w:rsidP="00F7150D">
            <w:pPr>
              <w:spacing w:line="264" w:lineRule="auto"/>
              <w:jc w:val="center"/>
              <w:rPr>
                <w:b/>
                <w:bCs/>
                <w:sz w:val="18"/>
                <w:lang w:val="sq-AL"/>
              </w:rPr>
            </w:pPr>
            <w:r w:rsidRPr="005D7230">
              <w:rPr>
                <w:b/>
                <w:bCs/>
                <w:sz w:val="18"/>
                <w:lang w:val="sq-AL"/>
              </w:rPr>
              <w:t>2013</w:t>
            </w:r>
          </w:p>
        </w:tc>
        <w:tc>
          <w:tcPr>
            <w:tcW w:w="1649" w:type="pct"/>
            <w:gridSpan w:val="2"/>
            <w:noWrap/>
          </w:tcPr>
          <w:p w:rsidR="005D7230" w:rsidRPr="005D7230" w:rsidRDefault="005D7230" w:rsidP="00F7150D">
            <w:pPr>
              <w:spacing w:line="264" w:lineRule="auto"/>
              <w:jc w:val="center"/>
              <w:rPr>
                <w:b/>
                <w:bCs/>
                <w:sz w:val="18"/>
                <w:lang w:val="sq-AL"/>
              </w:rPr>
            </w:pPr>
            <w:r w:rsidRPr="005D7230">
              <w:rPr>
                <w:b/>
                <w:bCs/>
                <w:sz w:val="18"/>
                <w:lang w:val="sq-AL"/>
              </w:rPr>
              <w:t>Situata aktuale</w:t>
            </w:r>
          </w:p>
        </w:tc>
      </w:tr>
      <w:tr w:rsidR="00DE275C" w:rsidRPr="005D7230" w:rsidTr="005D7230">
        <w:trPr>
          <w:trHeight w:val="255"/>
        </w:trPr>
        <w:tc>
          <w:tcPr>
            <w:tcW w:w="619" w:type="pct"/>
            <w:noWrap/>
          </w:tcPr>
          <w:p w:rsidR="005D7230" w:rsidRPr="005D7230" w:rsidRDefault="005D7230" w:rsidP="00F7150D">
            <w:pPr>
              <w:spacing w:line="264" w:lineRule="auto"/>
              <w:jc w:val="both"/>
              <w:rPr>
                <w:b/>
                <w:bCs/>
                <w:sz w:val="18"/>
                <w:lang w:val="sq-AL"/>
              </w:rPr>
            </w:pPr>
            <w:r w:rsidRPr="005D7230">
              <w:rPr>
                <w:b/>
                <w:bCs/>
                <w:sz w:val="18"/>
                <w:lang w:val="sq-AL"/>
              </w:rPr>
              <w:t> </w:t>
            </w:r>
          </w:p>
        </w:tc>
        <w:tc>
          <w:tcPr>
            <w:tcW w:w="354" w:type="pct"/>
            <w:noWrap/>
          </w:tcPr>
          <w:p w:rsidR="005D7230" w:rsidRPr="005D7230" w:rsidRDefault="005D7230" w:rsidP="00F7150D">
            <w:pPr>
              <w:spacing w:line="264" w:lineRule="auto"/>
              <w:jc w:val="center"/>
              <w:rPr>
                <w:b/>
                <w:bCs/>
                <w:sz w:val="18"/>
                <w:lang w:val="sq-AL"/>
              </w:rPr>
            </w:pPr>
            <w:r w:rsidRPr="005D7230">
              <w:rPr>
                <w:b/>
                <w:bCs/>
                <w:sz w:val="18"/>
                <w:lang w:val="sq-AL"/>
              </w:rPr>
              <w:t>min.</w:t>
            </w:r>
          </w:p>
        </w:tc>
        <w:tc>
          <w:tcPr>
            <w:tcW w:w="354" w:type="pct"/>
            <w:noWrap/>
          </w:tcPr>
          <w:p w:rsidR="005D7230" w:rsidRPr="005D7230" w:rsidRDefault="005D7230" w:rsidP="00F7150D">
            <w:pPr>
              <w:spacing w:line="264" w:lineRule="auto"/>
              <w:jc w:val="center"/>
              <w:rPr>
                <w:b/>
                <w:bCs/>
                <w:sz w:val="18"/>
                <w:lang w:val="sq-AL"/>
              </w:rPr>
            </w:pPr>
            <w:r w:rsidRPr="005D7230">
              <w:rPr>
                <w:b/>
                <w:bCs/>
                <w:sz w:val="18"/>
                <w:lang w:val="sq-AL"/>
              </w:rPr>
              <w:t>mes.</w:t>
            </w:r>
          </w:p>
        </w:tc>
        <w:tc>
          <w:tcPr>
            <w:tcW w:w="376" w:type="pct"/>
            <w:noWrap/>
          </w:tcPr>
          <w:p w:rsidR="005D7230" w:rsidRPr="005D7230" w:rsidRDefault="005D7230" w:rsidP="00F7150D">
            <w:pPr>
              <w:spacing w:line="264" w:lineRule="auto"/>
              <w:jc w:val="center"/>
              <w:rPr>
                <w:b/>
                <w:bCs/>
                <w:sz w:val="18"/>
                <w:lang w:val="sq-AL"/>
              </w:rPr>
            </w:pPr>
            <w:r w:rsidRPr="005D7230">
              <w:rPr>
                <w:b/>
                <w:bCs/>
                <w:sz w:val="18"/>
                <w:lang w:val="sq-AL"/>
              </w:rPr>
              <w:t>maks.</w:t>
            </w:r>
          </w:p>
        </w:tc>
        <w:tc>
          <w:tcPr>
            <w:tcW w:w="331" w:type="pct"/>
            <w:noWrap/>
          </w:tcPr>
          <w:p w:rsidR="005D7230" w:rsidRPr="005D7230" w:rsidRDefault="005D7230" w:rsidP="00F7150D">
            <w:pPr>
              <w:spacing w:line="264" w:lineRule="auto"/>
              <w:jc w:val="center"/>
              <w:rPr>
                <w:b/>
                <w:bCs/>
                <w:sz w:val="18"/>
                <w:lang w:val="sq-AL"/>
              </w:rPr>
            </w:pPr>
            <w:r>
              <w:rPr>
                <w:b/>
                <w:bCs/>
                <w:sz w:val="18"/>
                <w:lang w:val="sq-AL"/>
              </w:rPr>
              <w:t>T2</w:t>
            </w:r>
          </w:p>
        </w:tc>
        <w:tc>
          <w:tcPr>
            <w:tcW w:w="331" w:type="pct"/>
            <w:noWrap/>
          </w:tcPr>
          <w:p w:rsidR="005D7230" w:rsidRPr="005D7230" w:rsidRDefault="005D7230" w:rsidP="005D7230">
            <w:pPr>
              <w:spacing w:line="264" w:lineRule="auto"/>
              <w:jc w:val="center"/>
              <w:rPr>
                <w:b/>
                <w:bCs/>
                <w:sz w:val="18"/>
                <w:lang w:val="sq-AL"/>
              </w:rPr>
            </w:pPr>
            <w:r>
              <w:rPr>
                <w:b/>
                <w:bCs/>
                <w:sz w:val="18"/>
                <w:lang w:val="sq-AL"/>
              </w:rPr>
              <w:t>T3</w:t>
            </w:r>
          </w:p>
        </w:tc>
        <w:tc>
          <w:tcPr>
            <w:tcW w:w="333" w:type="pct"/>
            <w:noWrap/>
          </w:tcPr>
          <w:p w:rsidR="005D7230" w:rsidRPr="005D7230" w:rsidRDefault="005D7230" w:rsidP="005D7230">
            <w:pPr>
              <w:spacing w:line="264" w:lineRule="auto"/>
              <w:jc w:val="center"/>
              <w:rPr>
                <w:b/>
                <w:bCs/>
                <w:sz w:val="18"/>
                <w:lang w:val="sq-AL"/>
              </w:rPr>
            </w:pPr>
            <w:r>
              <w:rPr>
                <w:b/>
                <w:bCs/>
                <w:sz w:val="18"/>
                <w:lang w:val="sq-AL"/>
              </w:rPr>
              <w:t>T4</w:t>
            </w:r>
          </w:p>
        </w:tc>
        <w:tc>
          <w:tcPr>
            <w:tcW w:w="331" w:type="pct"/>
            <w:noWrap/>
          </w:tcPr>
          <w:p w:rsidR="005D7230" w:rsidRPr="005D7230" w:rsidRDefault="005D7230" w:rsidP="00F7150D">
            <w:pPr>
              <w:spacing w:line="264" w:lineRule="auto"/>
              <w:jc w:val="center"/>
              <w:rPr>
                <w:b/>
                <w:bCs/>
                <w:sz w:val="18"/>
                <w:lang w:val="sq-AL"/>
              </w:rPr>
            </w:pPr>
            <w:r w:rsidRPr="005D7230">
              <w:rPr>
                <w:b/>
                <w:bCs/>
                <w:sz w:val="18"/>
                <w:lang w:val="sq-AL"/>
              </w:rPr>
              <w:t>T1</w:t>
            </w:r>
          </w:p>
        </w:tc>
        <w:tc>
          <w:tcPr>
            <w:tcW w:w="322" w:type="pct"/>
          </w:tcPr>
          <w:p w:rsidR="005D7230" w:rsidRPr="005D7230" w:rsidRDefault="005D7230" w:rsidP="00F7150D">
            <w:pPr>
              <w:spacing w:line="264" w:lineRule="auto"/>
              <w:jc w:val="center"/>
              <w:rPr>
                <w:b/>
                <w:bCs/>
                <w:sz w:val="18"/>
                <w:lang w:val="sq-AL"/>
              </w:rPr>
            </w:pPr>
            <w:r>
              <w:rPr>
                <w:b/>
                <w:bCs/>
                <w:sz w:val="18"/>
                <w:lang w:val="sq-AL"/>
              </w:rPr>
              <w:t>T2</w:t>
            </w:r>
          </w:p>
        </w:tc>
        <w:tc>
          <w:tcPr>
            <w:tcW w:w="860" w:type="pct"/>
            <w:noWrap/>
          </w:tcPr>
          <w:p w:rsidR="005D7230" w:rsidRPr="005D7230" w:rsidRDefault="005D7230" w:rsidP="00F7150D">
            <w:pPr>
              <w:spacing w:line="264" w:lineRule="auto"/>
              <w:jc w:val="center"/>
              <w:rPr>
                <w:b/>
                <w:bCs/>
                <w:sz w:val="18"/>
                <w:lang w:val="sq-AL"/>
              </w:rPr>
            </w:pPr>
            <w:r w:rsidRPr="005D7230">
              <w:rPr>
                <w:b/>
                <w:bCs/>
                <w:sz w:val="18"/>
                <w:lang w:val="sq-AL"/>
              </w:rPr>
              <w:t>Koniunkturale**</w:t>
            </w:r>
          </w:p>
        </w:tc>
        <w:tc>
          <w:tcPr>
            <w:tcW w:w="789" w:type="pct"/>
            <w:noWrap/>
          </w:tcPr>
          <w:p w:rsidR="005D7230" w:rsidRPr="005D7230" w:rsidRDefault="005D7230" w:rsidP="00F7150D">
            <w:pPr>
              <w:spacing w:line="264" w:lineRule="auto"/>
              <w:jc w:val="center"/>
              <w:rPr>
                <w:b/>
                <w:bCs/>
                <w:sz w:val="18"/>
                <w:lang w:val="sq-AL"/>
              </w:rPr>
            </w:pPr>
            <w:r w:rsidRPr="005D7230">
              <w:rPr>
                <w:b/>
                <w:bCs/>
                <w:sz w:val="18"/>
                <w:lang w:val="sq-AL"/>
              </w:rPr>
              <w:t>Strukturore***</w:t>
            </w:r>
          </w:p>
        </w:tc>
      </w:tr>
      <w:tr w:rsidR="00DE275C" w:rsidRPr="005D7230" w:rsidTr="00E63E24">
        <w:trPr>
          <w:trHeight w:val="255"/>
        </w:trPr>
        <w:tc>
          <w:tcPr>
            <w:tcW w:w="619" w:type="pct"/>
            <w:noWrap/>
          </w:tcPr>
          <w:p w:rsidR="005D7230" w:rsidRPr="005D7230" w:rsidRDefault="005D7230" w:rsidP="00F7150D">
            <w:pPr>
              <w:spacing w:line="264" w:lineRule="auto"/>
              <w:jc w:val="both"/>
              <w:rPr>
                <w:sz w:val="18"/>
                <w:lang w:val="sq-AL"/>
              </w:rPr>
            </w:pPr>
            <w:r w:rsidRPr="005D7230">
              <w:rPr>
                <w:sz w:val="18"/>
                <w:lang w:val="sq-AL"/>
              </w:rPr>
              <w:t>Industri</w:t>
            </w:r>
          </w:p>
        </w:tc>
        <w:tc>
          <w:tcPr>
            <w:tcW w:w="354" w:type="pct"/>
            <w:noWrap/>
          </w:tcPr>
          <w:p w:rsidR="005D7230" w:rsidRPr="005D7230" w:rsidRDefault="005D7230" w:rsidP="00F7150D">
            <w:pPr>
              <w:jc w:val="center"/>
              <w:rPr>
                <w:sz w:val="16"/>
                <w:szCs w:val="16"/>
                <w:lang w:val="sq-AL"/>
              </w:rPr>
            </w:pPr>
            <w:r w:rsidRPr="005D7230">
              <w:rPr>
                <w:sz w:val="16"/>
                <w:szCs w:val="16"/>
                <w:lang w:val="sq-AL"/>
              </w:rPr>
              <w:t>-18.1</w:t>
            </w:r>
          </w:p>
        </w:tc>
        <w:tc>
          <w:tcPr>
            <w:tcW w:w="354" w:type="pct"/>
            <w:noWrap/>
          </w:tcPr>
          <w:p w:rsidR="005D7230" w:rsidRPr="005D7230" w:rsidRDefault="005D7230" w:rsidP="00F7150D">
            <w:pPr>
              <w:jc w:val="center"/>
              <w:rPr>
                <w:sz w:val="16"/>
                <w:szCs w:val="16"/>
                <w:lang w:val="sq-AL"/>
              </w:rPr>
            </w:pPr>
            <w:r w:rsidRPr="005D7230">
              <w:rPr>
                <w:sz w:val="16"/>
                <w:szCs w:val="16"/>
                <w:lang w:val="sq-AL"/>
              </w:rPr>
              <w:t>-3.4</w:t>
            </w:r>
          </w:p>
        </w:tc>
        <w:tc>
          <w:tcPr>
            <w:tcW w:w="376" w:type="pct"/>
            <w:noWrap/>
          </w:tcPr>
          <w:p w:rsidR="005D7230" w:rsidRPr="005D7230" w:rsidRDefault="005D7230" w:rsidP="00F7150D">
            <w:pPr>
              <w:jc w:val="center"/>
              <w:rPr>
                <w:sz w:val="16"/>
                <w:szCs w:val="16"/>
                <w:lang w:val="sq-AL"/>
              </w:rPr>
            </w:pPr>
            <w:r w:rsidRPr="005D7230">
              <w:rPr>
                <w:sz w:val="16"/>
                <w:szCs w:val="16"/>
                <w:lang w:val="sq-AL"/>
              </w:rPr>
              <w:t>6.1</w:t>
            </w:r>
          </w:p>
        </w:tc>
        <w:tc>
          <w:tcPr>
            <w:tcW w:w="331" w:type="pct"/>
            <w:noWrap/>
            <w:vAlign w:val="bottom"/>
          </w:tcPr>
          <w:p w:rsidR="005D7230" w:rsidRPr="00DE275C" w:rsidRDefault="005D7230" w:rsidP="00DE275C">
            <w:pPr>
              <w:jc w:val="center"/>
              <w:rPr>
                <w:sz w:val="16"/>
                <w:szCs w:val="16"/>
                <w:lang w:val="sq-AL"/>
              </w:rPr>
            </w:pPr>
            <w:r w:rsidRPr="00DE275C">
              <w:rPr>
                <w:sz w:val="16"/>
                <w:szCs w:val="16"/>
                <w:lang w:val="sq-AL"/>
              </w:rPr>
              <w:t>-9.8</w:t>
            </w:r>
          </w:p>
        </w:tc>
        <w:tc>
          <w:tcPr>
            <w:tcW w:w="331" w:type="pct"/>
            <w:noWrap/>
            <w:vAlign w:val="bottom"/>
          </w:tcPr>
          <w:p w:rsidR="005D7230" w:rsidRPr="00DE275C" w:rsidRDefault="005D7230" w:rsidP="00DE275C">
            <w:pPr>
              <w:jc w:val="center"/>
              <w:rPr>
                <w:sz w:val="16"/>
                <w:szCs w:val="16"/>
                <w:lang w:val="sq-AL"/>
              </w:rPr>
            </w:pPr>
            <w:r w:rsidRPr="00DE275C">
              <w:rPr>
                <w:sz w:val="16"/>
                <w:szCs w:val="16"/>
                <w:lang w:val="sq-AL"/>
              </w:rPr>
              <w:t>-11.5</w:t>
            </w:r>
          </w:p>
        </w:tc>
        <w:tc>
          <w:tcPr>
            <w:tcW w:w="333" w:type="pct"/>
            <w:noWrap/>
            <w:vAlign w:val="bottom"/>
          </w:tcPr>
          <w:p w:rsidR="005D7230" w:rsidRPr="00DE275C" w:rsidRDefault="005D7230" w:rsidP="00DE275C">
            <w:pPr>
              <w:jc w:val="center"/>
              <w:rPr>
                <w:sz w:val="16"/>
                <w:szCs w:val="16"/>
                <w:lang w:val="sq-AL"/>
              </w:rPr>
            </w:pPr>
            <w:r w:rsidRPr="00DE275C">
              <w:rPr>
                <w:sz w:val="16"/>
                <w:szCs w:val="16"/>
                <w:lang w:val="sq-AL"/>
              </w:rPr>
              <w:t>-9.9</w:t>
            </w:r>
          </w:p>
        </w:tc>
        <w:tc>
          <w:tcPr>
            <w:tcW w:w="331" w:type="pct"/>
            <w:noWrap/>
            <w:vAlign w:val="bottom"/>
          </w:tcPr>
          <w:p w:rsidR="005D7230" w:rsidRPr="00DE275C" w:rsidRDefault="005D7230" w:rsidP="00DE275C">
            <w:pPr>
              <w:jc w:val="center"/>
              <w:rPr>
                <w:sz w:val="16"/>
                <w:szCs w:val="16"/>
                <w:lang w:val="sq-AL"/>
              </w:rPr>
            </w:pPr>
            <w:r w:rsidRPr="00DE275C">
              <w:rPr>
                <w:sz w:val="16"/>
                <w:szCs w:val="16"/>
                <w:lang w:val="sq-AL"/>
              </w:rPr>
              <w:t>-6.3</w:t>
            </w:r>
          </w:p>
        </w:tc>
        <w:tc>
          <w:tcPr>
            <w:tcW w:w="322" w:type="pct"/>
            <w:vAlign w:val="bottom"/>
          </w:tcPr>
          <w:p w:rsidR="005D7230" w:rsidRPr="00DE275C" w:rsidRDefault="005D7230" w:rsidP="00DE275C">
            <w:pPr>
              <w:jc w:val="center"/>
              <w:rPr>
                <w:sz w:val="16"/>
                <w:szCs w:val="16"/>
                <w:lang w:val="sq-AL"/>
              </w:rPr>
            </w:pPr>
            <w:r w:rsidRPr="00DE275C">
              <w:rPr>
                <w:sz w:val="16"/>
                <w:szCs w:val="16"/>
                <w:lang w:val="sq-AL"/>
              </w:rPr>
              <w:t>-11.6</w:t>
            </w:r>
          </w:p>
        </w:tc>
        <w:tc>
          <w:tcPr>
            <w:tcW w:w="860" w:type="pct"/>
            <w:noWrap/>
          </w:tcPr>
          <w:p w:rsidR="005D7230" w:rsidRPr="005D7230" w:rsidRDefault="005D7230" w:rsidP="00F7150D">
            <w:pPr>
              <w:spacing w:line="264" w:lineRule="auto"/>
              <w:jc w:val="center"/>
              <w:rPr>
                <w:sz w:val="18"/>
                <w:lang w:val="sq-AL"/>
              </w:rPr>
            </w:pPr>
            <w:r w:rsidRPr="005D7230">
              <w:rPr>
                <w:sz w:val="18"/>
                <w:lang w:val="sq-AL"/>
              </w:rPr>
              <w:softHyphen/>
              <w:t>↓</w:t>
            </w:r>
          </w:p>
        </w:tc>
        <w:tc>
          <w:tcPr>
            <w:tcW w:w="789" w:type="pct"/>
            <w:noWrap/>
          </w:tcPr>
          <w:p w:rsidR="005D7230" w:rsidRPr="005D7230" w:rsidRDefault="005D7230" w:rsidP="00F7150D">
            <w:pPr>
              <w:spacing w:line="264" w:lineRule="auto"/>
              <w:jc w:val="center"/>
              <w:rPr>
                <w:sz w:val="18"/>
                <w:lang w:val="sq-AL"/>
              </w:rPr>
            </w:pPr>
            <w:r w:rsidRPr="005D7230">
              <w:rPr>
                <w:sz w:val="18"/>
                <w:lang w:val="sq-AL"/>
              </w:rPr>
              <w:t>-</w:t>
            </w:r>
            <w:r w:rsidR="00DE275C">
              <w:rPr>
                <w:sz w:val="18"/>
                <w:lang w:val="sq-AL"/>
              </w:rPr>
              <w:t>-</w:t>
            </w:r>
          </w:p>
        </w:tc>
      </w:tr>
      <w:tr w:rsidR="00DE275C" w:rsidRPr="005D7230" w:rsidTr="0054628A">
        <w:trPr>
          <w:trHeight w:val="255"/>
        </w:trPr>
        <w:tc>
          <w:tcPr>
            <w:tcW w:w="619" w:type="pct"/>
            <w:noWrap/>
          </w:tcPr>
          <w:p w:rsidR="00DE275C" w:rsidRPr="005D7230" w:rsidRDefault="00DE275C" w:rsidP="00F7150D">
            <w:pPr>
              <w:spacing w:line="264" w:lineRule="auto"/>
              <w:jc w:val="both"/>
              <w:rPr>
                <w:sz w:val="18"/>
                <w:lang w:val="sq-AL"/>
              </w:rPr>
            </w:pPr>
            <w:r w:rsidRPr="005D7230">
              <w:rPr>
                <w:sz w:val="18"/>
                <w:lang w:val="sq-AL"/>
              </w:rPr>
              <w:t>Ndërtim</w:t>
            </w:r>
          </w:p>
        </w:tc>
        <w:tc>
          <w:tcPr>
            <w:tcW w:w="354" w:type="pct"/>
            <w:noWrap/>
          </w:tcPr>
          <w:p w:rsidR="00DE275C" w:rsidRPr="005D7230" w:rsidRDefault="00DE275C" w:rsidP="00F7150D">
            <w:pPr>
              <w:jc w:val="center"/>
              <w:rPr>
                <w:sz w:val="16"/>
                <w:szCs w:val="16"/>
                <w:lang w:val="sq-AL"/>
              </w:rPr>
            </w:pPr>
            <w:r w:rsidRPr="005D7230">
              <w:rPr>
                <w:sz w:val="16"/>
                <w:szCs w:val="16"/>
                <w:lang w:val="sq-AL"/>
              </w:rPr>
              <w:t>-41.1</w:t>
            </w:r>
          </w:p>
        </w:tc>
        <w:tc>
          <w:tcPr>
            <w:tcW w:w="354" w:type="pct"/>
            <w:noWrap/>
          </w:tcPr>
          <w:p w:rsidR="00DE275C" w:rsidRPr="005D7230" w:rsidRDefault="00DE275C" w:rsidP="00F7150D">
            <w:pPr>
              <w:jc w:val="center"/>
              <w:rPr>
                <w:sz w:val="16"/>
                <w:szCs w:val="16"/>
                <w:lang w:val="sq-AL"/>
              </w:rPr>
            </w:pPr>
            <w:r w:rsidRPr="005D7230">
              <w:rPr>
                <w:sz w:val="16"/>
                <w:szCs w:val="16"/>
                <w:lang w:val="sq-AL"/>
              </w:rPr>
              <w:t>-8.7</w:t>
            </w:r>
          </w:p>
        </w:tc>
        <w:tc>
          <w:tcPr>
            <w:tcW w:w="376" w:type="pct"/>
            <w:noWrap/>
          </w:tcPr>
          <w:p w:rsidR="00DE275C" w:rsidRPr="005D7230" w:rsidRDefault="00DE275C" w:rsidP="00F7150D">
            <w:pPr>
              <w:jc w:val="center"/>
              <w:rPr>
                <w:sz w:val="16"/>
                <w:szCs w:val="16"/>
                <w:lang w:val="sq-AL"/>
              </w:rPr>
            </w:pPr>
            <w:r w:rsidRPr="005D7230">
              <w:rPr>
                <w:sz w:val="16"/>
                <w:szCs w:val="16"/>
                <w:lang w:val="sq-AL"/>
              </w:rPr>
              <w:t>9.2</w:t>
            </w:r>
          </w:p>
        </w:tc>
        <w:tc>
          <w:tcPr>
            <w:tcW w:w="331" w:type="pct"/>
            <w:noWrap/>
            <w:vAlign w:val="bottom"/>
          </w:tcPr>
          <w:p w:rsidR="00DE275C" w:rsidRPr="00DE275C" w:rsidRDefault="00DE275C" w:rsidP="00DE275C">
            <w:pPr>
              <w:jc w:val="center"/>
              <w:rPr>
                <w:sz w:val="16"/>
                <w:szCs w:val="16"/>
                <w:lang w:val="sq-AL"/>
              </w:rPr>
            </w:pPr>
            <w:r w:rsidRPr="00DE275C">
              <w:rPr>
                <w:sz w:val="16"/>
                <w:szCs w:val="16"/>
                <w:lang w:val="sq-AL"/>
              </w:rPr>
              <w:t>-29.1</w:t>
            </w:r>
          </w:p>
        </w:tc>
        <w:tc>
          <w:tcPr>
            <w:tcW w:w="331" w:type="pct"/>
            <w:noWrap/>
            <w:vAlign w:val="bottom"/>
          </w:tcPr>
          <w:p w:rsidR="00DE275C" w:rsidRPr="00DE275C" w:rsidRDefault="00DE275C" w:rsidP="00DE275C">
            <w:pPr>
              <w:jc w:val="center"/>
              <w:rPr>
                <w:sz w:val="16"/>
                <w:szCs w:val="16"/>
                <w:lang w:val="sq-AL"/>
              </w:rPr>
            </w:pPr>
            <w:r w:rsidRPr="00DE275C">
              <w:rPr>
                <w:sz w:val="16"/>
                <w:szCs w:val="16"/>
                <w:lang w:val="sq-AL"/>
              </w:rPr>
              <w:t>-36.3</w:t>
            </w:r>
          </w:p>
        </w:tc>
        <w:tc>
          <w:tcPr>
            <w:tcW w:w="333" w:type="pct"/>
            <w:noWrap/>
            <w:vAlign w:val="bottom"/>
          </w:tcPr>
          <w:p w:rsidR="00DE275C" w:rsidRPr="00DE275C" w:rsidRDefault="00DE275C" w:rsidP="00DE275C">
            <w:pPr>
              <w:jc w:val="center"/>
              <w:rPr>
                <w:sz w:val="16"/>
                <w:szCs w:val="16"/>
                <w:lang w:val="sq-AL"/>
              </w:rPr>
            </w:pPr>
            <w:r w:rsidRPr="00DE275C">
              <w:rPr>
                <w:sz w:val="16"/>
                <w:szCs w:val="16"/>
                <w:lang w:val="sq-AL"/>
              </w:rPr>
              <w:t>-40.5</w:t>
            </w:r>
          </w:p>
        </w:tc>
        <w:tc>
          <w:tcPr>
            <w:tcW w:w="331" w:type="pct"/>
            <w:noWrap/>
            <w:vAlign w:val="bottom"/>
          </w:tcPr>
          <w:p w:rsidR="00DE275C" w:rsidRPr="00DE275C" w:rsidRDefault="00DE275C" w:rsidP="00DE275C">
            <w:pPr>
              <w:jc w:val="center"/>
              <w:rPr>
                <w:sz w:val="16"/>
                <w:szCs w:val="16"/>
                <w:lang w:val="sq-AL"/>
              </w:rPr>
            </w:pPr>
            <w:r w:rsidRPr="00DE275C">
              <w:rPr>
                <w:sz w:val="16"/>
                <w:szCs w:val="16"/>
                <w:lang w:val="sq-AL"/>
              </w:rPr>
              <w:t>-23.3</w:t>
            </w:r>
          </w:p>
        </w:tc>
        <w:tc>
          <w:tcPr>
            <w:tcW w:w="322" w:type="pct"/>
            <w:vAlign w:val="bottom"/>
          </w:tcPr>
          <w:p w:rsidR="00DE275C" w:rsidRPr="00DE275C" w:rsidRDefault="00DE275C" w:rsidP="00DE275C">
            <w:pPr>
              <w:jc w:val="center"/>
              <w:rPr>
                <w:sz w:val="16"/>
                <w:szCs w:val="16"/>
                <w:lang w:val="sq-AL"/>
              </w:rPr>
            </w:pPr>
            <w:r w:rsidRPr="00DE275C">
              <w:rPr>
                <w:sz w:val="16"/>
                <w:szCs w:val="16"/>
                <w:lang w:val="sq-AL"/>
              </w:rPr>
              <w:t>-29.3</w:t>
            </w:r>
          </w:p>
        </w:tc>
        <w:tc>
          <w:tcPr>
            <w:tcW w:w="860" w:type="pct"/>
            <w:noWrap/>
          </w:tcPr>
          <w:p w:rsidR="00DE275C" w:rsidRPr="005D7230" w:rsidRDefault="00DE275C" w:rsidP="00F7150D">
            <w:pPr>
              <w:spacing w:line="264" w:lineRule="auto"/>
              <w:jc w:val="center"/>
              <w:rPr>
                <w:sz w:val="18"/>
                <w:lang w:val="sq-AL"/>
              </w:rPr>
            </w:pPr>
            <w:r w:rsidRPr="005D7230">
              <w:rPr>
                <w:sz w:val="18"/>
                <w:lang w:val="sq-AL"/>
              </w:rPr>
              <w:t>↓</w:t>
            </w:r>
          </w:p>
        </w:tc>
        <w:tc>
          <w:tcPr>
            <w:tcW w:w="789" w:type="pct"/>
            <w:noWrap/>
          </w:tcPr>
          <w:p w:rsidR="00DE275C" w:rsidRPr="005D7230" w:rsidRDefault="00DE275C" w:rsidP="00F7150D">
            <w:pPr>
              <w:spacing w:line="264" w:lineRule="auto"/>
              <w:jc w:val="center"/>
              <w:rPr>
                <w:sz w:val="18"/>
                <w:lang w:val="sq-AL"/>
              </w:rPr>
            </w:pPr>
            <w:r w:rsidRPr="005D7230">
              <w:rPr>
                <w:sz w:val="18"/>
                <w:lang w:val="sq-AL"/>
              </w:rPr>
              <w:t>-</w:t>
            </w:r>
            <w:r>
              <w:rPr>
                <w:sz w:val="18"/>
                <w:lang w:val="sq-AL"/>
              </w:rPr>
              <w:t>-</w:t>
            </w:r>
          </w:p>
        </w:tc>
      </w:tr>
      <w:tr w:rsidR="00DE275C" w:rsidRPr="005D7230" w:rsidTr="00695151">
        <w:trPr>
          <w:trHeight w:val="255"/>
        </w:trPr>
        <w:tc>
          <w:tcPr>
            <w:tcW w:w="619" w:type="pct"/>
            <w:noWrap/>
          </w:tcPr>
          <w:p w:rsidR="00DE275C" w:rsidRPr="005D7230" w:rsidRDefault="00DE275C" w:rsidP="00F7150D">
            <w:pPr>
              <w:spacing w:line="264" w:lineRule="auto"/>
              <w:jc w:val="both"/>
              <w:rPr>
                <w:sz w:val="18"/>
                <w:lang w:val="sq-AL"/>
              </w:rPr>
            </w:pPr>
            <w:r w:rsidRPr="005D7230">
              <w:rPr>
                <w:sz w:val="18"/>
                <w:lang w:val="sq-AL"/>
              </w:rPr>
              <w:t>Shërbime</w:t>
            </w:r>
          </w:p>
        </w:tc>
        <w:tc>
          <w:tcPr>
            <w:tcW w:w="354" w:type="pct"/>
            <w:noWrap/>
          </w:tcPr>
          <w:p w:rsidR="00DE275C" w:rsidRPr="005D7230" w:rsidRDefault="00DE275C" w:rsidP="00F7150D">
            <w:pPr>
              <w:jc w:val="center"/>
              <w:rPr>
                <w:sz w:val="16"/>
                <w:szCs w:val="16"/>
                <w:lang w:val="sq-AL"/>
              </w:rPr>
            </w:pPr>
            <w:r w:rsidRPr="005D7230">
              <w:rPr>
                <w:sz w:val="16"/>
                <w:szCs w:val="16"/>
                <w:lang w:val="sq-AL"/>
              </w:rPr>
              <w:t>-13.1</w:t>
            </w:r>
          </w:p>
        </w:tc>
        <w:tc>
          <w:tcPr>
            <w:tcW w:w="354" w:type="pct"/>
            <w:noWrap/>
          </w:tcPr>
          <w:p w:rsidR="00DE275C" w:rsidRPr="005D7230" w:rsidRDefault="00DE275C" w:rsidP="00F7150D">
            <w:pPr>
              <w:jc w:val="center"/>
              <w:rPr>
                <w:sz w:val="16"/>
                <w:szCs w:val="16"/>
                <w:lang w:val="sq-AL"/>
              </w:rPr>
            </w:pPr>
            <w:r w:rsidRPr="005D7230">
              <w:rPr>
                <w:sz w:val="16"/>
                <w:szCs w:val="16"/>
                <w:lang w:val="sq-AL"/>
              </w:rPr>
              <w:t>2.1</w:t>
            </w:r>
          </w:p>
        </w:tc>
        <w:tc>
          <w:tcPr>
            <w:tcW w:w="376" w:type="pct"/>
            <w:noWrap/>
          </w:tcPr>
          <w:p w:rsidR="00DE275C" w:rsidRPr="005D7230" w:rsidRDefault="00DE275C" w:rsidP="00F7150D">
            <w:pPr>
              <w:jc w:val="center"/>
              <w:rPr>
                <w:sz w:val="16"/>
                <w:szCs w:val="16"/>
                <w:lang w:val="sq-AL"/>
              </w:rPr>
            </w:pPr>
            <w:r w:rsidRPr="005D7230">
              <w:rPr>
                <w:sz w:val="16"/>
                <w:szCs w:val="16"/>
                <w:lang w:val="sq-AL"/>
              </w:rPr>
              <w:t>21.1</w:t>
            </w:r>
          </w:p>
        </w:tc>
        <w:tc>
          <w:tcPr>
            <w:tcW w:w="331" w:type="pct"/>
            <w:noWrap/>
            <w:vAlign w:val="bottom"/>
          </w:tcPr>
          <w:p w:rsidR="00DE275C" w:rsidRPr="00DE275C" w:rsidRDefault="00DE275C" w:rsidP="00DE275C">
            <w:pPr>
              <w:jc w:val="center"/>
              <w:rPr>
                <w:sz w:val="16"/>
                <w:szCs w:val="16"/>
                <w:lang w:val="sq-AL"/>
              </w:rPr>
            </w:pPr>
            <w:r w:rsidRPr="00DE275C">
              <w:rPr>
                <w:sz w:val="16"/>
                <w:szCs w:val="16"/>
                <w:lang w:val="sq-AL"/>
              </w:rPr>
              <w:t>-6.7</w:t>
            </w:r>
          </w:p>
        </w:tc>
        <w:tc>
          <w:tcPr>
            <w:tcW w:w="331" w:type="pct"/>
            <w:noWrap/>
            <w:vAlign w:val="bottom"/>
          </w:tcPr>
          <w:p w:rsidR="00DE275C" w:rsidRPr="00DE275C" w:rsidRDefault="00DE275C" w:rsidP="00DE275C">
            <w:pPr>
              <w:jc w:val="center"/>
              <w:rPr>
                <w:sz w:val="16"/>
                <w:szCs w:val="16"/>
                <w:lang w:val="sq-AL"/>
              </w:rPr>
            </w:pPr>
            <w:r w:rsidRPr="00DE275C">
              <w:rPr>
                <w:sz w:val="16"/>
                <w:szCs w:val="16"/>
                <w:lang w:val="sq-AL"/>
              </w:rPr>
              <w:t>-13.6</w:t>
            </w:r>
          </w:p>
        </w:tc>
        <w:tc>
          <w:tcPr>
            <w:tcW w:w="333" w:type="pct"/>
            <w:noWrap/>
            <w:vAlign w:val="bottom"/>
          </w:tcPr>
          <w:p w:rsidR="00DE275C" w:rsidRPr="00DE275C" w:rsidRDefault="00DE275C" w:rsidP="00DE275C">
            <w:pPr>
              <w:jc w:val="center"/>
              <w:rPr>
                <w:sz w:val="16"/>
                <w:szCs w:val="16"/>
                <w:lang w:val="sq-AL"/>
              </w:rPr>
            </w:pPr>
            <w:r w:rsidRPr="00DE275C">
              <w:rPr>
                <w:sz w:val="16"/>
                <w:szCs w:val="16"/>
                <w:lang w:val="sq-AL"/>
              </w:rPr>
              <w:t>-3.0</w:t>
            </w:r>
          </w:p>
        </w:tc>
        <w:tc>
          <w:tcPr>
            <w:tcW w:w="331" w:type="pct"/>
            <w:noWrap/>
            <w:vAlign w:val="bottom"/>
          </w:tcPr>
          <w:p w:rsidR="00DE275C" w:rsidRPr="00DE275C" w:rsidRDefault="00DE275C" w:rsidP="00DE275C">
            <w:pPr>
              <w:jc w:val="center"/>
              <w:rPr>
                <w:sz w:val="16"/>
                <w:szCs w:val="16"/>
                <w:lang w:val="sq-AL"/>
              </w:rPr>
            </w:pPr>
            <w:r w:rsidRPr="00DE275C">
              <w:rPr>
                <w:sz w:val="16"/>
                <w:szCs w:val="16"/>
                <w:lang w:val="sq-AL"/>
              </w:rPr>
              <w:t>-3.7</w:t>
            </w:r>
          </w:p>
        </w:tc>
        <w:tc>
          <w:tcPr>
            <w:tcW w:w="322" w:type="pct"/>
            <w:vAlign w:val="bottom"/>
          </w:tcPr>
          <w:p w:rsidR="00DE275C" w:rsidRPr="00DE275C" w:rsidRDefault="00DE275C" w:rsidP="00DE275C">
            <w:pPr>
              <w:jc w:val="center"/>
              <w:rPr>
                <w:sz w:val="16"/>
                <w:szCs w:val="16"/>
                <w:lang w:val="sq-AL"/>
              </w:rPr>
            </w:pPr>
            <w:r w:rsidRPr="00DE275C">
              <w:rPr>
                <w:sz w:val="16"/>
                <w:szCs w:val="16"/>
                <w:lang w:val="sq-AL"/>
              </w:rPr>
              <w:t>-17.6</w:t>
            </w:r>
          </w:p>
        </w:tc>
        <w:tc>
          <w:tcPr>
            <w:tcW w:w="860" w:type="pct"/>
            <w:noWrap/>
          </w:tcPr>
          <w:p w:rsidR="00DE275C" w:rsidRPr="005D7230" w:rsidRDefault="00DE275C" w:rsidP="00F7150D">
            <w:pPr>
              <w:spacing w:line="264" w:lineRule="auto"/>
              <w:jc w:val="center"/>
              <w:rPr>
                <w:sz w:val="18"/>
                <w:lang w:val="sq-AL"/>
              </w:rPr>
            </w:pPr>
            <w:r w:rsidRPr="005D7230">
              <w:rPr>
                <w:sz w:val="18"/>
                <w:lang w:val="sq-AL"/>
              </w:rPr>
              <w:t>↓</w:t>
            </w:r>
          </w:p>
        </w:tc>
        <w:tc>
          <w:tcPr>
            <w:tcW w:w="789" w:type="pct"/>
            <w:noWrap/>
          </w:tcPr>
          <w:p w:rsidR="00DE275C" w:rsidRPr="005D7230" w:rsidRDefault="00DE275C" w:rsidP="00F7150D">
            <w:pPr>
              <w:spacing w:line="264" w:lineRule="auto"/>
              <w:jc w:val="center"/>
              <w:rPr>
                <w:sz w:val="18"/>
                <w:lang w:val="sq-AL"/>
              </w:rPr>
            </w:pPr>
            <w:r w:rsidRPr="005D7230">
              <w:rPr>
                <w:sz w:val="18"/>
                <w:lang w:val="sq-AL"/>
              </w:rPr>
              <w:t>--</w:t>
            </w:r>
          </w:p>
        </w:tc>
      </w:tr>
      <w:tr w:rsidR="00DE275C" w:rsidRPr="005D7230" w:rsidTr="005D7230">
        <w:trPr>
          <w:trHeight w:val="255"/>
        </w:trPr>
        <w:tc>
          <w:tcPr>
            <w:tcW w:w="619" w:type="pct"/>
            <w:noWrap/>
          </w:tcPr>
          <w:p w:rsidR="005D7230" w:rsidRPr="005D7230" w:rsidRDefault="005D7230" w:rsidP="00F7150D">
            <w:pPr>
              <w:spacing w:line="264" w:lineRule="auto"/>
              <w:jc w:val="both"/>
              <w:rPr>
                <w:sz w:val="18"/>
                <w:lang w:val="sq-AL"/>
              </w:rPr>
            </w:pPr>
            <w:r w:rsidRPr="005D7230">
              <w:rPr>
                <w:sz w:val="18"/>
                <w:lang w:val="sq-AL"/>
              </w:rPr>
              <w:t>Konsumator</w:t>
            </w:r>
          </w:p>
        </w:tc>
        <w:tc>
          <w:tcPr>
            <w:tcW w:w="354" w:type="pct"/>
            <w:noWrap/>
          </w:tcPr>
          <w:p w:rsidR="005D7230" w:rsidRPr="005D7230" w:rsidRDefault="005D7230" w:rsidP="00F7150D">
            <w:pPr>
              <w:jc w:val="center"/>
              <w:rPr>
                <w:sz w:val="16"/>
                <w:szCs w:val="16"/>
                <w:lang w:val="sq-AL"/>
              </w:rPr>
            </w:pPr>
            <w:r w:rsidRPr="005D7230">
              <w:rPr>
                <w:sz w:val="16"/>
                <w:szCs w:val="16"/>
                <w:lang w:val="sq-AL"/>
              </w:rPr>
              <w:t>-20.5</w:t>
            </w:r>
          </w:p>
        </w:tc>
        <w:tc>
          <w:tcPr>
            <w:tcW w:w="354" w:type="pct"/>
            <w:noWrap/>
          </w:tcPr>
          <w:p w:rsidR="005D7230" w:rsidRPr="005D7230" w:rsidRDefault="005D7230" w:rsidP="00F7150D">
            <w:pPr>
              <w:jc w:val="center"/>
              <w:rPr>
                <w:sz w:val="16"/>
                <w:szCs w:val="16"/>
                <w:lang w:val="sq-AL"/>
              </w:rPr>
            </w:pPr>
            <w:r w:rsidRPr="005D7230">
              <w:rPr>
                <w:sz w:val="16"/>
                <w:szCs w:val="16"/>
                <w:lang w:val="sq-AL"/>
              </w:rPr>
              <w:t>-12.4</w:t>
            </w:r>
          </w:p>
        </w:tc>
        <w:tc>
          <w:tcPr>
            <w:tcW w:w="376" w:type="pct"/>
            <w:noWrap/>
          </w:tcPr>
          <w:p w:rsidR="005D7230" w:rsidRPr="005D7230" w:rsidRDefault="005D7230" w:rsidP="00F7150D">
            <w:pPr>
              <w:jc w:val="center"/>
              <w:rPr>
                <w:sz w:val="16"/>
                <w:szCs w:val="16"/>
                <w:lang w:val="sq-AL"/>
              </w:rPr>
            </w:pPr>
            <w:r w:rsidRPr="005D7230">
              <w:rPr>
                <w:sz w:val="16"/>
                <w:szCs w:val="16"/>
                <w:lang w:val="sq-AL"/>
              </w:rPr>
              <w:t>-6.4</w:t>
            </w:r>
          </w:p>
        </w:tc>
        <w:tc>
          <w:tcPr>
            <w:tcW w:w="331" w:type="pct"/>
            <w:noWrap/>
          </w:tcPr>
          <w:p w:rsidR="005D7230" w:rsidRPr="005D7230" w:rsidRDefault="005D7230" w:rsidP="00217A7F">
            <w:pPr>
              <w:jc w:val="center"/>
              <w:rPr>
                <w:sz w:val="16"/>
                <w:szCs w:val="16"/>
                <w:lang w:val="sq-AL"/>
              </w:rPr>
            </w:pPr>
            <w:r w:rsidRPr="005D7230">
              <w:rPr>
                <w:sz w:val="16"/>
                <w:szCs w:val="16"/>
                <w:lang w:val="sq-AL"/>
              </w:rPr>
              <w:t>-14.5</w:t>
            </w:r>
          </w:p>
        </w:tc>
        <w:tc>
          <w:tcPr>
            <w:tcW w:w="331" w:type="pct"/>
            <w:noWrap/>
          </w:tcPr>
          <w:p w:rsidR="005D7230" w:rsidRPr="005D7230" w:rsidRDefault="005D7230" w:rsidP="00217A7F">
            <w:pPr>
              <w:jc w:val="center"/>
              <w:rPr>
                <w:sz w:val="16"/>
                <w:szCs w:val="16"/>
                <w:lang w:val="sq-AL"/>
              </w:rPr>
            </w:pPr>
            <w:r w:rsidRPr="005D7230">
              <w:rPr>
                <w:sz w:val="16"/>
                <w:szCs w:val="16"/>
                <w:lang w:val="sq-AL"/>
              </w:rPr>
              <w:t>-13.2</w:t>
            </w:r>
          </w:p>
        </w:tc>
        <w:tc>
          <w:tcPr>
            <w:tcW w:w="333" w:type="pct"/>
            <w:noWrap/>
          </w:tcPr>
          <w:p w:rsidR="005D7230" w:rsidRPr="005D7230" w:rsidRDefault="005D7230" w:rsidP="00217A7F">
            <w:pPr>
              <w:jc w:val="center"/>
              <w:rPr>
                <w:sz w:val="16"/>
                <w:szCs w:val="16"/>
                <w:lang w:val="sq-AL"/>
              </w:rPr>
            </w:pPr>
            <w:r w:rsidRPr="005D7230">
              <w:rPr>
                <w:sz w:val="16"/>
                <w:szCs w:val="16"/>
                <w:lang w:val="sq-AL"/>
              </w:rPr>
              <w:t>-16.3</w:t>
            </w:r>
          </w:p>
        </w:tc>
        <w:tc>
          <w:tcPr>
            <w:tcW w:w="331" w:type="pct"/>
            <w:noWrap/>
          </w:tcPr>
          <w:p w:rsidR="005D7230" w:rsidRPr="005D7230" w:rsidRDefault="005D7230" w:rsidP="00217A7F">
            <w:pPr>
              <w:jc w:val="center"/>
              <w:rPr>
                <w:sz w:val="16"/>
                <w:szCs w:val="16"/>
                <w:lang w:val="sq-AL"/>
              </w:rPr>
            </w:pPr>
            <w:r w:rsidRPr="005D7230">
              <w:rPr>
                <w:sz w:val="16"/>
                <w:szCs w:val="16"/>
                <w:lang w:val="sq-AL"/>
              </w:rPr>
              <w:t>-15.8</w:t>
            </w:r>
          </w:p>
        </w:tc>
        <w:tc>
          <w:tcPr>
            <w:tcW w:w="322" w:type="pct"/>
          </w:tcPr>
          <w:p w:rsidR="005D7230" w:rsidRPr="005D7230" w:rsidRDefault="00DE275C" w:rsidP="00F7150D">
            <w:pPr>
              <w:jc w:val="center"/>
              <w:rPr>
                <w:sz w:val="16"/>
                <w:szCs w:val="16"/>
                <w:lang w:val="sq-AL"/>
              </w:rPr>
            </w:pPr>
            <w:r>
              <w:rPr>
                <w:sz w:val="16"/>
                <w:szCs w:val="16"/>
                <w:lang w:val="sq-AL"/>
              </w:rPr>
              <w:t>-10.5</w:t>
            </w:r>
          </w:p>
        </w:tc>
        <w:tc>
          <w:tcPr>
            <w:tcW w:w="860" w:type="pct"/>
            <w:noWrap/>
          </w:tcPr>
          <w:p w:rsidR="005D7230" w:rsidRPr="005D7230" w:rsidRDefault="005D7230" w:rsidP="00F7150D">
            <w:pPr>
              <w:spacing w:line="264" w:lineRule="auto"/>
              <w:jc w:val="center"/>
              <w:rPr>
                <w:sz w:val="18"/>
                <w:lang w:val="sq-AL"/>
              </w:rPr>
            </w:pPr>
            <w:r w:rsidRPr="005D7230">
              <w:rPr>
                <w:sz w:val="18"/>
                <w:lang w:val="sq-AL"/>
              </w:rPr>
              <w:softHyphen/>
            </w:r>
            <w:r w:rsidRPr="005D7230">
              <w:rPr>
                <w:sz w:val="18"/>
                <w:lang w:val="sq-AL"/>
              </w:rPr>
              <w:sym w:font="Symbol" w:char="F0AD"/>
            </w:r>
          </w:p>
        </w:tc>
        <w:tc>
          <w:tcPr>
            <w:tcW w:w="789" w:type="pct"/>
            <w:noWrap/>
          </w:tcPr>
          <w:p w:rsidR="005D7230" w:rsidRPr="005D7230" w:rsidRDefault="005D7230" w:rsidP="00F7150D">
            <w:pPr>
              <w:spacing w:line="264" w:lineRule="auto"/>
              <w:jc w:val="center"/>
              <w:rPr>
                <w:sz w:val="18"/>
                <w:lang w:val="sq-AL"/>
              </w:rPr>
            </w:pPr>
            <w:r w:rsidRPr="005D7230">
              <w:rPr>
                <w:sz w:val="18"/>
                <w:lang w:val="sq-AL"/>
              </w:rPr>
              <w:t>-</w:t>
            </w:r>
          </w:p>
        </w:tc>
      </w:tr>
    </w:tbl>
    <w:p w:rsidR="005D7230" w:rsidRPr="005D7230" w:rsidRDefault="005D7230" w:rsidP="005D7230">
      <w:pPr>
        <w:spacing w:line="240" w:lineRule="auto"/>
        <w:rPr>
          <w:sz w:val="20"/>
          <w:szCs w:val="16"/>
          <w:lang w:val="sq-AL"/>
        </w:rPr>
      </w:pPr>
      <w:r w:rsidRPr="005D7230">
        <w:rPr>
          <w:sz w:val="20"/>
          <w:szCs w:val="16"/>
          <w:lang w:val="sq-AL"/>
        </w:rPr>
        <w:t>Burimi: Vrojtimi i besimit të konsumatorit, Banka e Shqipërisë.</w:t>
      </w:r>
    </w:p>
    <w:p w:rsidR="005D7230" w:rsidRPr="005D7230" w:rsidRDefault="005D7230" w:rsidP="005D7230">
      <w:pPr>
        <w:spacing w:line="240" w:lineRule="auto"/>
        <w:rPr>
          <w:i/>
          <w:sz w:val="16"/>
          <w:szCs w:val="16"/>
          <w:lang w:val="sq-AL"/>
        </w:rPr>
      </w:pPr>
      <w:r w:rsidRPr="005D7230">
        <w:rPr>
          <w:i/>
          <w:sz w:val="16"/>
          <w:szCs w:val="16"/>
          <w:lang w:val="sq-AL"/>
        </w:rPr>
        <w:t>*) Me përjashtim të treguesit të konsumatorit, treguesit janë llogaritur nga balanca të rregulluara sezonalisht..</w:t>
      </w:r>
    </w:p>
    <w:p w:rsidR="005D7230" w:rsidRPr="005D7230" w:rsidRDefault="005D7230" w:rsidP="005D7230">
      <w:pPr>
        <w:spacing w:line="240" w:lineRule="auto"/>
        <w:rPr>
          <w:i/>
          <w:sz w:val="16"/>
          <w:szCs w:val="16"/>
          <w:lang w:val="sq-AL"/>
        </w:rPr>
      </w:pPr>
      <w:r w:rsidRPr="005D7230">
        <w:rPr>
          <w:i/>
          <w:sz w:val="16"/>
          <w:szCs w:val="16"/>
          <w:lang w:val="sq-AL"/>
        </w:rPr>
        <w:t>**) Situata krahasuar me tremujorin e mëparshëm..</w:t>
      </w:r>
    </w:p>
    <w:p w:rsidR="005D7230" w:rsidRPr="005D7230" w:rsidRDefault="005D7230" w:rsidP="005D7230">
      <w:pPr>
        <w:spacing w:line="240" w:lineRule="auto"/>
        <w:rPr>
          <w:i/>
          <w:sz w:val="16"/>
          <w:szCs w:val="16"/>
          <w:lang w:val="sq-AL"/>
        </w:rPr>
      </w:pPr>
      <w:r w:rsidRPr="005D7230">
        <w:rPr>
          <w:i/>
          <w:sz w:val="16"/>
          <w:szCs w:val="16"/>
          <w:lang w:val="sq-AL"/>
        </w:rPr>
        <w:t xml:space="preserve">***) Situata për secilin tregues konsiderohet shumë e kënaqshme (+ +) kur treguesi është më shumë se 1 devijim standard më i lartë se mesatarja; situata konsiderohet e kënaqshme (+) kur treguesi është më pak se 1 devijim standard më i lartë se mesatarja; situata konsiderohet e pakënaqshme (-) kur treguesi është më pak  se 1 devijim standard më i ulët se mesatarja; dhe situata konsiderohet shumë e pakënaqshme (--) kur treguesi është më shumë se 1 devijim standard më i ulët se mesatarja.. </w:t>
      </w:r>
    </w:p>
    <w:p w:rsidR="005D7230" w:rsidRPr="005D7230" w:rsidRDefault="005D7230" w:rsidP="005D7230">
      <w:pPr>
        <w:rPr>
          <w:sz w:val="16"/>
          <w:szCs w:val="16"/>
          <w:lang w:val="sq-AL"/>
        </w:rPr>
      </w:pPr>
    </w:p>
    <w:p w:rsidR="005D7230" w:rsidRPr="005D7230" w:rsidRDefault="005D7230" w:rsidP="005D7230">
      <w:pPr>
        <w:spacing w:line="264" w:lineRule="auto"/>
        <w:jc w:val="both"/>
        <w:rPr>
          <w:lang w:val="sq-AL"/>
        </w:rPr>
      </w:pPr>
      <w:r w:rsidRPr="005D7230">
        <w:rPr>
          <w:lang w:val="sq-AL"/>
        </w:rPr>
        <w:t>Tabelë 2: Balancat kryesore të sektorëve të ekonomisë (në pikë përqindje)*.</w:t>
      </w:r>
    </w:p>
    <w:tbl>
      <w:tblPr>
        <w:tblStyle w:val="TableGrid"/>
        <w:tblW w:w="4882" w:type="pct"/>
        <w:tblLook w:val="04A0" w:firstRow="1" w:lastRow="0" w:firstColumn="1" w:lastColumn="0" w:noHBand="0" w:noVBand="1"/>
      </w:tblPr>
      <w:tblGrid>
        <w:gridCol w:w="2320"/>
        <w:gridCol w:w="698"/>
        <w:gridCol w:w="714"/>
        <w:gridCol w:w="709"/>
        <w:gridCol w:w="709"/>
        <w:gridCol w:w="812"/>
        <w:gridCol w:w="755"/>
        <w:gridCol w:w="780"/>
        <w:gridCol w:w="793"/>
        <w:gridCol w:w="1060"/>
      </w:tblGrid>
      <w:tr w:rsidR="00023201" w:rsidRPr="005D7230" w:rsidTr="00023201">
        <w:trPr>
          <w:trHeight w:val="255"/>
        </w:trPr>
        <w:tc>
          <w:tcPr>
            <w:tcW w:w="1241" w:type="pct"/>
            <w:noWrap/>
          </w:tcPr>
          <w:p w:rsidR="00023201" w:rsidRPr="005D7230" w:rsidRDefault="00023201" w:rsidP="00F7150D">
            <w:pPr>
              <w:spacing w:line="264" w:lineRule="auto"/>
              <w:rPr>
                <w:rFonts w:eastAsia="Times New Roman"/>
                <w:sz w:val="20"/>
                <w:lang w:val="sq-AL"/>
              </w:rPr>
            </w:pPr>
            <w:r w:rsidRPr="005D7230">
              <w:rPr>
                <w:rFonts w:eastAsia="Times New Roman"/>
                <w:sz w:val="20"/>
                <w:lang w:val="sq-AL"/>
              </w:rPr>
              <w:t> </w:t>
            </w:r>
          </w:p>
        </w:tc>
        <w:tc>
          <w:tcPr>
            <w:tcW w:w="755" w:type="pct"/>
            <w:gridSpan w:val="2"/>
            <w:noWrap/>
          </w:tcPr>
          <w:p w:rsidR="00023201" w:rsidRPr="005D7230" w:rsidRDefault="00023201" w:rsidP="00F7150D">
            <w:pPr>
              <w:spacing w:line="264" w:lineRule="auto"/>
              <w:jc w:val="center"/>
              <w:rPr>
                <w:rFonts w:eastAsia="Times New Roman"/>
                <w:b/>
                <w:bCs/>
                <w:sz w:val="20"/>
                <w:lang w:val="sq-AL"/>
              </w:rPr>
            </w:pPr>
            <w:r w:rsidRPr="005D7230">
              <w:rPr>
                <w:rFonts w:eastAsia="Times New Roman"/>
                <w:b/>
                <w:bCs/>
                <w:sz w:val="20"/>
                <w:lang w:val="sq-AL"/>
              </w:rPr>
              <w:t>2011</w:t>
            </w:r>
          </w:p>
        </w:tc>
        <w:tc>
          <w:tcPr>
            <w:tcW w:w="1596" w:type="pct"/>
            <w:gridSpan w:val="4"/>
          </w:tcPr>
          <w:p w:rsidR="00023201" w:rsidRPr="005D7230" w:rsidRDefault="00023201" w:rsidP="00F7150D">
            <w:pPr>
              <w:spacing w:line="264" w:lineRule="auto"/>
              <w:jc w:val="center"/>
              <w:rPr>
                <w:rFonts w:eastAsia="Times New Roman"/>
                <w:b/>
                <w:bCs/>
                <w:sz w:val="20"/>
                <w:lang w:val="sq-AL"/>
              </w:rPr>
            </w:pPr>
            <w:r w:rsidRPr="005D7230">
              <w:rPr>
                <w:rFonts w:eastAsia="Times New Roman"/>
                <w:b/>
                <w:bCs/>
                <w:sz w:val="20"/>
                <w:lang w:val="sq-AL"/>
              </w:rPr>
              <w:t>2012</w:t>
            </w:r>
          </w:p>
        </w:tc>
        <w:tc>
          <w:tcPr>
            <w:tcW w:w="841" w:type="pct"/>
            <w:gridSpan w:val="2"/>
          </w:tcPr>
          <w:p w:rsidR="00023201" w:rsidRPr="005D7230" w:rsidRDefault="00023201" w:rsidP="00F7150D">
            <w:pPr>
              <w:spacing w:line="264" w:lineRule="auto"/>
              <w:jc w:val="center"/>
              <w:rPr>
                <w:rFonts w:eastAsia="Times New Roman"/>
                <w:b/>
                <w:bCs/>
                <w:sz w:val="20"/>
                <w:lang w:val="sq-AL"/>
              </w:rPr>
            </w:pPr>
            <w:r w:rsidRPr="005D7230">
              <w:rPr>
                <w:rFonts w:eastAsia="Times New Roman"/>
                <w:b/>
                <w:bCs/>
                <w:sz w:val="20"/>
                <w:lang w:val="sq-AL"/>
              </w:rPr>
              <w:t>2013</w:t>
            </w:r>
          </w:p>
        </w:tc>
        <w:tc>
          <w:tcPr>
            <w:tcW w:w="567" w:type="pct"/>
          </w:tcPr>
          <w:p w:rsidR="00023201" w:rsidRPr="005D7230" w:rsidRDefault="00023201" w:rsidP="00F7150D">
            <w:pPr>
              <w:spacing w:line="264" w:lineRule="auto"/>
              <w:jc w:val="center"/>
              <w:rPr>
                <w:rFonts w:eastAsia="Times New Roman"/>
                <w:b/>
                <w:bCs/>
                <w:sz w:val="20"/>
                <w:lang w:val="sq-AL"/>
              </w:rPr>
            </w:pPr>
          </w:p>
        </w:tc>
      </w:tr>
      <w:tr w:rsidR="00023201" w:rsidRPr="005D7230" w:rsidTr="00023201">
        <w:trPr>
          <w:trHeight w:val="255"/>
        </w:trPr>
        <w:tc>
          <w:tcPr>
            <w:tcW w:w="1241" w:type="pct"/>
            <w:noWrap/>
          </w:tcPr>
          <w:p w:rsidR="00DE275C" w:rsidRPr="005D7230" w:rsidRDefault="00DE275C" w:rsidP="00F7150D">
            <w:pPr>
              <w:spacing w:line="264" w:lineRule="auto"/>
              <w:rPr>
                <w:rFonts w:eastAsia="Times New Roman"/>
                <w:sz w:val="20"/>
                <w:lang w:val="sq-AL"/>
              </w:rPr>
            </w:pPr>
            <w:r w:rsidRPr="005D7230">
              <w:rPr>
                <w:rFonts w:eastAsia="Times New Roman"/>
                <w:sz w:val="20"/>
                <w:lang w:val="sq-AL"/>
              </w:rPr>
              <w:t> </w:t>
            </w:r>
          </w:p>
        </w:tc>
        <w:tc>
          <w:tcPr>
            <w:tcW w:w="373" w:type="pct"/>
            <w:noWrap/>
          </w:tcPr>
          <w:p w:rsidR="00DE275C" w:rsidRPr="005D7230" w:rsidRDefault="00DE275C" w:rsidP="00B451C0">
            <w:pPr>
              <w:spacing w:line="264" w:lineRule="auto"/>
              <w:jc w:val="center"/>
              <w:rPr>
                <w:rFonts w:eastAsia="Times New Roman"/>
                <w:b/>
                <w:bCs/>
                <w:sz w:val="20"/>
                <w:lang w:val="sq-AL"/>
              </w:rPr>
            </w:pPr>
            <w:r w:rsidRPr="005D7230">
              <w:rPr>
                <w:rFonts w:eastAsia="Times New Roman"/>
                <w:b/>
                <w:bCs/>
                <w:sz w:val="20"/>
                <w:lang w:val="sq-AL"/>
              </w:rPr>
              <w:t>T3</w:t>
            </w:r>
          </w:p>
        </w:tc>
        <w:tc>
          <w:tcPr>
            <w:tcW w:w="382" w:type="pct"/>
            <w:noWrap/>
          </w:tcPr>
          <w:p w:rsidR="00DE275C" w:rsidRPr="005D7230" w:rsidRDefault="00DE275C" w:rsidP="00B451C0">
            <w:pPr>
              <w:spacing w:line="264" w:lineRule="auto"/>
              <w:jc w:val="center"/>
              <w:rPr>
                <w:rFonts w:eastAsia="Times New Roman"/>
                <w:b/>
                <w:bCs/>
                <w:sz w:val="20"/>
                <w:lang w:val="sq-AL"/>
              </w:rPr>
            </w:pPr>
            <w:r w:rsidRPr="005D7230">
              <w:rPr>
                <w:rFonts w:eastAsia="Times New Roman"/>
                <w:b/>
                <w:bCs/>
                <w:sz w:val="20"/>
                <w:lang w:val="sq-AL"/>
              </w:rPr>
              <w:t>T4</w:t>
            </w:r>
          </w:p>
        </w:tc>
        <w:tc>
          <w:tcPr>
            <w:tcW w:w="379" w:type="pct"/>
            <w:noWrap/>
          </w:tcPr>
          <w:p w:rsidR="00DE275C" w:rsidRPr="005D7230" w:rsidRDefault="00DE275C" w:rsidP="00B451C0">
            <w:pPr>
              <w:spacing w:line="264" w:lineRule="auto"/>
              <w:jc w:val="center"/>
              <w:rPr>
                <w:rFonts w:eastAsia="Times New Roman"/>
                <w:b/>
                <w:bCs/>
                <w:sz w:val="20"/>
                <w:lang w:val="sq-AL"/>
              </w:rPr>
            </w:pPr>
            <w:r w:rsidRPr="005D7230">
              <w:rPr>
                <w:rFonts w:eastAsia="Times New Roman"/>
                <w:b/>
                <w:bCs/>
                <w:sz w:val="20"/>
                <w:lang w:val="sq-AL"/>
              </w:rPr>
              <w:t>T1</w:t>
            </w:r>
          </w:p>
        </w:tc>
        <w:tc>
          <w:tcPr>
            <w:tcW w:w="379" w:type="pct"/>
            <w:noWrap/>
          </w:tcPr>
          <w:p w:rsidR="00DE275C" w:rsidRPr="005D7230" w:rsidRDefault="00DE275C" w:rsidP="00B451C0">
            <w:pPr>
              <w:spacing w:line="264" w:lineRule="auto"/>
              <w:jc w:val="center"/>
              <w:rPr>
                <w:rFonts w:eastAsia="Times New Roman"/>
                <w:b/>
                <w:bCs/>
                <w:sz w:val="20"/>
                <w:lang w:val="sq-AL"/>
              </w:rPr>
            </w:pPr>
            <w:r w:rsidRPr="005D7230">
              <w:rPr>
                <w:rFonts w:eastAsia="Times New Roman"/>
                <w:b/>
                <w:bCs/>
                <w:sz w:val="20"/>
                <w:lang w:val="sq-AL"/>
              </w:rPr>
              <w:t>T2</w:t>
            </w:r>
          </w:p>
        </w:tc>
        <w:tc>
          <w:tcPr>
            <w:tcW w:w="434" w:type="pct"/>
            <w:noWrap/>
          </w:tcPr>
          <w:p w:rsidR="00DE275C" w:rsidRPr="005D7230" w:rsidRDefault="00DE275C" w:rsidP="00B451C0">
            <w:pPr>
              <w:spacing w:line="264" w:lineRule="auto"/>
              <w:jc w:val="center"/>
              <w:rPr>
                <w:rFonts w:eastAsia="Times New Roman"/>
                <w:b/>
                <w:bCs/>
                <w:sz w:val="20"/>
                <w:lang w:val="sq-AL"/>
              </w:rPr>
            </w:pPr>
            <w:r w:rsidRPr="005D7230">
              <w:rPr>
                <w:rFonts w:eastAsia="Times New Roman"/>
                <w:b/>
                <w:bCs/>
                <w:sz w:val="20"/>
                <w:lang w:val="sq-AL"/>
              </w:rPr>
              <w:t>T3</w:t>
            </w:r>
          </w:p>
        </w:tc>
        <w:tc>
          <w:tcPr>
            <w:tcW w:w="404" w:type="pct"/>
            <w:noWrap/>
          </w:tcPr>
          <w:p w:rsidR="00DE275C" w:rsidRPr="005D7230" w:rsidRDefault="00DE275C" w:rsidP="00B451C0">
            <w:pPr>
              <w:spacing w:line="264" w:lineRule="auto"/>
              <w:jc w:val="center"/>
              <w:rPr>
                <w:rFonts w:eastAsia="Times New Roman"/>
                <w:b/>
                <w:bCs/>
                <w:sz w:val="20"/>
                <w:lang w:val="sq-AL"/>
              </w:rPr>
            </w:pPr>
            <w:r w:rsidRPr="005D7230">
              <w:rPr>
                <w:rFonts w:eastAsia="Times New Roman"/>
                <w:b/>
                <w:bCs/>
                <w:sz w:val="20"/>
                <w:lang w:val="sq-AL"/>
              </w:rPr>
              <w:t>T4</w:t>
            </w:r>
          </w:p>
        </w:tc>
        <w:tc>
          <w:tcPr>
            <w:tcW w:w="417" w:type="pct"/>
            <w:noWrap/>
          </w:tcPr>
          <w:p w:rsidR="00DE275C" w:rsidRPr="005D7230" w:rsidRDefault="00DE275C" w:rsidP="00B451C0">
            <w:pPr>
              <w:spacing w:line="264" w:lineRule="auto"/>
              <w:jc w:val="center"/>
              <w:rPr>
                <w:rFonts w:eastAsia="Times New Roman"/>
                <w:b/>
                <w:bCs/>
                <w:sz w:val="20"/>
                <w:lang w:val="sq-AL"/>
              </w:rPr>
            </w:pPr>
            <w:r w:rsidRPr="005D7230">
              <w:rPr>
                <w:rFonts w:eastAsia="Times New Roman"/>
                <w:b/>
                <w:bCs/>
                <w:sz w:val="20"/>
                <w:lang w:val="sq-AL"/>
              </w:rPr>
              <w:t>T1</w:t>
            </w:r>
          </w:p>
        </w:tc>
        <w:tc>
          <w:tcPr>
            <w:tcW w:w="424" w:type="pct"/>
            <w:noWrap/>
          </w:tcPr>
          <w:p w:rsidR="00DE275C" w:rsidRPr="005D7230" w:rsidRDefault="00023201" w:rsidP="00F7150D">
            <w:pPr>
              <w:spacing w:line="264" w:lineRule="auto"/>
              <w:jc w:val="center"/>
              <w:rPr>
                <w:rFonts w:eastAsia="Times New Roman"/>
                <w:b/>
                <w:bCs/>
                <w:sz w:val="20"/>
                <w:lang w:val="sq-AL"/>
              </w:rPr>
            </w:pPr>
            <w:r>
              <w:rPr>
                <w:rFonts w:eastAsia="Times New Roman"/>
                <w:b/>
                <w:bCs/>
                <w:sz w:val="20"/>
                <w:lang w:val="sq-AL"/>
              </w:rPr>
              <w:t>T2</w:t>
            </w:r>
          </w:p>
        </w:tc>
        <w:tc>
          <w:tcPr>
            <w:tcW w:w="567" w:type="pct"/>
            <w:noWrap/>
          </w:tcPr>
          <w:p w:rsidR="00DE275C" w:rsidRPr="005D7230" w:rsidRDefault="00DE275C" w:rsidP="00F7150D">
            <w:pPr>
              <w:spacing w:line="264" w:lineRule="auto"/>
              <w:jc w:val="center"/>
              <w:rPr>
                <w:rFonts w:eastAsia="Times New Roman"/>
                <w:b/>
                <w:bCs/>
                <w:sz w:val="20"/>
                <w:lang w:val="sq-AL"/>
              </w:rPr>
            </w:pPr>
            <w:r w:rsidRPr="005D7230">
              <w:rPr>
                <w:rFonts w:eastAsia="Times New Roman"/>
                <w:b/>
                <w:bCs/>
                <w:sz w:val="20"/>
                <w:lang w:val="sq-AL"/>
              </w:rPr>
              <w:t>T</w:t>
            </w:r>
            <w:r w:rsidR="00023201">
              <w:rPr>
                <w:rFonts w:eastAsia="Times New Roman"/>
                <w:b/>
                <w:bCs/>
                <w:sz w:val="20"/>
                <w:lang w:val="sq-AL"/>
              </w:rPr>
              <w:t>3</w:t>
            </w:r>
            <w:r w:rsidRPr="005D7230">
              <w:rPr>
                <w:rFonts w:eastAsia="Times New Roman"/>
                <w:b/>
                <w:bCs/>
                <w:sz w:val="20"/>
                <w:lang w:val="sq-AL"/>
              </w:rPr>
              <w:t>-pritje</w:t>
            </w:r>
          </w:p>
        </w:tc>
      </w:tr>
      <w:tr w:rsidR="00DE275C" w:rsidRPr="005D7230" w:rsidTr="005D7230">
        <w:trPr>
          <w:trHeight w:val="255"/>
        </w:trPr>
        <w:tc>
          <w:tcPr>
            <w:tcW w:w="5000" w:type="pct"/>
            <w:gridSpan w:val="10"/>
            <w:noWrap/>
          </w:tcPr>
          <w:p w:rsidR="00DE275C" w:rsidRPr="005D7230" w:rsidRDefault="00DE275C" w:rsidP="00F7150D">
            <w:pPr>
              <w:spacing w:line="264" w:lineRule="auto"/>
              <w:jc w:val="center"/>
              <w:rPr>
                <w:rFonts w:eastAsia="Times New Roman"/>
                <w:b/>
                <w:bCs/>
                <w:sz w:val="20"/>
                <w:lang w:val="sq-AL"/>
              </w:rPr>
            </w:pPr>
            <w:r w:rsidRPr="005D7230">
              <w:rPr>
                <w:rFonts w:eastAsia="Times New Roman"/>
                <w:b/>
                <w:bCs/>
                <w:sz w:val="20"/>
                <w:lang w:val="sq-AL"/>
              </w:rPr>
              <w:t>Kërkesa</w:t>
            </w:r>
          </w:p>
        </w:tc>
      </w:tr>
      <w:tr w:rsidR="00023201" w:rsidRPr="005D7230" w:rsidTr="00023201">
        <w:trPr>
          <w:trHeight w:val="255"/>
        </w:trPr>
        <w:tc>
          <w:tcPr>
            <w:tcW w:w="1241" w:type="pct"/>
            <w:noWrap/>
          </w:tcPr>
          <w:p w:rsidR="00023201" w:rsidRPr="005D7230" w:rsidRDefault="00023201" w:rsidP="00F7150D">
            <w:pPr>
              <w:spacing w:line="264" w:lineRule="auto"/>
              <w:rPr>
                <w:rFonts w:eastAsia="Times New Roman"/>
                <w:b/>
                <w:sz w:val="20"/>
                <w:lang w:val="sq-AL"/>
              </w:rPr>
            </w:pPr>
            <w:r w:rsidRPr="005D7230">
              <w:rPr>
                <w:rFonts w:eastAsia="Times New Roman"/>
                <w:b/>
                <w:sz w:val="20"/>
                <w:lang w:val="sq-AL"/>
              </w:rPr>
              <w:t xml:space="preserve">Total </w:t>
            </w:r>
          </w:p>
        </w:tc>
        <w:tc>
          <w:tcPr>
            <w:tcW w:w="373"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-9.6</w:t>
            </w:r>
          </w:p>
        </w:tc>
        <w:tc>
          <w:tcPr>
            <w:tcW w:w="382"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-17.5</w:t>
            </w:r>
          </w:p>
        </w:tc>
        <w:tc>
          <w:tcPr>
            <w:tcW w:w="379"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-17.0</w:t>
            </w:r>
          </w:p>
        </w:tc>
        <w:tc>
          <w:tcPr>
            <w:tcW w:w="379"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-20.6</w:t>
            </w:r>
          </w:p>
        </w:tc>
        <w:tc>
          <w:tcPr>
            <w:tcW w:w="43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-24.4</w:t>
            </w:r>
          </w:p>
        </w:tc>
        <w:tc>
          <w:tcPr>
            <w:tcW w:w="40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-24.0</w:t>
            </w:r>
          </w:p>
        </w:tc>
        <w:tc>
          <w:tcPr>
            <w:tcW w:w="417"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-16.9</w:t>
            </w:r>
          </w:p>
        </w:tc>
        <w:tc>
          <w:tcPr>
            <w:tcW w:w="42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-22.3</w:t>
            </w:r>
          </w:p>
        </w:tc>
        <w:tc>
          <w:tcPr>
            <w:tcW w:w="567" w:type="pct"/>
            <w:noWrap/>
          </w:tcPr>
          <w:p w:rsidR="00023201" w:rsidRPr="005D7230" w:rsidRDefault="00166A25" w:rsidP="00F7150D">
            <w:pPr>
              <w:jc w:val="right"/>
              <w:rPr>
                <w:color w:val="FF0000"/>
                <w:sz w:val="20"/>
                <w:szCs w:val="20"/>
                <w:lang w:val="sq-AL"/>
              </w:rPr>
            </w:pPr>
            <w:r>
              <w:rPr>
                <w:color w:val="FF0000"/>
                <w:sz w:val="20"/>
                <w:szCs w:val="20"/>
                <w:lang w:val="sq-AL"/>
              </w:rPr>
              <w:t>8.7</w:t>
            </w:r>
          </w:p>
        </w:tc>
      </w:tr>
      <w:tr w:rsidR="00023201" w:rsidRPr="005D7230" w:rsidTr="004B5B0A">
        <w:trPr>
          <w:trHeight w:val="255"/>
        </w:trPr>
        <w:tc>
          <w:tcPr>
            <w:tcW w:w="1241" w:type="pct"/>
            <w:noWrap/>
          </w:tcPr>
          <w:p w:rsidR="00023201" w:rsidRPr="005D7230" w:rsidRDefault="00023201" w:rsidP="00F7150D">
            <w:pPr>
              <w:spacing w:line="264" w:lineRule="auto"/>
              <w:rPr>
                <w:rFonts w:eastAsia="Times New Roman"/>
                <w:sz w:val="20"/>
                <w:lang w:val="sq-AL"/>
              </w:rPr>
            </w:pPr>
            <w:r w:rsidRPr="005D7230">
              <w:rPr>
                <w:rFonts w:eastAsia="Times New Roman"/>
                <w:sz w:val="20"/>
                <w:lang w:val="sq-AL"/>
              </w:rPr>
              <w:t>Industri</w:t>
            </w:r>
          </w:p>
        </w:tc>
        <w:tc>
          <w:tcPr>
            <w:tcW w:w="373"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-4.8</w:t>
            </w:r>
          </w:p>
        </w:tc>
        <w:tc>
          <w:tcPr>
            <w:tcW w:w="382"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-9.0</w:t>
            </w:r>
          </w:p>
        </w:tc>
        <w:tc>
          <w:tcPr>
            <w:tcW w:w="379"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-14.1</w:t>
            </w:r>
          </w:p>
        </w:tc>
        <w:tc>
          <w:tcPr>
            <w:tcW w:w="379"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-18.7</w:t>
            </w:r>
          </w:p>
        </w:tc>
        <w:tc>
          <w:tcPr>
            <w:tcW w:w="43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-19.0</w:t>
            </w:r>
          </w:p>
        </w:tc>
        <w:tc>
          <w:tcPr>
            <w:tcW w:w="40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-15.9</w:t>
            </w:r>
          </w:p>
        </w:tc>
        <w:tc>
          <w:tcPr>
            <w:tcW w:w="417"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-16.7</w:t>
            </w:r>
          </w:p>
        </w:tc>
        <w:tc>
          <w:tcPr>
            <w:tcW w:w="42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-15.2</w:t>
            </w:r>
          </w:p>
        </w:tc>
        <w:tc>
          <w:tcPr>
            <w:tcW w:w="567" w:type="pct"/>
            <w:noWrap/>
          </w:tcPr>
          <w:p w:rsidR="00023201" w:rsidRPr="005D7230" w:rsidRDefault="00166A25" w:rsidP="00F7150D">
            <w:pPr>
              <w:jc w:val="right"/>
              <w:rPr>
                <w:color w:val="FF0000"/>
                <w:sz w:val="20"/>
                <w:szCs w:val="20"/>
                <w:lang w:val="sq-AL"/>
              </w:rPr>
            </w:pPr>
            <w:r>
              <w:rPr>
                <w:color w:val="FF0000"/>
                <w:sz w:val="20"/>
                <w:szCs w:val="20"/>
                <w:lang w:val="sq-AL"/>
              </w:rPr>
              <w:t>9.8</w:t>
            </w:r>
          </w:p>
        </w:tc>
      </w:tr>
      <w:tr w:rsidR="00023201" w:rsidRPr="005D7230" w:rsidTr="004B5B0A">
        <w:trPr>
          <w:trHeight w:val="255"/>
        </w:trPr>
        <w:tc>
          <w:tcPr>
            <w:tcW w:w="1241" w:type="pct"/>
            <w:noWrap/>
          </w:tcPr>
          <w:p w:rsidR="00023201" w:rsidRPr="005D7230" w:rsidRDefault="00023201" w:rsidP="00F7150D">
            <w:pPr>
              <w:spacing w:line="264" w:lineRule="auto"/>
              <w:rPr>
                <w:rFonts w:eastAsia="Times New Roman"/>
                <w:sz w:val="20"/>
                <w:lang w:val="sq-AL"/>
              </w:rPr>
            </w:pPr>
            <w:r w:rsidRPr="005D7230">
              <w:rPr>
                <w:rFonts w:eastAsia="Times New Roman"/>
                <w:sz w:val="20"/>
                <w:lang w:val="sq-AL"/>
              </w:rPr>
              <w:t xml:space="preserve">Ndërtim </w:t>
            </w:r>
          </w:p>
        </w:tc>
        <w:tc>
          <w:tcPr>
            <w:tcW w:w="373"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-22.3</w:t>
            </w:r>
          </w:p>
        </w:tc>
        <w:tc>
          <w:tcPr>
            <w:tcW w:w="382"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-28.3</w:t>
            </w:r>
          </w:p>
        </w:tc>
        <w:tc>
          <w:tcPr>
            <w:tcW w:w="379"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-30.2</w:t>
            </w:r>
          </w:p>
        </w:tc>
        <w:tc>
          <w:tcPr>
            <w:tcW w:w="379"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-31.7</w:t>
            </w:r>
          </w:p>
        </w:tc>
        <w:tc>
          <w:tcPr>
            <w:tcW w:w="43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-41.6</w:t>
            </w:r>
          </w:p>
        </w:tc>
        <w:tc>
          <w:tcPr>
            <w:tcW w:w="40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-48.3</w:t>
            </w:r>
          </w:p>
        </w:tc>
        <w:tc>
          <w:tcPr>
            <w:tcW w:w="417"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-28.3</w:t>
            </w:r>
          </w:p>
        </w:tc>
        <w:tc>
          <w:tcPr>
            <w:tcW w:w="42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-33.5</w:t>
            </w:r>
          </w:p>
        </w:tc>
        <w:tc>
          <w:tcPr>
            <w:tcW w:w="567" w:type="pct"/>
            <w:noWrap/>
          </w:tcPr>
          <w:p w:rsidR="00023201" w:rsidRPr="005D7230" w:rsidRDefault="00166A25" w:rsidP="00F7150D">
            <w:pPr>
              <w:jc w:val="right"/>
              <w:rPr>
                <w:color w:val="FF0000"/>
                <w:sz w:val="20"/>
                <w:szCs w:val="20"/>
                <w:lang w:val="sq-AL"/>
              </w:rPr>
            </w:pPr>
            <w:r>
              <w:rPr>
                <w:color w:val="FF0000"/>
                <w:sz w:val="20"/>
                <w:szCs w:val="20"/>
                <w:lang w:val="sq-AL"/>
              </w:rPr>
              <w:t>5.1</w:t>
            </w:r>
          </w:p>
        </w:tc>
      </w:tr>
      <w:tr w:rsidR="00023201" w:rsidRPr="005D7230" w:rsidTr="004B5B0A">
        <w:trPr>
          <w:trHeight w:val="255"/>
        </w:trPr>
        <w:tc>
          <w:tcPr>
            <w:tcW w:w="1241" w:type="pct"/>
            <w:noWrap/>
          </w:tcPr>
          <w:p w:rsidR="00023201" w:rsidRPr="005D7230" w:rsidRDefault="00023201" w:rsidP="00F7150D">
            <w:pPr>
              <w:spacing w:line="264" w:lineRule="auto"/>
              <w:rPr>
                <w:rFonts w:eastAsia="Times New Roman"/>
                <w:sz w:val="20"/>
                <w:lang w:val="sq-AL"/>
              </w:rPr>
            </w:pPr>
            <w:r w:rsidRPr="005D7230">
              <w:rPr>
                <w:rFonts w:eastAsia="Times New Roman"/>
                <w:sz w:val="20"/>
                <w:lang w:val="sq-AL"/>
              </w:rPr>
              <w:t>Shërbime</w:t>
            </w:r>
          </w:p>
        </w:tc>
        <w:tc>
          <w:tcPr>
            <w:tcW w:w="373"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-1.8</w:t>
            </w:r>
          </w:p>
        </w:tc>
        <w:tc>
          <w:tcPr>
            <w:tcW w:w="382"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-15.3</w:t>
            </w:r>
          </w:p>
        </w:tc>
        <w:tc>
          <w:tcPr>
            <w:tcW w:w="379"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-6.6</w:t>
            </w:r>
          </w:p>
        </w:tc>
        <w:tc>
          <w:tcPr>
            <w:tcW w:w="379"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-11.4</w:t>
            </w:r>
          </w:p>
        </w:tc>
        <w:tc>
          <w:tcPr>
            <w:tcW w:w="43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-12.6</w:t>
            </w:r>
          </w:p>
        </w:tc>
        <w:tc>
          <w:tcPr>
            <w:tcW w:w="40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-7.9</w:t>
            </w:r>
          </w:p>
        </w:tc>
        <w:tc>
          <w:tcPr>
            <w:tcW w:w="417"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-5.5</w:t>
            </w:r>
          </w:p>
        </w:tc>
        <w:tc>
          <w:tcPr>
            <w:tcW w:w="424" w:type="pct"/>
            <w:noWrap/>
            <w:vAlign w:val="bottom"/>
          </w:tcPr>
          <w:p w:rsidR="00023201" w:rsidRDefault="00023201">
            <w:pPr>
              <w:jc w:val="center"/>
              <w:rPr>
                <w:rFonts w:ascii="Book Antiqua" w:hAnsi="Book Antiqua" w:cs="Arial"/>
                <w:sz w:val="20"/>
                <w:szCs w:val="20"/>
              </w:rPr>
            </w:pPr>
            <w:r>
              <w:rPr>
                <w:rFonts w:ascii="Book Antiqua" w:hAnsi="Book Antiqua" w:cs="Arial"/>
                <w:sz w:val="20"/>
                <w:szCs w:val="20"/>
              </w:rPr>
              <w:t>-18.4</w:t>
            </w:r>
          </w:p>
        </w:tc>
        <w:tc>
          <w:tcPr>
            <w:tcW w:w="567" w:type="pct"/>
            <w:noWrap/>
          </w:tcPr>
          <w:p w:rsidR="00023201" w:rsidRPr="005D7230" w:rsidRDefault="00166A25" w:rsidP="00F7150D">
            <w:pPr>
              <w:jc w:val="right"/>
              <w:rPr>
                <w:color w:val="FF0000"/>
                <w:sz w:val="20"/>
                <w:szCs w:val="20"/>
                <w:lang w:val="sq-AL"/>
              </w:rPr>
            </w:pPr>
            <w:r>
              <w:rPr>
                <w:color w:val="FF0000"/>
                <w:sz w:val="20"/>
                <w:szCs w:val="20"/>
                <w:lang w:val="sq-AL"/>
              </w:rPr>
              <w:t>11.1</w:t>
            </w:r>
          </w:p>
        </w:tc>
      </w:tr>
      <w:tr w:rsidR="00DE275C" w:rsidRPr="005D7230" w:rsidTr="005D7230">
        <w:trPr>
          <w:trHeight w:val="255"/>
        </w:trPr>
        <w:tc>
          <w:tcPr>
            <w:tcW w:w="5000" w:type="pct"/>
            <w:gridSpan w:val="10"/>
            <w:noWrap/>
          </w:tcPr>
          <w:p w:rsidR="00DE275C" w:rsidRPr="005D7230" w:rsidRDefault="00DE275C" w:rsidP="00F7150D">
            <w:pPr>
              <w:spacing w:line="264" w:lineRule="auto"/>
              <w:jc w:val="center"/>
              <w:rPr>
                <w:rFonts w:eastAsia="Times New Roman"/>
                <w:b/>
                <w:bCs/>
                <w:sz w:val="20"/>
                <w:lang w:val="sq-AL"/>
              </w:rPr>
            </w:pPr>
            <w:r w:rsidRPr="005D7230">
              <w:rPr>
                <w:rFonts w:eastAsia="Times New Roman"/>
                <w:b/>
                <w:bCs/>
                <w:sz w:val="20"/>
                <w:lang w:val="sq-AL"/>
              </w:rPr>
              <w:t>Gjendja e përgjithshme e biznesit</w:t>
            </w:r>
          </w:p>
        </w:tc>
      </w:tr>
      <w:tr w:rsidR="00166A25" w:rsidRPr="005D7230" w:rsidTr="009E06E2">
        <w:trPr>
          <w:trHeight w:val="285"/>
        </w:trPr>
        <w:tc>
          <w:tcPr>
            <w:tcW w:w="1241" w:type="pct"/>
            <w:noWrap/>
          </w:tcPr>
          <w:p w:rsidR="00166A25" w:rsidRPr="005D7230" w:rsidRDefault="00166A25" w:rsidP="00F7150D">
            <w:pPr>
              <w:spacing w:line="264" w:lineRule="auto"/>
              <w:rPr>
                <w:rFonts w:eastAsia="Times New Roman"/>
                <w:b/>
                <w:sz w:val="20"/>
                <w:lang w:val="sq-AL"/>
              </w:rPr>
            </w:pPr>
            <w:r w:rsidRPr="005D7230">
              <w:rPr>
                <w:rFonts w:eastAsia="Times New Roman"/>
                <w:b/>
                <w:sz w:val="20"/>
                <w:lang w:val="sq-AL"/>
              </w:rPr>
              <w:t xml:space="preserve">Total </w:t>
            </w:r>
          </w:p>
        </w:tc>
        <w:tc>
          <w:tcPr>
            <w:tcW w:w="373"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-7.3</w:t>
            </w:r>
          </w:p>
        </w:tc>
        <w:tc>
          <w:tcPr>
            <w:tcW w:w="382"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-15.6</w:t>
            </w:r>
          </w:p>
        </w:tc>
        <w:tc>
          <w:tcPr>
            <w:tcW w:w="379"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-17.9</w:t>
            </w:r>
          </w:p>
        </w:tc>
        <w:tc>
          <w:tcPr>
            <w:tcW w:w="379"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-21.2</w:t>
            </w:r>
          </w:p>
        </w:tc>
        <w:tc>
          <w:tcPr>
            <w:tcW w:w="43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-27.1</w:t>
            </w:r>
          </w:p>
        </w:tc>
        <w:tc>
          <w:tcPr>
            <w:tcW w:w="40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-24.4</w:t>
            </w:r>
          </w:p>
        </w:tc>
        <w:tc>
          <w:tcPr>
            <w:tcW w:w="417"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-15.0</w:t>
            </w:r>
          </w:p>
        </w:tc>
        <w:tc>
          <w:tcPr>
            <w:tcW w:w="42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-22.8</w:t>
            </w:r>
          </w:p>
        </w:tc>
        <w:tc>
          <w:tcPr>
            <w:tcW w:w="567" w:type="pct"/>
            <w:noWrap/>
          </w:tcPr>
          <w:p w:rsidR="00166A25" w:rsidRPr="005D7230" w:rsidRDefault="00166A25" w:rsidP="00F7150D">
            <w:pPr>
              <w:jc w:val="right"/>
              <w:rPr>
                <w:color w:val="FF0000"/>
                <w:sz w:val="20"/>
                <w:szCs w:val="20"/>
                <w:lang w:val="sq-AL"/>
              </w:rPr>
            </w:pPr>
            <w:r>
              <w:rPr>
                <w:color w:val="FF0000"/>
                <w:sz w:val="20"/>
                <w:szCs w:val="20"/>
                <w:lang w:val="sq-AL"/>
              </w:rPr>
              <w:t>4.1</w:t>
            </w:r>
          </w:p>
        </w:tc>
      </w:tr>
      <w:tr w:rsidR="00166A25" w:rsidRPr="005D7230" w:rsidTr="0020132B">
        <w:trPr>
          <w:trHeight w:val="255"/>
        </w:trPr>
        <w:tc>
          <w:tcPr>
            <w:tcW w:w="1241" w:type="pct"/>
            <w:noWrap/>
          </w:tcPr>
          <w:p w:rsidR="00166A25" w:rsidRPr="005D7230" w:rsidRDefault="00166A25" w:rsidP="00F7150D">
            <w:pPr>
              <w:spacing w:line="264" w:lineRule="auto"/>
              <w:rPr>
                <w:rFonts w:eastAsia="Times New Roman"/>
                <w:sz w:val="20"/>
                <w:lang w:val="sq-AL"/>
              </w:rPr>
            </w:pPr>
            <w:r w:rsidRPr="005D7230">
              <w:rPr>
                <w:rFonts w:eastAsia="Times New Roman"/>
                <w:sz w:val="20"/>
                <w:lang w:val="sq-AL"/>
              </w:rPr>
              <w:t>Industri</w:t>
            </w:r>
          </w:p>
        </w:tc>
        <w:tc>
          <w:tcPr>
            <w:tcW w:w="373"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-1.8</w:t>
            </w:r>
          </w:p>
        </w:tc>
        <w:tc>
          <w:tcPr>
            <w:tcW w:w="382"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-7.3</w:t>
            </w:r>
          </w:p>
        </w:tc>
        <w:tc>
          <w:tcPr>
            <w:tcW w:w="379"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-12.3</w:t>
            </w:r>
          </w:p>
        </w:tc>
        <w:tc>
          <w:tcPr>
            <w:tcW w:w="379"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-18.3</w:t>
            </w:r>
          </w:p>
        </w:tc>
        <w:tc>
          <w:tcPr>
            <w:tcW w:w="43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-23.7</w:t>
            </w:r>
          </w:p>
        </w:tc>
        <w:tc>
          <w:tcPr>
            <w:tcW w:w="40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-20.6</w:t>
            </w:r>
          </w:p>
        </w:tc>
        <w:tc>
          <w:tcPr>
            <w:tcW w:w="417"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-17.2</w:t>
            </w:r>
          </w:p>
        </w:tc>
        <w:tc>
          <w:tcPr>
            <w:tcW w:w="42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-18.0</w:t>
            </w:r>
          </w:p>
        </w:tc>
        <w:tc>
          <w:tcPr>
            <w:tcW w:w="567" w:type="pct"/>
            <w:noWrap/>
          </w:tcPr>
          <w:p w:rsidR="00166A25" w:rsidRPr="005D7230" w:rsidRDefault="00166A25" w:rsidP="00F7150D">
            <w:pPr>
              <w:jc w:val="right"/>
              <w:rPr>
                <w:color w:val="FF0000"/>
                <w:sz w:val="20"/>
                <w:szCs w:val="20"/>
                <w:lang w:val="sq-AL"/>
              </w:rPr>
            </w:pPr>
            <w:r>
              <w:rPr>
                <w:color w:val="FF0000"/>
                <w:sz w:val="20"/>
                <w:szCs w:val="20"/>
                <w:lang w:val="sq-AL"/>
              </w:rPr>
              <w:t>11</w:t>
            </w:r>
          </w:p>
        </w:tc>
      </w:tr>
      <w:tr w:rsidR="00166A25" w:rsidRPr="005D7230" w:rsidTr="0020132B">
        <w:trPr>
          <w:trHeight w:val="255"/>
        </w:trPr>
        <w:tc>
          <w:tcPr>
            <w:tcW w:w="1241" w:type="pct"/>
            <w:noWrap/>
          </w:tcPr>
          <w:p w:rsidR="00166A25" w:rsidRPr="005D7230" w:rsidRDefault="00166A25" w:rsidP="00F7150D">
            <w:pPr>
              <w:spacing w:line="264" w:lineRule="auto"/>
              <w:rPr>
                <w:rFonts w:eastAsia="Times New Roman"/>
                <w:sz w:val="20"/>
                <w:lang w:val="sq-AL"/>
              </w:rPr>
            </w:pPr>
            <w:r w:rsidRPr="005D7230">
              <w:rPr>
                <w:rFonts w:eastAsia="Times New Roman"/>
                <w:sz w:val="20"/>
                <w:lang w:val="sq-AL"/>
              </w:rPr>
              <w:t xml:space="preserve">Ndërtim </w:t>
            </w:r>
          </w:p>
        </w:tc>
        <w:tc>
          <w:tcPr>
            <w:tcW w:w="373"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-18.9</w:t>
            </w:r>
          </w:p>
        </w:tc>
        <w:tc>
          <w:tcPr>
            <w:tcW w:w="382"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-26.1</w:t>
            </w:r>
          </w:p>
        </w:tc>
        <w:tc>
          <w:tcPr>
            <w:tcW w:w="379"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-28.0</w:t>
            </w:r>
          </w:p>
        </w:tc>
        <w:tc>
          <w:tcPr>
            <w:tcW w:w="379"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-33.3</w:t>
            </w:r>
          </w:p>
        </w:tc>
        <w:tc>
          <w:tcPr>
            <w:tcW w:w="43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-41.9</w:t>
            </w:r>
          </w:p>
        </w:tc>
        <w:tc>
          <w:tcPr>
            <w:tcW w:w="40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-45.5</w:t>
            </w:r>
          </w:p>
        </w:tc>
        <w:tc>
          <w:tcPr>
            <w:tcW w:w="417"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-27.5</w:t>
            </w:r>
          </w:p>
        </w:tc>
        <w:tc>
          <w:tcPr>
            <w:tcW w:w="42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-27.4</w:t>
            </w:r>
          </w:p>
        </w:tc>
        <w:tc>
          <w:tcPr>
            <w:tcW w:w="567" w:type="pct"/>
            <w:noWrap/>
          </w:tcPr>
          <w:p w:rsidR="00166A25" w:rsidRPr="005D7230" w:rsidRDefault="00166A25" w:rsidP="00F7150D">
            <w:pPr>
              <w:jc w:val="right"/>
              <w:rPr>
                <w:color w:val="FF0000"/>
                <w:sz w:val="20"/>
                <w:szCs w:val="20"/>
                <w:lang w:val="sq-AL"/>
              </w:rPr>
            </w:pPr>
            <w:r>
              <w:rPr>
                <w:color w:val="FF0000"/>
                <w:sz w:val="20"/>
                <w:szCs w:val="20"/>
                <w:lang w:val="sq-AL"/>
              </w:rPr>
              <w:t>-2.8</w:t>
            </w:r>
          </w:p>
        </w:tc>
      </w:tr>
      <w:tr w:rsidR="00166A25" w:rsidRPr="005D7230" w:rsidTr="0020132B">
        <w:trPr>
          <w:trHeight w:val="255"/>
        </w:trPr>
        <w:tc>
          <w:tcPr>
            <w:tcW w:w="1241" w:type="pct"/>
            <w:noWrap/>
          </w:tcPr>
          <w:p w:rsidR="00166A25" w:rsidRPr="005D7230" w:rsidRDefault="00166A25" w:rsidP="00F7150D">
            <w:pPr>
              <w:spacing w:line="264" w:lineRule="auto"/>
              <w:rPr>
                <w:rFonts w:eastAsia="Times New Roman"/>
                <w:sz w:val="20"/>
                <w:lang w:val="sq-AL"/>
              </w:rPr>
            </w:pPr>
            <w:r w:rsidRPr="005D7230">
              <w:rPr>
                <w:rFonts w:eastAsia="Times New Roman"/>
                <w:sz w:val="20"/>
                <w:lang w:val="sq-AL"/>
              </w:rPr>
              <w:t>Shërbime</w:t>
            </w:r>
          </w:p>
        </w:tc>
        <w:tc>
          <w:tcPr>
            <w:tcW w:w="373"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-1.2</w:t>
            </w:r>
          </w:p>
        </w:tc>
        <w:tc>
          <w:tcPr>
            <w:tcW w:w="382"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-13.4</w:t>
            </w:r>
          </w:p>
        </w:tc>
        <w:tc>
          <w:tcPr>
            <w:tcW w:w="379"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-13.2</w:t>
            </w:r>
          </w:p>
        </w:tc>
        <w:tc>
          <w:tcPr>
            <w:tcW w:w="379"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-12.2</w:t>
            </w:r>
          </w:p>
        </w:tc>
        <w:tc>
          <w:tcPr>
            <w:tcW w:w="43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-15.6</w:t>
            </w:r>
          </w:p>
        </w:tc>
        <w:tc>
          <w:tcPr>
            <w:tcW w:w="40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-7.1</w:t>
            </w:r>
          </w:p>
        </w:tc>
        <w:tc>
          <w:tcPr>
            <w:tcW w:w="417"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-0.4</w:t>
            </w:r>
          </w:p>
        </w:tc>
        <w:tc>
          <w:tcPr>
            <w:tcW w:w="424" w:type="pct"/>
            <w:noWrap/>
            <w:vAlign w:val="bottom"/>
          </w:tcPr>
          <w:p w:rsidR="00166A25" w:rsidRDefault="00166A25">
            <w:pPr>
              <w:jc w:val="center"/>
              <w:rPr>
                <w:rFonts w:ascii="Book Antiqua" w:hAnsi="Book Antiqua" w:cs="Arial"/>
                <w:sz w:val="20"/>
                <w:szCs w:val="20"/>
              </w:rPr>
            </w:pPr>
            <w:r>
              <w:rPr>
                <w:rFonts w:ascii="Book Antiqua" w:hAnsi="Book Antiqua" w:cs="Arial"/>
                <w:sz w:val="20"/>
                <w:szCs w:val="20"/>
              </w:rPr>
              <w:t>-22.8</w:t>
            </w:r>
          </w:p>
        </w:tc>
        <w:tc>
          <w:tcPr>
            <w:tcW w:w="567" w:type="pct"/>
            <w:noWrap/>
          </w:tcPr>
          <w:p w:rsidR="00166A25" w:rsidRPr="005D7230" w:rsidRDefault="00166A25" w:rsidP="00F7150D">
            <w:pPr>
              <w:jc w:val="right"/>
              <w:rPr>
                <w:color w:val="FF0000"/>
                <w:sz w:val="20"/>
                <w:szCs w:val="20"/>
                <w:lang w:val="sq-AL"/>
              </w:rPr>
            </w:pPr>
            <w:r>
              <w:rPr>
                <w:color w:val="FF0000"/>
                <w:sz w:val="20"/>
                <w:szCs w:val="20"/>
                <w:lang w:val="sq-AL"/>
              </w:rPr>
              <w:t>3.9</w:t>
            </w:r>
          </w:p>
        </w:tc>
      </w:tr>
      <w:tr w:rsidR="00DE275C" w:rsidRPr="005D7230" w:rsidTr="005D7230">
        <w:trPr>
          <w:trHeight w:val="255"/>
        </w:trPr>
        <w:tc>
          <w:tcPr>
            <w:tcW w:w="5000" w:type="pct"/>
            <w:gridSpan w:val="10"/>
            <w:noWrap/>
          </w:tcPr>
          <w:p w:rsidR="00DE275C" w:rsidRPr="005D7230" w:rsidRDefault="00DE275C" w:rsidP="00F7150D">
            <w:pPr>
              <w:spacing w:line="264" w:lineRule="auto"/>
              <w:jc w:val="center"/>
              <w:rPr>
                <w:rFonts w:eastAsia="Times New Roman"/>
                <w:b/>
                <w:bCs/>
                <w:sz w:val="20"/>
                <w:lang w:val="sq-AL"/>
              </w:rPr>
            </w:pPr>
            <w:r w:rsidRPr="005D7230">
              <w:rPr>
                <w:rFonts w:eastAsia="Times New Roman"/>
                <w:b/>
                <w:bCs/>
                <w:sz w:val="20"/>
                <w:lang w:val="sq-AL"/>
              </w:rPr>
              <w:t>Prodhimi</w:t>
            </w:r>
          </w:p>
        </w:tc>
      </w:tr>
      <w:tr w:rsidR="008D32FD" w:rsidRPr="005D7230" w:rsidTr="008C5362">
        <w:trPr>
          <w:trHeight w:val="255"/>
        </w:trPr>
        <w:tc>
          <w:tcPr>
            <w:tcW w:w="1241" w:type="pct"/>
            <w:noWrap/>
          </w:tcPr>
          <w:p w:rsidR="008D32FD" w:rsidRPr="005D7230" w:rsidRDefault="008D32FD" w:rsidP="00F7150D">
            <w:pPr>
              <w:spacing w:line="264" w:lineRule="auto"/>
              <w:rPr>
                <w:rFonts w:eastAsia="Times New Roman"/>
                <w:b/>
                <w:sz w:val="20"/>
                <w:lang w:val="sq-AL"/>
              </w:rPr>
            </w:pPr>
            <w:r w:rsidRPr="005D7230">
              <w:rPr>
                <w:rFonts w:eastAsia="Times New Roman"/>
                <w:b/>
                <w:sz w:val="20"/>
                <w:lang w:val="sq-AL"/>
              </w:rPr>
              <w:t xml:space="preserve">Total </w:t>
            </w:r>
          </w:p>
        </w:tc>
        <w:tc>
          <w:tcPr>
            <w:tcW w:w="373"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-8.7</w:t>
            </w:r>
          </w:p>
        </w:tc>
        <w:tc>
          <w:tcPr>
            <w:tcW w:w="382"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-16.1</w:t>
            </w:r>
          </w:p>
        </w:tc>
        <w:tc>
          <w:tcPr>
            <w:tcW w:w="379"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-21.6</w:t>
            </w:r>
          </w:p>
        </w:tc>
        <w:tc>
          <w:tcPr>
            <w:tcW w:w="379"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-20.8</w:t>
            </w:r>
          </w:p>
        </w:tc>
        <w:tc>
          <w:tcPr>
            <w:tcW w:w="434"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-27.4</w:t>
            </w:r>
          </w:p>
        </w:tc>
        <w:tc>
          <w:tcPr>
            <w:tcW w:w="404"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-29.0</w:t>
            </w:r>
          </w:p>
        </w:tc>
        <w:tc>
          <w:tcPr>
            <w:tcW w:w="417"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-18.3</w:t>
            </w:r>
          </w:p>
        </w:tc>
        <w:tc>
          <w:tcPr>
            <w:tcW w:w="424"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-25.9</w:t>
            </w:r>
          </w:p>
        </w:tc>
        <w:tc>
          <w:tcPr>
            <w:tcW w:w="567" w:type="pct"/>
            <w:noWrap/>
          </w:tcPr>
          <w:p w:rsidR="008D32FD" w:rsidRPr="005D7230" w:rsidRDefault="008D32FD" w:rsidP="00F7150D">
            <w:pPr>
              <w:jc w:val="right"/>
              <w:rPr>
                <w:color w:val="FF0000"/>
                <w:sz w:val="20"/>
                <w:szCs w:val="20"/>
                <w:lang w:val="sq-AL"/>
              </w:rPr>
            </w:pPr>
            <w:r>
              <w:rPr>
                <w:color w:val="FF0000"/>
                <w:sz w:val="20"/>
                <w:szCs w:val="20"/>
                <w:lang w:val="sq-AL"/>
              </w:rPr>
              <w:t>6.2</w:t>
            </w:r>
          </w:p>
        </w:tc>
      </w:tr>
      <w:tr w:rsidR="008D32FD" w:rsidRPr="005D7230" w:rsidTr="00FA5869">
        <w:trPr>
          <w:trHeight w:val="255"/>
        </w:trPr>
        <w:tc>
          <w:tcPr>
            <w:tcW w:w="1241" w:type="pct"/>
            <w:noWrap/>
          </w:tcPr>
          <w:p w:rsidR="008D32FD" w:rsidRPr="005D7230" w:rsidRDefault="008D32FD" w:rsidP="00F7150D">
            <w:pPr>
              <w:spacing w:line="264" w:lineRule="auto"/>
              <w:rPr>
                <w:rFonts w:eastAsia="Times New Roman"/>
                <w:sz w:val="20"/>
                <w:lang w:val="sq-AL"/>
              </w:rPr>
            </w:pPr>
            <w:r w:rsidRPr="005D7230">
              <w:rPr>
                <w:rFonts w:eastAsia="Times New Roman"/>
                <w:sz w:val="20"/>
                <w:lang w:val="sq-AL"/>
              </w:rPr>
              <w:t>Industri</w:t>
            </w:r>
          </w:p>
        </w:tc>
        <w:tc>
          <w:tcPr>
            <w:tcW w:w="373"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0.6</w:t>
            </w:r>
          </w:p>
        </w:tc>
        <w:tc>
          <w:tcPr>
            <w:tcW w:w="382"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-7.4</w:t>
            </w:r>
          </w:p>
        </w:tc>
        <w:tc>
          <w:tcPr>
            <w:tcW w:w="379"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-12.5</w:t>
            </w:r>
          </w:p>
        </w:tc>
        <w:tc>
          <w:tcPr>
            <w:tcW w:w="379"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-14.0</w:t>
            </w:r>
          </w:p>
        </w:tc>
        <w:tc>
          <w:tcPr>
            <w:tcW w:w="434"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-19.8</w:t>
            </w:r>
          </w:p>
        </w:tc>
        <w:tc>
          <w:tcPr>
            <w:tcW w:w="404"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-15.8</w:t>
            </w:r>
          </w:p>
        </w:tc>
        <w:tc>
          <w:tcPr>
            <w:tcW w:w="417"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-11.5</w:t>
            </w:r>
          </w:p>
        </w:tc>
        <w:tc>
          <w:tcPr>
            <w:tcW w:w="424"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-18.2</w:t>
            </w:r>
          </w:p>
        </w:tc>
        <w:tc>
          <w:tcPr>
            <w:tcW w:w="567" w:type="pct"/>
            <w:noWrap/>
          </w:tcPr>
          <w:p w:rsidR="008D32FD" w:rsidRPr="005D7230" w:rsidRDefault="008D32FD" w:rsidP="00F7150D">
            <w:pPr>
              <w:jc w:val="right"/>
              <w:rPr>
                <w:color w:val="FF0000"/>
                <w:sz w:val="20"/>
                <w:szCs w:val="20"/>
                <w:lang w:val="sq-AL"/>
              </w:rPr>
            </w:pPr>
            <w:r>
              <w:rPr>
                <w:color w:val="FF0000"/>
                <w:sz w:val="20"/>
                <w:szCs w:val="20"/>
                <w:lang w:val="sq-AL"/>
              </w:rPr>
              <w:t>9</w:t>
            </w:r>
          </w:p>
        </w:tc>
      </w:tr>
      <w:tr w:rsidR="008D32FD" w:rsidRPr="005D7230" w:rsidTr="00FA5869">
        <w:trPr>
          <w:trHeight w:val="255"/>
        </w:trPr>
        <w:tc>
          <w:tcPr>
            <w:tcW w:w="1241" w:type="pct"/>
            <w:noWrap/>
          </w:tcPr>
          <w:p w:rsidR="008D32FD" w:rsidRPr="005D7230" w:rsidRDefault="008D32FD" w:rsidP="00F7150D">
            <w:pPr>
              <w:spacing w:line="264" w:lineRule="auto"/>
              <w:rPr>
                <w:rFonts w:eastAsia="Times New Roman"/>
                <w:sz w:val="20"/>
                <w:lang w:val="sq-AL"/>
              </w:rPr>
            </w:pPr>
            <w:r w:rsidRPr="005D7230">
              <w:rPr>
                <w:rFonts w:eastAsia="Times New Roman"/>
                <w:sz w:val="20"/>
                <w:lang w:val="sq-AL"/>
              </w:rPr>
              <w:t xml:space="preserve">Ndërtim </w:t>
            </w:r>
          </w:p>
        </w:tc>
        <w:tc>
          <w:tcPr>
            <w:tcW w:w="373"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-18.0</w:t>
            </w:r>
          </w:p>
        </w:tc>
        <w:tc>
          <w:tcPr>
            <w:tcW w:w="382"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-24.7</w:t>
            </w:r>
          </w:p>
        </w:tc>
        <w:tc>
          <w:tcPr>
            <w:tcW w:w="379"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-30.7</w:t>
            </w:r>
          </w:p>
        </w:tc>
        <w:tc>
          <w:tcPr>
            <w:tcW w:w="379"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-27.6</w:t>
            </w:r>
          </w:p>
        </w:tc>
        <w:tc>
          <w:tcPr>
            <w:tcW w:w="434"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-35.0</w:t>
            </w:r>
          </w:p>
        </w:tc>
        <w:tc>
          <w:tcPr>
            <w:tcW w:w="404"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-42.3</w:t>
            </w:r>
          </w:p>
        </w:tc>
        <w:tc>
          <w:tcPr>
            <w:tcW w:w="417"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-25.2</w:t>
            </w:r>
          </w:p>
        </w:tc>
        <w:tc>
          <w:tcPr>
            <w:tcW w:w="424" w:type="pct"/>
            <w:noWrap/>
            <w:vAlign w:val="bottom"/>
          </w:tcPr>
          <w:p w:rsidR="008D32FD" w:rsidRDefault="008D32FD">
            <w:pPr>
              <w:jc w:val="center"/>
              <w:rPr>
                <w:rFonts w:ascii="Book Antiqua" w:hAnsi="Book Antiqua" w:cs="Arial"/>
                <w:sz w:val="20"/>
                <w:szCs w:val="20"/>
              </w:rPr>
            </w:pPr>
            <w:r>
              <w:rPr>
                <w:rFonts w:ascii="Book Antiqua" w:hAnsi="Book Antiqua" w:cs="Arial"/>
                <w:sz w:val="20"/>
                <w:szCs w:val="20"/>
              </w:rPr>
              <w:t>-33.7</w:t>
            </w:r>
          </w:p>
        </w:tc>
        <w:tc>
          <w:tcPr>
            <w:tcW w:w="567" w:type="pct"/>
            <w:noWrap/>
          </w:tcPr>
          <w:p w:rsidR="008D32FD" w:rsidRPr="005D7230" w:rsidRDefault="008D32FD" w:rsidP="00F7150D">
            <w:pPr>
              <w:jc w:val="right"/>
              <w:rPr>
                <w:color w:val="FF0000"/>
                <w:sz w:val="20"/>
                <w:szCs w:val="20"/>
                <w:lang w:val="sq-AL"/>
              </w:rPr>
            </w:pPr>
            <w:r>
              <w:rPr>
                <w:color w:val="FF0000"/>
                <w:sz w:val="20"/>
                <w:szCs w:val="20"/>
                <w:lang w:val="sq-AL"/>
              </w:rPr>
              <w:t>3.3</w:t>
            </w:r>
          </w:p>
        </w:tc>
      </w:tr>
      <w:tr w:rsidR="00DE275C" w:rsidRPr="005D7230" w:rsidTr="005D7230">
        <w:trPr>
          <w:trHeight w:val="255"/>
        </w:trPr>
        <w:tc>
          <w:tcPr>
            <w:tcW w:w="5000" w:type="pct"/>
            <w:gridSpan w:val="10"/>
            <w:noWrap/>
          </w:tcPr>
          <w:p w:rsidR="00DE275C" w:rsidRPr="005D7230" w:rsidRDefault="00DE275C" w:rsidP="00F7150D">
            <w:pPr>
              <w:spacing w:line="264" w:lineRule="auto"/>
              <w:jc w:val="center"/>
              <w:rPr>
                <w:rFonts w:eastAsia="Times New Roman"/>
                <w:b/>
                <w:bCs/>
                <w:sz w:val="20"/>
                <w:lang w:val="sq-AL"/>
              </w:rPr>
            </w:pPr>
            <w:r w:rsidRPr="005D7230">
              <w:rPr>
                <w:rFonts w:eastAsia="Times New Roman"/>
                <w:b/>
                <w:bCs/>
                <w:sz w:val="20"/>
                <w:lang w:val="sq-AL"/>
              </w:rPr>
              <w:t>Konsumatorët</w:t>
            </w:r>
          </w:p>
        </w:tc>
      </w:tr>
      <w:tr w:rsidR="00023201" w:rsidRPr="005D7230" w:rsidTr="00023201">
        <w:trPr>
          <w:trHeight w:val="255"/>
        </w:trPr>
        <w:tc>
          <w:tcPr>
            <w:tcW w:w="1241" w:type="pct"/>
            <w:noWrap/>
          </w:tcPr>
          <w:p w:rsidR="00DE275C" w:rsidRPr="005D7230" w:rsidRDefault="00DE275C" w:rsidP="00F7150D">
            <w:pPr>
              <w:spacing w:line="264" w:lineRule="auto"/>
              <w:rPr>
                <w:rFonts w:eastAsia="Times New Roman"/>
                <w:sz w:val="20"/>
                <w:lang w:val="sq-AL"/>
              </w:rPr>
            </w:pPr>
            <w:r w:rsidRPr="005D7230">
              <w:rPr>
                <w:rFonts w:eastAsia="Times New Roman"/>
                <w:sz w:val="20"/>
                <w:lang w:val="sq-AL"/>
              </w:rPr>
              <w:t>Situata financiare</w:t>
            </w:r>
          </w:p>
        </w:tc>
        <w:tc>
          <w:tcPr>
            <w:tcW w:w="373" w:type="pct"/>
            <w:noWrap/>
          </w:tcPr>
          <w:p w:rsidR="00DE275C" w:rsidRPr="005D7230" w:rsidRDefault="00DE275C" w:rsidP="000B3E0C">
            <w:pPr>
              <w:jc w:val="right"/>
              <w:rPr>
                <w:sz w:val="20"/>
                <w:szCs w:val="20"/>
                <w:lang w:val="sq-AL"/>
              </w:rPr>
            </w:pPr>
            <w:r w:rsidRPr="005D7230">
              <w:rPr>
                <w:sz w:val="20"/>
                <w:szCs w:val="20"/>
                <w:lang w:val="sq-AL"/>
              </w:rPr>
              <w:t>-1.2</w:t>
            </w:r>
          </w:p>
        </w:tc>
        <w:tc>
          <w:tcPr>
            <w:tcW w:w="382" w:type="pct"/>
            <w:noWrap/>
          </w:tcPr>
          <w:p w:rsidR="00DE275C" w:rsidRPr="005D7230" w:rsidRDefault="00DE275C" w:rsidP="000B3E0C">
            <w:pPr>
              <w:jc w:val="right"/>
              <w:rPr>
                <w:sz w:val="20"/>
                <w:szCs w:val="20"/>
                <w:lang w:val="sq-AL"/>
              </w:rPr>
            </w:pPr>
            <w:r w:rsidRPr="005D7230">
              <w:rPr>
                <w:sz w:val="20"/>
                <w:szCs w:val="20"/>
                <w:lang w:val="sq-AL"/>
              </w:rPr>
              <w:t>-4.6</w:t>
            </w:r>
          </w:p>
        </w:tc>
        <w:tc>
          <w:tcPr>
            <w:tcW w:w="379" w:type="pct"/>
            <w:noWrap/>
          </w:tcPr>
          <w:p w:rsidR="00DE275C" w:rsidRPr="005D7230" w:rsidRDefault="00DE275C" w:rsidP="000B3E0C">
            <w:pPr>
              <w:jc w:val="right"/>
              <w:rPr>
                <w:sz w:val="20"/>
                <w:szCs w:val="20"/>
                <w:lang w:val="sq-AL"/>
              </w:rPr>
            </w:pPr>
            <w:r w:rsidRPr="005D7230">
              <w:rPr>
                <w:sz w:val="20"/>
                <w:szCs w:val="20"/>
                <w:lang w:val="sq-AL"/>
              </w:rPr>
              <w:t>-9.8</w:t>
            </w:r>
          </w:p>
        </w:tc>
        <w:tc>
          <w:tcPr>
            <w:tcW w:w="379" w:type="pct"/>
            <w:noWrap/>
          </w:tcPr>
          <w:p w:rsidR="00DE275C" w:rsidRPr="005D7230" w:rsidRDefault="00DE275C" w:rsidP="000B3E0C">
            <w:pPr>
              <w:jc w:val="right"/>
              <w:rPr>
                <w:sz w:val="20"/>
                <w:szCs w:val="20"/>
                <w:lang w:val="sq-AL"/>
              </w:rPr>
            </w:pPr>
            <w:r w:rsidRPr="005D7230">
              <w:rPr>
                <w:sz w:val="20"/>
                <w:szCs w:val="20"/>
                <w:lang w:val="sq-AL"/>
              </w:rPr>
              <w:t>-12.7</w:t>
            </w:r>
          </w:p>
        </w:tc>
        <w:tc>
          <w:tcPr>
            <w:tcW w:w="434" w:type="pct"/>
            <w:noWrap/>
          </w:tcPr>
          <w:p w:rsidR="00DE275C" w:rsidRPr="005D7230" w:rsidRDefault="00DE275C" w:rsidP="000B3E0C">
            <w:pPr>
              <w:jc w:val="right"/>
              <w:rPr>
                <w:sz w:val="20"/>
                <w:szCs w:val="20"/>
                <w:lang w:val="sq-AL"/>
              </w:rPr>
            </w:pPr>
            <w:r w:rsidRPr="005D7230">
              <w:rPr>
                <w:sz w:val="20"/>
                <w:szCs w:val="20"/>
                <w:lang w:val="sq-AL"/>
              </w:rPr>
              <w:t>-7.0</w:t>
            </w:r>
          </w:p>
        </w:tc>
        <w:tc>
          <w:tcPr>
            <w:tcW w:w="404" w:type="pct"/>
            <w:noWrap/>
          </w:tcPr>
          <w:p w:rsidR="00DE275C" w:rsidRPr="005D7230" w:rsidRDefault="00DE275C" w:rsidP="000B3E0C">
            <w:pPr>
              <w:jc w:val="right"/>
              <w:rPr>
                <w:sz w:val="20"/>
                <w:szCs w:val="20"/>
                <w:lang w:val="sq-AL"/>
              </w:rPr>
            </w:pPr>
            <w:r w:rsidRPr="005D7230">
              <w:rPr>
                <w:sz w:val="20"/>
                <w:szCs w:val="20"/>
                <w:lang w:val="sq-AL"/>
              </w:rPr>
              <w:t>-12.1</w:t>
            </w:r>
          </w:p>
        </w:tc>
        <w:tc>
          <w:tcPr>
            <w:tcW w:w="417" w:type="pct"/>
            <w:noWrap/>
          </w:tcPr>
          <w:p w:rsidR="00DE275C" w:rsidRPr="005D7230" w:rsidRDefault="00DE275C" w:rsidP="000B3E0C">
            <w:pPr>
              <w:jc w:val="right"/>
              <w:rPr>
                <w:sz w:val="20"/>
                <w:szCs w:val="20"/>
                <w:lang w:val="sq-AL"/>
              </w:rPr>
            </w:pPr>
            <w:r w:rsidRPr="005D7230">
              <w:rPr>
                <w:sz w:val="20"/>
                <w:szCs w:val="20"/>
                <w:lang w:val="sq-AL"/>
              </w:rPr>
              <w:t>-14.5</w:t>
            </w:r>
          </w:p>
        </w:tc>
        <w:tc>
          <w:tcPr>
            <w:tcW w:w="424" w:type="pct"/>
            <w:noWrap/>
          </w:tcPr>
          <w:p w:rsidR="00DE275C" w:rsidRPr="005D7230" w:rsidRDefault="00F3232E" w:rsidP="00F7150D">
            <w:pPr>
              <w:jc w:val="right"/>
              <w:rPr>
                <w:sz w:val="20"/>
                <w:szCs w:val="20"/>
                <w:lang w:val="sq-AL"/>
              </w:rPr>
            </w:pPr>
            <w:r>
              <w:rPr>
                <w:sz w:val="20"/>
                <w:szCs w:val="20"/>
                <w:lang w:val="sq-AL"/>
              </w:rPr>
              <w:t>-9.7</w:t>
            </w:r>
          </w:p>
        </w:tc>
        <w:tc>
          <w:tcPr>
            <w:tcW w:w="567" w:type="pct"/>
            <w:noWrap/>
          </w:tcPr>
          <w:p w:rsidR="00DE275C" w:rsidRPr="005D7230" w:rsidRDefault="00F3232E" w:rsidP="00F7150D">
            <w:pPr>
              <w:jc w:val="right"/>
              <w:rPr>
                <w:color w:val="FF0000"/>
                <w:sz w:val="20"/>
                <w:szCs w:val="20"/>
                <w:lang w:val="sq-AL"/>
              </w:rPr>
            </w:pPr>
            <w:r>
              <w:rPr>
                <w:color w:val="FF0000"/>
                <w:sz w:val="20"/>
                <w:szCs w:val="20"/>
                <w:lang w:val="sq-AL"/>
              </w:rPr>
              <w:t>5.2</w:t>
            </w:r>
          </w:p>
        </w:tc>
      </w:tr>
      <w:tr w:rsidR="00F3232E" w:rsidRPr="005D7230" w:rsidTr="00906AC9">
        <w:trPr>
          <w:trHeight w:val="270"/>
        </w:trPr>
        <w:tc>
          <w:tcPr>
            <w:tcW w:w="1241" w:type="pct"/>
            <w:noWrap/>
          </w:tcPr>
          <w:p w:rsidR="00F3232E" w:rsidRPr="005D7230" w:rsidRDefault="00F3232E" w:rsidP="00F7150D">
            <w:pPr>
              <w:spacing w:line="264" w:lineRule="auto"/>
              <w:rPr>
                <w:rFonts w:eastAsia="Times New Roman"/>
                <w:sz w:val="20"/>
                <w:lang w:val="sq-AL"/>
              </w:rPr>
            </w:pPr>
            <w:r w:rsidRPr="005D7230">
              <w:rPr>
                <w:rFonts w:eastAsia="Times New Roman"/>
                <w:sz w:val="20"/>
                <w:lang w:val="sq-AL"/>
              </w:rPr>
              <w:t>Çmimet pas 1 viti, në %</w:t>
            </w:r>
          </w:p>
        </w:tc>
        <w:tc>
          <w:tcPr>
            <w:tcW w:w="373" w:type="pct"/>
            <w:noWrap/>
            <w:vAlign w:val="bottom"/>
          </w:tcPr>
          <w:p w:rsidR="00F3232E" w:rsidRPr="00F3232E" w:rsidRDefault="00F3232E">
            <w:pPr>
              <w:jc w:val="right"/>
              <w:rPr>
                <w:color w:val="FF0000"/>
                <w:sz w:val="20"/>
                <w:szCs w:val="20"/>
                <w:lang w:val="sq-AL"/>
              </w:rPr>
            </w:pPr>
            <w:r w:rsidRPr="00F3232E">
              <w:rPr>
                <w:color w:val="FF0000"/>
                <w:sz w:val="20"/>
                <w:szCs w:val="20"/>
                <w:lang w:val="sq-AL"/>
              </w:rPr>
              <w:t>2.01</w:t>
            </w:r>
          </w:p>
        </w:tc>
        <w:tc>
          <w:tcPr>
            <w:tcW w:w="382" w:type="pct"/>
            <w:noWrap/>
          </w:tcPr>
          <w:p w:rsidR="00F3232E" w:rsidRPr="00F3232E" w:rsidRDefault="00F3232E">
            <w:pPr>
              <w:jc w:val="center"/>
              <w:rPr>
                <w:color w:val="FF0000"/>
                <w:sz w:val="20"/>
                <w:szCs w:val="20"/>
                <w:lang w:val="sq-AL"/>
              </w:rPr>
            </w:pPr>
            <w:r w:rsidRPr="00F3232E">
              <w:rPr>
                <w:color w:val="FF0000"/>
                <w:sz w:val="20"/>
                <w:szCs w:val="20"/>
                <w:lang w:val="sq-AL"/>
              </w:rPr>
              <w:t>2.2</w:t>
            </w:r>
          </w:p>
        </w:tc>
        <w:tc>
          <w:tcPr>
            <w:tcW w:w="379" w:type="pct"/>
            <w:noWrap/>
          </w:tcPr>
          <w:p w:rsidR="00F3232E" w:rsidRPr="00F3232E" w:rsidRDefault="00F3232E">
            <w:pPr>
              <w:jc w:val="center"/>
              <w:rPr>
                <w:color w:val="FF0000"/>
                <w:sz w:val="20"/>
                <w:szCs w:val="20"/>
                <w:lang w:val="sq-AL"/>
              </w:rPr>
            </w:pPr>
            <w:r w:rsidRPr="00F3232E">
              <w:rPr>
                <w:color w:val="FF0000"/>
                <w:sz w:val="20"/>
                <w:szCs w:val="20"/>
                <w:lang w:val="sq-AL"/>
              </w:rPr>
              <w:t>2.2</w:t>
            </w:r>
          </w:p>
        </w:tc>
        <w:tc>
          <w:tcPr>
            <w:tcW w:w="379" w:type="pct"/>
            <w:noWrap/>
          </w:tcPr>
          <w:p w:rsidR="00F3232E" w:rsidRPr="00F3232E" w:rsidRDefault="00F3232E">
            <w:pPr>
              <w:jc w:val="center"/>
              <w:rPr>
                <w:color w:val="FF0000"/>
                <w:sz w:val="20"/>
                <w:szCs w:val="20"/>
                <w:lang w:val="sq-AL"/>
              </w:rPr>
            </w:pPr>
            <w:r w:rsidRPr="00F3232E">
              <w:rPr>
                <w:color w:val="FF0000"/>
                <w:sz w:val="20"/>
                <w:szCs w:val="20"/>
                <w:lang w:val="sq-AL"/>
              </w:rPr>
              <w:t>2.4</w:t>
            </w:r>
          </w:p>
        </w:tc>
        <w:tc>
          <w:tcPr>
            <w:tcW w:w="434" w:type="pct"/>
            <w:noWrap/>
          </w:tcPr>
          <w:p w:rsidR="00F3232E" w:rsidRPr="00F3232E" w:rsidRDefault="00F3232E">
            <w:pPr>
              <w:jc w:val="center"/>
              <w:rPr>
                <w:color w:val="FF0000"/>
                <w:sz w:val="20"/>
                <w:szCs w:val="20"/>
                <w:lang w:val="sq-AL"/>
              </w:rPr>
            </w:pPr>
            <w:r w:rsidRPr="00F3232E">
              <w:rPr>
                <w:color w:val="FF0000"/>
                <w:sz w:val="20"/>
                <w:szCs w:val="20"/>
                <w:lang w:val="sq-AL"/>
              </w:rPr>
              <w:t>2.1</w:t>
            </w:r>
          </w:p>
        </w:tc>
        <w:tc>
          <w:tcPr>
            <w:tcW w:w="404" w:type="pct"/>
            <w:noWrap/>
          </w:tcPr>
          <w:p w:rsidR="00F3232E" w:rsidRPr="00F3232E" w:rsidRDefault="00F3232E">
            <w:pPr>
              <w:jc w:val="center"/>
              <w:rPr>
                <w:color w:val="FF0000"/>
                <w:sz w:val="20"/>
                <w:szCs w:val="20"/>
                <w:lang w:val="sq-AL"/>
              </w:rPr>
            </w:pPr>
            <w:r w:rsidRPr="00F3232E">
              <w:rPr>
                <w:color w:val="FF0000"/>
                <w:sz w:val="20"/>
                <w:szCs w:val="20"/>
                <w:lang w:val="sq-AL"/>
              </w:rPr>
              <w:t>2.2</w:t>
            </w:r>
          </w:p>
        </w:tc>
        <w:tc>
          <w:tcPr>
            <w:tcW w:w="417" w:type="pct"/>
            <w:noWrap/>
            <w:vAlign w:val="bottom"/>
          </w:tcPr>
          <w:p w:rsidR="00F3232E" w:rsidRPr="00F3232E" w:rsidRDefault="00F3232E">
            <w:pPr>
              <w:jc w:val="right"/>
              <w:rPr>
                <w:color w:val="FF0000"/>
                <w:sz w:val="20"/>
                <w:szCs w:val="20"/>
                <w:lang w:val="sq-AL"/>
              </w:rPr>
            </w:pPr>
            <w:r w:rsidRPr="00F3232E">
              <w:rPr>
                <w:color w:val="FF0000"/>
                <w:sz w:val="20"/>
                <w:szCs w:val="20"/>
                <w:lang w:val="sq-AL"/>
              </w:rPr>
              <w:t>2.40</w:t>
            </w:r>
          </w:p>
        </w:tc>
        <w:tc>
          <w:tcPr>
            <w:tcW w:w="424" w:type="pct"/>
            <w:noWrap/>
            <w:vAlign w:val="bottom"/>
          </w:tcPr>
          <w:p w:rsidR="00F3232E" w:rsidRPr="00F3232E" w:rsidRDefault="00F3232E">
            <w:pPr>
              <w:jc w:val="right"/>
              <w:rPr>
                <w:color w:val="FF0000"/>
                <w:sz w:val="20"/>
                <w:szCs w:val="20"/>
                <w:lang w:val="sq-AL"/>
              </w:rPr>
            </w:pPr>
            <w:r w:rsidRPr="00F3232E">
              <w:rPr>
                <w:color w:val="FF0000"/>
                <w:sz w:val="20"/>
                <w:szCs w:val="20"/>
                <w:lang w:val="sq-AL"/>
              </w:rPr>
              <w:t>2.20</w:t>
            </w:r>
          </w:p>
        </w:tc>
        <w:tc>
          <w:tcPr>
            <w:tcW w:w="567" w:type="pct"/>
            <w:noWrap/>
          </w:tcPr>
          <w:p w:rsidR="00F3232E" w:rsidRPr="005D7230" w:rsidRDefault="00F3232E" w:rsidP="00F7150D">
            <w:pPr>
              <w:jc w:val="right"/>
              <w:rPr>
                <w:color w:val="FF0000"/>
                <w:sz w:val="20"/>
                <w:szCs w:val="20"/>
                <w:lang w:val="sq-AL"/>
              </w:rPr>
            </w:pPr>
          </w:p>
        </w:tc>
      </w:tr>
      <w:tr w:rsidR="00023201" w:rsidRPr="005D7230" w:rsidTr="00023201">
        <w:trPr>
          <w:trHeight w:val="255"/>
        </w:trPr>
        <w:tc>
          <w:tcPr>
            <w:tcW w:w="1241" w:type="pct"/>
            <w:noWrap/>
          </w:tcPr>
          <w:p w:rsidR="00DE275C" w:rsidRPr="005D7230" w:rsidRDefault="00DE275C" w:rsidP="00F7150D">
            <w:pPr>
              <w:spacing w:line="264" w:lineRule="auto"/>
              <w:rPr>
                <w:rFonts w:eastAsia="Times New Roman"/>
                <w:sz w:val="20"/>
                <w:lang w:val="sq-AL"/>
              </w:rPr>
            </w:pPr>
            <w:r w:rsidRPr="005D7230">
              <w:rPr>
                <w:rFonts w:eastAsia="Times New Roman"/>
                <w:sz w:val="20"/>
                <w:lang w:val="sq-AL"/>
              </w:rPr>
              <w:t>Blerje të mëdha</w:t>
            </w:r>
          </w:p>
        </w:tc>
        <w:tc>
          <w:tcPr>
            <w:tcW w:w="373" w:type="pct"/>
            <w:noWrap/>
          </w:tcPr>
          <w:p w:rsidR="00DE275C" w:rsidRPr="005D7230" w:rsidRDefault="00DE275C" w:rsidP="000B3E0C">
            <w:pPr>
              <w:jc w:val="right"/>
              <w:rPr>
                <w:sz w:val="20"/>
                <w:szCs w:val="20"/>
                <w:lang w:val="sq-AL"/>
              </w:rPr>
            </w:pPr>
            <w:r w:rsidRPr="005D7230">
              <w:rPr>
                <w:sz w:val="20"/>
                <w:szCs w:val="20"/>
                <w:lang w:val="sq-AL"/>
              </w:rPr>
              <w:t>-38.6</w:t>
            </w:r>
          </w:p>
        </w:tc>
        <w:tc>
          <w:tcPr>
            <w:tcW w:w="382" w:type="pct"/>
            <w:noWrap/>
          </w:tcPr>
          <w:p w:rsidR="00DE275C" w:rsidRPr="005D7230" w:rsidRDefault="00DE275C" w:rsidP="000B3E0C">
            <w:pPr>
              <w:jc w:val="right"/>
              <w:rPr>
                <w:sz w:val="20"/>
                <w:szCs w:val="20"/>
                <w:lang w:val="sq-AL"/>
              </w:rPr>
            </w:pPr>
            <w:r w:rsidRPr="005D7230">
              <w:rPr>
                <w:sz w:val="20"/>
                <w:szCs w:val="20"/>
                <w:lang w:val="sq-AL"/>
              </w:rPr>
              <w:t>-30.2</w:t>
            </w:r>
          </w:p>
        </w:tc>
        <w:tc>
          <w:tcPr>
            <w:tcW w:w="379" w:type="pct"/>
            <w:noWrap/>
          </w:tcPr>
          <w:p w:rsidR="00DE275C" w:rsidRPr="005D7230" w:rsidRDefault="00DE275C" w:rsidP="000B3E0C">
            <w:pPr>
              <w:jc w:val="right"/>
              <w:rPr>
                <w:sz w:val="20"/>
                <w:szCs w:val="20"/>
                <w:lang w:val="sq-AL"/>
              </w:rPr>
            </w:pPr>
            <w:r w:rsidRPr="005D7230">
              <w:rPr>
                <w:sz w:val="20"/>
                <w:szCs w:val="20"/>
                <w:lang w:val="sq-AL"/>
              </w:rPr>
              <w:t>-44.8</w:t>
            </w:r>
          </w:p>
        </w:tc>
        <w:tc>
          <w:tcPr>
            <w:tcW w:w="379" w:type="pct"/>
            <w:noWrap/>
          </w:tcPr>
          <w:p w:rsidR="00DE275C" w:rsidRPr="005D7230" w:rsidRDefault="00DE275C" w:rsidP="000B3E0C">
            <w:pPr>
              <w:jc w:val="right"/>
              <w:rPr>
                <w:sz w:val="20"/>
                <w:szCs w:val="20"/>
                <w:lang w:val="sq-AL"/>
              </w:rPr>
            </w:pPr>
            <w:r w:rsidRPr="005D7230">
              <w:rPr>
                <w:sz w:val="20"/>
                <w:szCs w:val="20"/>
                <w:lang w:val="sq-AL"/>
              </w:rPr>
              <w:t>-49.3</w:t>
            </w:r>
          </w:p>
        </w:tc>
        <w:tc>
          <w:tcPr>
            <w:tcW w:w="434" w:type="pct"/>
            <w:noWrap/>
          </w:tcPr>
          <w:p w:rsidR="00DE275C" w:rsidRPr="005D7230" w:rsidRDefault="00DE275C" w:rsidP="000B3E0C">
            <w:pPr>
              <w:jc w:val="right"/>
              <w:rPr>
                <w:sz w:val="20"/>
                <w:szCs w:val="20"/>
                <w:lang w:val="sq-AL"/>
              </w:rPr>
            </w:pPr>
            <w:r w:rsidRPr="005D7230">
              <w:rPr>
                <w:sz w:val="20"/>
                <w:szCs w:val="20"/>
                <w:lang w:val="sq-AL"/>
              </w:rPr>
              <w:t>-48.2</w:t>
            </w:r>
          </w:p>
        </w:tc>
        <w:tc>
          <w:tcPr>
            <w:tcW w:w="404" w:type="pct"/>
            <w:noWrap/>
          </w:tcPr>
          <w:p w:rsidR="00DE275C" w:rsidRPr="005D7230" w:rsidRDefault="00DE275C" w:rsidP="000B3E0C">
            <w:pPr>
              <w:jc w:val="right"/>
              <w:rPr>
                <w:sz w:val="20"/>
                <w:szCs w:val="20"/>
                <w:lang w:val="sq-AL"/>
              </w:rPr>
            </w:pPr>
            <w:r w:rsidRPr="005D7230">
              <w:rPr>
                <w:sz w:val="20"/>
                <w:szCs w:val="20"/>
                <w:lang w:val="sq-AL"/>
              </w:rPr>
              <w:t>-45.6</w:t>
            </w:r>
          </w:p>
        </w:tc>
        <w:tc>
          <w:tcPr>
            <w:tcW w:w="417" w:type="pct"/>
            <w:noWrap/>
          </w:tcPr>
          <w:p w:rsidR="00DE275C" w:rsidRPr="005D7230" w:rsidRDefault="00DE275C" w:rsidP="000B3E0C">
            <w:pPr>
              <w:jc w:val="right"/>
              <w:rPr>
                <w:sz w:val="20"/>
                <w:szCs w:val="20"/>
                <w:lang w:val="sq-AL"/>
              </w:rPr>
            </w:pPr>
            <w:r w:rsidRPr="005D7230">
              <w:rPr>
                <w:sz w:val="20"/>
                <w:szCs w:val="20"/>
                <w:lang w:val="sq-AL"/>
              </w:rPr>
              <w:t>-54.2</w:t>
            </w:r>
          </w:p>
        </w:tc>
        <w:tc>
          <w:tcPr>
            <w:tcW w:w="424" w:type="pct"/>
            <w:noWrap/>
          </w:tcPr>
          <w:p w:rsidR="00DE275C" w:rsidRPr="005D7230" w:rsidRDefault="00F3232E" w:rsidP="00F7150D">
            <w:pPr>
              <w:jc w:val="right"/>
              <w:rPr>
                <w:sz w:val="20"/>
                <w:szCs w:val="20"/>
                <w:lang w:val="sq-AL"/>
              </w:rPr>
            </w:pPr>
            <w:r>
              <w:rPr>
                <w:sz w:val="20"/>
                <w:szCs w:val="20"/>
                <w:lang w:val="sq-AL"/>
              </w:rPr>
              <w:t>-46.5</w:t>
            </w:r>
          </w:p>
        </w:tc>
        <w:tc>
          <w:tcPr>
            <w:tcW w:w="567" w:type="pct"/>
            <w:noWrap/>
          </w:tcPr>
          <w:p w:rsidR="00DE275C" w:rsidRPr="005D7230" w:rsidRDefault="00F3232E" w:rsidP="00F7150D">
            <w:pPr>
              <w:jc w:val="right"/>
              <w:rPr>
                <w:color w:val="FF0000"/>
                <w:sz w:val="20"/>
                <w:szCs w:val="20"/>
                <w:lang w:val="sq-AL"/>
              </w:rPr>
            </w:pPr>
            <w:r>
              <w:rPr>
                <w:color w:val="FF0000"/>
                <w:sz w:val="20"/>
                <w:szCs w:val="20"/>
                <w:lang w:val="sq-AL"/>
              </w:rPr>
              <w:t>40.8</w:t>
            </w:r>
          </w:p>
        </w:tc>
      </w:tr>
      <w:tr w:rsidR="00023201" w:rsidRPr="005D7230" w:rsidTr="00023201">
        <w:trPr>
          <w:trHeight w:val="255"/>
        </w:trPr>
        <w:tc>
          <w:tcPr>
            <w:tcW w:w="1241" w:type="pct"/>
            <w:noWrap/>
          </w:tcPr>
          <w:p w:rsidR="00DE275C" w:rsidRPr="005D7230" w:rsidRDefault="00DE275C" w:rsidP="00F7150D">
            <w:pPr>
              <w:spacing w:line="264" w:lineRule="auto"/>
              <w:rPr>
                <w:rFonts w:eastAsia="Times New Roman"/>
                <w:sz w:val="20"/>
                <w:lang w:val="sq-AL"/>
              </w:rPr>
            </w:pPr>
            <w:r w:rsidRPr="005D7230">
              <w:rPr>
                <w:rFonts w:eastAsia="Times New Roman"/>
                <w:sz w:val="20"/>
                <w:lang w:val="sq-AL"/>
              </w:rPr>
              <w:t>Kursimi</w:t>
            </w:r>
          </w:p>
        </w:tc>
        <w:tc>
          <w:tcPr>
            <w:tcW w:w="373" w:type="pct"/>
            <w:noWrap/>
          </w:tcPr>
          <w:p w:rsidR="00DE275C" w:rsidRPr="005D7230" w:rsidRDefault="00DE275C" w:rsidP="000B3E0C">
            <w:pPr>
              <w:jc w:val="right"/>
              <w:rPr>
                <w:sz w:val="20"/>
                <w:szCs w:val="20"/>
                <w:lang w:val="sq-AL"/>
              </w:rPr>
            </w:pPr>
            <w:r w:rsidRPr="005D7230">
              <w:rPr>
                <w:sz w:val="20"/>
                <w:szCs w:val="20"/>
                <w:lang w:val="sq-AL"/>
              </w:rPr>
              <w:t>-45.6</w:t>
            </w:r>
          </w:p>
        </w:tc>
        <w:tc>
          <w:tcPr>
            <w:tcW w:w="382" w:type="pct"/>
            <w:noWrap/>
          </w:tcPr>
          <w:p w:rsidR="00DE275C" w:rsidRPr="005D7230" w:rsidRDefault="00DE275C" w:rsidP="000B3E0C">
            <w:pPr>
              <w:jc w:val="right"/>
              <w:rPr>
                <w:sz w:val="20"/>
                <w:szCs w:val="20"/>
                <w:lang w:val="sq-AL"/>
              </w:rPr>
            </w:pPr>
            <w:r w:rsidRPr="005D7230">
              <w:rPr>
                <w:sz w:val="20"/>
                <w:szCs w:val="20"/>
                <w:lang w:val="sq-AL"/>
              </w:rPr>
              <w:t>-40.8</w:t>
            </w:r>
          </w:p>
        </w:tc>
        <w:tc>
          <w:tcPr>
            <w:tcW w:w="379" w:type="pct"/>
            <w:noWrap/>
          </w:tcPr>
          <w:p w:rsidR="00DE275C" w:rsidRPr="005D7230" w:rsidRDefault="00DE275C" w:rsidP="000B3E0C">
            <w:pPr>
              <w:jc w:val="right"/>
              <w:rPr>
                <w:sz w:val="20"/>
                <w:szCs w:val="20"/>
                <w:lang w:val="sq-AL"/>
              </w:rPr>
            </w:pPr>
            <w:r w:rsidRPr="005D7230">
              <w:rPr>
                <w:sz w:val="20"/>
                <w:szCs w:val="20"/>
                <w:lang w:val="sq-AL"/>
              </w:rPr>
              <w:t>-43.9</w:t>
            </w:r>
          </w:p>
        </w:tc>
        <w:tc>
          <w:tcPr>
            <w:tcW w:w="379" w:type="pct"/>
            <w:noWrap/>
          </w:tcPr>
          <w:p w:rsidR="00DE275C" w:rsidRPr="005D7230" w:rsidRDefault="00DE275C" w:rsidP="000B3E0C">
            <w:pPr>
              <w:jc w:val="right"/>
              <w:rPr>
                <w:sz w:val="20"/>
                <w:szCs w:val="20"/>
                <w:lang w:val="sq-AL"/>
              </w:rPr>
            </w:pPr>
            <w:r w:rsidRPr="005D7230">
              <w:rPr>
                <w:sz w:val="20"/>
                <w:szCs w:val="20"/>
                <w:lang w:val="sq-AL"/>
              </w:rPr>
              <w:t>-45.8</w:t>
            </w:r>
          </w:p>
        </w:tc>
        <w:tc>
          <w:tcPr>
            <w:tcW w:w="434" w:type="pct"/>
            <w:noWrap/>
          </w:tcPr>
          <w:p w:rsidR="00DE275C" w:rsidRPr="005D7230" w:rsidRDefault="00DE275C" w:rsidP="000B3E0C">
            <w:pPr>
              <w:jc w:val="right"/>
              <w:rPr>
                <w:sz w:val="20"/>
                <w:szCs w:val="20"/>
                <w:lang w:val="sq-AL"/>
              </w:rPr>
            </w:pPr>
            <w:r w:rsidRPr="005D7230">
              <w:rPr>
                <w:sz w:val="20"/>
                <w:szCs w:val="20"/>
                <w:lang w:val="sq-AL"/>
              </w:rPr>
              <w:t>-46.2</w:t>
            </w:r>
          </w:p>
        </w:tc>
        <w:tc>
          <w:tcPr>
            <w:tcW w:w="404" w:type="pct"/>
            <w:noWrap/>
          </w:tcPr>
          <w:p w:rsidR="00DE275C" w:rsidRPr="005D7230" w:rsidRDefault="00DE275C" w:rsidP="000B3E0C">
            <w:pPr>
              <w:jc w:val="right"/>
              <w:rPr>
                <w:sz w:val="20"/>
                <w:szCs w:val="20"/>
                <w:lang w:val="sq-AL"/>
              </w:rPr>
            </w:pPr>
            <w:r w:rsidRPr="005D7230">
              <w:rPr>
                <w:sz w:val="20"/>
                <w:szCs w:val="20"/>
                <w:lang w:val="sq-AL"/>
              </w:rPr>
              <w:t>-53.7</w:t>
            </w:r>
          </w:p>
        </w:tc>
        <w:tc>
          <w:tcPr>
            <w:tcW w:w="417" w:type="pct"/>
            <w:noWrap/>
          </w:tcPr>
          <w:p w:rsidR="00DE275C" w:rsidRPr="005D7230" w:rsidRDefault="00DE275C" w:rsidP="000B3E0C">
            <w:pPr>
              <w:jc w:val="right"/>
              <w:rPr>
                <w:sz w:val="20"/>
                <w:szCs w:val="20"/>
                <w:lang w:val="sq-AL"/>
              </w:rPr>
            </w:pPr>
            <w:r w:rsidRPr="005D7230">
              <w:rPr>
                <w:sz w:val="20"/>
                <w:szCs w:val="20"/>
                <w:lang w:val="sq-AL"/>
              </w:rPr>
              <w:t>-54.7</w:t>
            </w:r>
          </w:p>
        </w:tc>
        <w:tc>
          <w:tcPr>
            <w:tcW w:w="424" w:type="pct"/>
            <w:noWrap/>
          </w:tcPr>
          <w:p w:rsidR="00DE275C" w:rsidRPr="005D7230" w:rsidRDefault="00F3232E" w:rsidP="00F7150D">
            <w:pPr>
              <w:jc w:val="right"/>
              <w:rPr>
                <w:sz w:val="20"/>
                <w:szCs w:val="20"/>
                <w:lang w:val="sq-AL"/>
              </w:rPr>
            </w:pPr>
            <w:r>
              <w:rPr>
                <w:sz w:val="20"/>
                <w:szCs w:val="20"/>
                <w:lang w:val="sq-AL"/>
              </w:rPr>
              <w:t>-52.3</w:t>
            </w:r>
          </w:p>
        </w:tc>
        <w:tc>
          <w:tcPr>
            <w:tcW w:w="567" w:type="pct"/>
            <w:noWrap/>
          </w:tcPr>
          <w:p w:rsidR="00DE275C" w:rsidRPr="005D7230" w:rsidRDefault="00F3232E" w:rsidP="00F7150D">
            <w:pPr>
              <w:jc w:val="right"/>
              <w:rPr>
                <w:color w:val="FF0000"/>
                <w:sz w:val="20"/>
                <w:szCs w:val="20"/>
                <w:lang w:val="sq-AL"/>
              </w:rPr>
            </w:pPr>
            <w:r>
              <w:rPr>
                <w:color w:val="FF0000"/>
                <w:sz w:val="20"/>
                <w:szCs w:val="20"/>
                <w:lang w:val="sq-AL"/>
              </w:rPr>
              <w:t>-47.0</w:t>
            </w:r>
          </w:p>
        </w:tc>
      </w:tr>
    </w:tbl>
    <w:p w:rsidR="005D7230" w:rsidRPr="005D7230" w:rsidRDefault="005D7230" w:rsidP="005D7230">
      <w:pPr>
        <w:spacing w:line="264" w:lineRule="auto"/>
        <w:jc w:val="both"/>
        <w:rPr>
          <w:sz w:val="20"/>
          <w:lang w:val="sq-AL"/>
        </w:rPr>
      </w:pPr>
      <w:r w:rsidRPr="005D7230">
        <w:rPr>
          <w:sz w:val="20"/>
          <w:lang w:val="sq-AL"/>
        </w:rPr>
        <w:t xml:space="preserve">Burimi: Vrojtimi i </w:t>
      </w:r>
      <w:r w:rsidR="00177517">
        <w:rPr>
          <w:sz w:val="20"/>
          <w:lang w:val="sq-AL"/>
        </w:rPr>
        <w:t>b</w:t>
      </w:r>
      <w:r w:rsidRPr="005D7230">
        <w:rPr>
          <w:sz w:val="20"/>
          <w:lang w:val="sq-AL"/>
        </w:rPr>
        <w:t xml:space="preserve">esimit të </w:t>
      </w:r>
      <w:r w:rsidR="00177517">
        <w:rPr>
          <w:sz w:val="20"/>
          <w:lang w:val="sq-AL"/>
        </w:rPr>
        <w:t>k</w:t>
      </w:r>
      <w:r w:rsidRPr="005D7230">
        <w:rPr>
          <w:sz w:val="20"/>
          <w:lang w:val="sq-AL"/>
        </w:rPr>
        <w:t>onsumatorit, Banka e Shqipërisë.</w:t>
      </w:r>
    </w:p>
    <w:p w:rsidR="005D7230" w:rsidRPr="005D7230" w:rsidRDefault="005D7230" w:rsidP="005D7230">
      <w:pPr>
        <w:spacing w:line="264" w:lineRule="auto"/>
        <w:jc w:val="both"/>
        <w:rPr>
          <w:i/>
          <w:sz w:val="20"/>
          <w:lang w:val="sq-AL"/>
        </w:rPr>
      </w:pPr>
      <w:r w:rsidRPr="005D7230">
        <w:rPr>
          <w:i/>
          <w:sz w:val="20"/>
          <w:lang w:val="sq-AL"/>
        </w:rPr>
        <w:t>*) Me përjashtim të sektorit të konsumatorit, balancat janë të rregulluara sezonalisht.</w:t>
      </w:r>
    </w:p>
    <w:p w:rsidR="005D7230" w:rsidRPr="005D7230" w:rsidRDefault="005D7230" w:rsidP="005D7230">
      <w:pPr>
        <w:rPr>
          <w:sz w:val="16"/>
          <w:szCs w:val="16"/>
          <w:lang w:val="sq-AL"/>
        </w:rPr>
      </w:pPr>
    </w:p>
    <w:p w:rsidR="005D7230" w:rsidRPr="005D7230" w:rsidRDefault="005D7230" w:rsidP="005D7230">
      <w:pPr>
        <w:rPr>
          <w:sz w:val="16"/>
          <w:szCs w:val="16"/>
          <w:lang w:val="sq-AL"/>
        </w:rPr>
      </w:pPr>
    </w:p>
    <w:p w:rsidR="005D7230" w:rsidRPr="005D7230" w:rsidRDefault="005D7230" w:rsidP="005D7230">
      <w:pPr>
        <w:rPr>
          <w:szCs w:val="16"/>
          <w:lang w:val="sq-AL"/>
        </w:rPr>
      </w:pPr>
      <w:r w:rsidRPr="005D7230">
        <w:rPr>
          <w:szCs w:val="16"/>
          <w:lang w:val="sq-AL"/>
        </w:rPr>
        <w:lastRenderedPageBreak/>
        <w:t>Gra</w:t>
      </w:r>
      <w:r w:rsidR="00035E3F">
        <w:rPr>
          <w:szCs w:val="16"/>
          <w:lang w:val="sq-AL"/>
        </w:rPr>
        <w:t>f</w:t>
      </w:r>
      <w:r w:rsidRPr="005D7230">
        <w:rPr>
          <w:szCs w:val="16"/>
          <w:lang w:val="sq-AL"/>
        </w:rPr>
        <w:t>ik 6: Balancat kryesore të vrojtimit të konsumatorit.</w:t>
      </w:r>
    </w:p>
    <w:p w:rsidR="005D7230" w:rsidRPr="005D7230" w:rsidRDefault="00D252BD" w:rsidP="005D7230">
      <w:pPr>
        <w:rPr>
          <w:szCs w:val="16"/>
          <w:lang w:val="sq-AL"/>
        </w:rPr>
      </w:pPr>
      <w:r w:rsidRPr="00D252BD">
        <w:rPr>
          <w:noProof/>
        </w:rPr>
        <w:drawing>
          <wp:inline distT="0" distB="0" distL="0" distR="0" wp14:anchorId="2FE0BB3E" wp14:editId="5B7C08F2">
            <wp:extent cx="5943600" cy="5266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266175"/>
                    </a:xfrm>
                    <a:prstGeom prst="rect">
                      <a:avLst/>
                    </a:prstGeom>
                    <a:noFill/>
                    <a:ln>
                      <a:noFill/>
                    </a:ln>
                  </pic:spPr>
                </pic:pic>
              </a:graphicData>
            </a:graphic>
          </wp:inline>
        </w:drawing>
      </w:r>
    </w:p>
    <w:p w:rsidR="005D7230" w:rsidRPr="005D7230" w:rsidRDefault="005D7230" w:rsidP="005D7230">
      <w:pPr>
        <w:rPr>
          <w:sz w:val="20"/>
          <w:szCs w:val="16"/>
          <w:lang w:val="sq-AL"/>
        </w:rPr>
      </w:pPr>
      <w:r w:rsidRPr="005D7230">
        <w:rPr>
          <w:sz w:val="20"/>
          <w:szCs w:val="16"/>
          <w:lang w:val="sq-AL"/>
        </w:rPr>
        <w:t>Burimi: Vrojtimi i besimit të konsumatorëve, Banka e Shqipërisë.</w:t>
      </w:r>
    </w:p>
    <w:p w:rsidR="005D7230" w:rsidRPr="005D7230" w:rsidRDefault="005D7230" w:rsidP="005D7230">
      <w:pPr>
        <w:rPr>
          <w:szCs w:val="16"/>
          <w:lang w:val="sq-AL"/>
        </w:rPr>
      </w:pPr>
    </w:p>
    <w:p w:rsidR="005D7230" w:rsidRPr="005D7230" w:rsidRDefault="005D7230" w:rsidP="005D7230">
      <w:pPr>
        <w:rPr>
          <w:szCs w:val="16"/>
          <w:lang w:val="sq-AL"/>
        </w:rPr>
      </w:pPr>
    </w:p>
    <w:p w:rsidR="005D7230" w:rsidRPr="005D7230" w:rsidRDefault="005D7230" w:rsidP="005D7230">
      <w:pPr>
        <w:rPr>
          <w:szCs w:val="16"/>
          <w:lang w:val="sq-AL"/>
        </w:rPr>
      </w:pPr>
    </w:p>
    <w:p w:rsidR="005D7230" w:rsidRPr="005D7230" w:rsidRDefault="005D7230" w:rsidP="005D7230">
      <w:pPr>
        <w:rPr>
          <w:szCs w:val="16"/>
          <w:lang w:val="sq-AL"/>
        </w:rPr>
      </w:pPr>
    </w:p>
    <w:p w:rsidR="005D7230" w:rsidRPr="005D7230" w:rsidRDefault="005D7230" w:rsidP="005D7230">
      <w:pPr>
        <w:rPr>
          <w:szCs w:val="16"/>
          <w:lang w:val="sq-AL"/>
        </w:rPr>
      </w:pPr>
    </w:p>
    <w:p w:rsidR="005D7230" w:rsidRPr="005D7230" w:rsidRDefault="005D7230" w:rsidP="005D7230">
      <w:pPr>
        <w:rPr>
          <w:szCs w:val="16"/>
          <w:lang w:val="sq-AL"/>
        </w:rPr>
      </w:pPr>
    </w:p>
    <w:p w:rsidR="005D7230" w:rsidRPr="005D7230" w:rsidRDefault="005D7230" w:rsidP="005D7230">
      <w:pPr>
        <w:rPr>
          <w:szCs w:val="16"/>
          <w:lang w:val="sq-AL"/>
        </w:rPr>
      </w:pPr>
    </w:p>
    <w:p w:rsidR="005D7230" w:rsidRPr="005D7230" w:rsidRDefault="005D7230" w:rsidP="005D7230">
      <w:pPr>
        <w:rPr>
          <w:szCs w:val="16"/>
          <w:lang w:val="sq-AL"/>
        </w:rPr>
      </w:pPr>
      <w:r w:rsidRPr="005D7230">
        <w:rPr>
          <w:szCs w:val="16"/>
          <w:lang w:val="sq-AL"/>
        </w:rPr>
        <w:lastRenderedPageBreak/>
        <w:t>Grafik 7: Balancat kryesore të vrojtimit të bizneseve, të agreguara në nivel ekonomie.</w:t>
      </w:r>
    </w:p>
    <w:p w:rsidR="005D7230" w:rsidRPr="005D7230" w:rsidRDefault="00023201" w:rsidP="005D7230">
      <w:pPr>
        <w:rPr>
          <w:szCs w:val="16"/>
          <w:lang w:val="sq-AL"/>
        </w:rPr>
      </w:pPr>
      <w:r w:rsidRPr="00023201">
        <w:rPr>
          <w:noProof/>
        </w:rPr>
        <w:drawing>
          <wp:inline distT="0" distB="0" distL="0" distR="0" wp14:anchorId="40701A6F" wp14:editId="27B2EB18">
            <wp:extent cx="5943600" cy="54701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470151"/>
                    </a:xfrm>
                    <a:prstGeom prst="rect">
                      <a:avLst/>
                    </a:prstGeom>
                    <a:noFill/>
                    <a:ln>
                      <a:noFill/>
                    </a:ln>
                  </pic:spPr>
                </pic:pic>
              </a:graphicData>
            </a:graphic>
          </wp:inline>
        </w:drawing>
      </w:r>
    </w:p>
    <w:p w:rsidR="005D7230" w:rsidRPr="005D7230" w:rsidRDefault="005D7230" w:rsidP="005D7230">
      <w:pPr>
        <w:rPr>
          <w:sz w:val="18"/>
          <w:szCs w:val="16"/>
          <w:lang w:val="sq-AL"/>
        </w:rPr>
      </w:pPr>
      <w:r w:rsidRPr="005D7230">
        <w:rPr>
          <w:sz w:val="18"/>
          <w:szCs w:val="16"/>
          <w:lang w:val="sq-AL"/>
        </w:rPr>
        <w:t xml:space="preserve">Burimi: Vrojtimi i </w:t>
      </w:r>
      <w:r w:rsidR="00177517">
        <w:rPr>
          <w:sz w:val="18"/>
          <w:szCs w:val="16"/>
          <w:lang w:val="sq-AL"/>
        </w:rPr>
        <w:t>b</w:t>
      </w:r>
      <w:r w:rsidRPr="005D7230">
        <w:rPr>
          <w:sz w:val="18"/>
          <w:szCs w:val="16"/>
          <w:lang w:val="sq-AL"/>
        </w:rPr>
        <w:t>esimit të</w:t>
      </w:r>
      <w:r w:rsidR="0058002E">
        <w:rPr>
          <w:sz w:val="18"/>
          <w:szCs w:val="16"/>
          <w:lang w:val="sq-AL"/>
        </w:rPr>
        <w:t xml:space="preserve"> </w:t>
      </w:r>
      <w:r w:rsidR="00177517">
        <w:rPr>
          <w:sz w:val="18"/>
          <w:szCs w:val="16"/>
          <w:lang w:val="sq-AL"/>
        </w:rPr>
        <w:t>b</w:t>
      </w:r>
      <w:r w:rsidRPr="005D7230">
        <w:rPr>
          <w:sz w:val="18"/>
          <w:szCs w:val="16"/>
          <w:lang w:val="sq-AL"/>
        </w:rPr>
        <w:t>iznesit, Banka e Shqipërisë.</w:t>
      </w:r>
    </w:p>
    <w:p w:rsidR="005D7230" w:rsidRPr="005D7230" w:rsidRDefault="005D7230" w:rsidP="005D7230">
      <w:pPr>
        <w:rPr>
          <w:sz w:val="16"/>
          <w:szCs w:val="16"/>
          <w:lang w:val="sq-AL"/>
        </w:rPr>
      </w:pPr>
    </w:p>
    <w:p w:rsidR="005D7230" w:rsidRPr="005D7230" w:rsidRDefault="005D7230" w:rsidP="005D7230">
      <w:pPr>
        <w:rPr>
          <w:sz w:val="16"/>
          <w:szCs w:val="16"/>
          <w:lang w:val="sq-AL"/>
        </w:rPr>
      </w:pPr>
    </w:p>
    <w:p w:rsidR="005D7230" w:rsidRPr="005D7230" w:rsidRDefault="005D7230" w:rsidP="005D7230">
      <w:pPr>
        <w:rPr>
          <w:sz w:val="16"/>
          <w:szCs w:val="16"/>
          <w:lang w:val="sq-AL"/>
        </w:rPr>
      </w:pPr>
    </w:p>
    <w:p w:rsidR="005D7230" w:rsidRPr="005D7230" w:rsidRDefault="005D7230" w:rsidP="005D7230">
      <w:pPr>
        <w:rPr>
          <w:sz w:val="16"/>
          <w:szCs w:val="16"/>
          <w:lang w:val="sq-AL"/>
        </w:rPr>
      </w:pPr>
    </w:p>
    <w:p w:rsidR="005D7230" w:rsidRPr="005D7230" w:rsidRDefault="005D7230" w:rsidP="005D7230">
      <w:pPr>
        <w:rPr>
          <w:sz w:val="16"/>
          <w:szCs w:val="16"/>
          <w:lang w:val="sq-AL"/>
        </w:rPr>
      </w:pPr>
    </w:p>
    <w:p w:rsidR="005D7230" w:rsidRPr="005D7230" w:rsidRDefault="005D7230" w:rsidP="005D7230">
      <w:pPr>
        <w:rPr>
          <w:sz w:val="16"/>
          <w:szCs w:val="16"/>
          <w:lang w:val="sq-AL"/>
        </w:rPr>
      </w:pPr>
    </w:p>
    <w:p w:rsidR="005D7230" w:rsidRPr="005D7230" w:rsidRDefault="005D7230" w:rsidP="005D7230">
      <w:pPr>
        <w:rPr>
          <w:sz w:val="16"/>
          <w:szCs w:val="16"/>
          <w:lang w:val="sq-AL"/>
        </w:rPr>
      </w:pPr>
    </w:p>
    <w:p w:rsidR="005D7230" w:rsidRPr="005D7230" w:rsidRDefault="005D7230" w:rsidP="005D7230">
      <w:pPr>
        <w:jc w:val="both"/>
        <w:rPr>
          <w:b/>
          <w:szCs w:val="16"/>
          <w:lang w:val="sq-AL"/>
        </w:rPr>
      </w:pPr>
      <w:r w:rsidRPr="005D7230">
        <w:rPr>
          <w:b/>
          <w:szCs w:val="16"/>
          <w:lang w:val="sq-AL"/>
        </w:rPr>
        <w:lastRenderedPageBreak/>
        <w:t>Aneks</w:t>
      </w:r>
    </w:p>
    <w:p w:rsidR="005D7230" w:rsidRPr="005D7230" w:rsidRDefault="005D7230" w:rsidP="005D7230">
      <w:pPr>
        <w:jc w:val="both"/>
        <w:rPr>
          <w:b/>
          <w:szCs w:val="16"/>
          <w:lang w:val="sq-AL"/>
        </w:rPr>
      </w:pPr>
    </w:p>
    <w:p w:rsidR="005D7230" w:rsidRPr="005D7230" w:rsidRDefault="005D7230" w:rsidP="005D7230">
      <w:pPr>
        <w:jc w:val="both"/>
        <w:rPr>
          <w:b/>
          <w:szCs w:val="16"/>
          <w:lang w:val="sq-AL"/>
        </w:rPr>
      </w:pPr>
      <w:r w:rsidRPr="005D7230">
        <w:rPr>
          <w:b/>
          <w:szCs w:val="16"/>
          <w:lang w:val="sq-AL"/>
        </w:rPr>
        <w:t>Shpjegime metodologjike</w:t>
      </w:r>
    </w:p>
    <w:p w:rsidR="005D7230" w:rsidRPr="005D7230" w:rsidRDefault="005D7230" w:rsidP="005D7230">
      <w:pPr>
        <w:jc w:val="both"/>
        <w:rPr>
          <w:szCs w:val="16"/>
          <w:lang w:val="sq-AL"/>
        </w:rPr>
      </w:pPr>
    </w:p>
    <w:p w:rsidR="005D7230" w:rsidRPr="005D7230" w:rsidRDefault="005D7230" w:rsidP="005D7230">
      <w:pPr>
        <w:jc w:val="both"/>
        <w:rPr>
          <w:szCs w:val="16"/>
          <w:lang w:val="sq-AL"/>
        </w:rPr>
      </w:pPr>
      <w:r w:rsidRPr="005D7230">
        <w:rPr>
          <w:szCs w:val="16"/>
          <w:lang w:val="sq-AL"/>
        </w:rPr>
        <w:t>-</w:t>
      </w:r>
      <w:r w:rsidRPr="005D7230">
        <w:rPr>
          <w:b/>
          <w:bCs/>
          <w:szCs w:val="16"/>
          <w:lang w:val="sq-AL"/>
        </w:rPr>
        <w:t>Balanca</w:t>
      </w:r>
      <w:r w:rsidRPr="005D7230">
        <w:rPr>
          <w:szCs w:val="16"/>
          <w:lang w:val="sq-AL"/>
        </w:rPr>
        <w:t xml:space="preserve"> është treguesi që përdoret më shpesh për agregimin e të dhënave cilësore nga vrojtimet. Ajo llogaritet si diferencë midis përqindjes së përgjigjeve pozitive dhe përqindjes së përgjigjeve negative. Balanca shprehet në pikë përqindje.</w:t>
      </w:r>
    </w:p>
    <w:p w:rsidR="005D7230" w:rsidRPr="005D7230" w:rsidRDefault="005D7230" w:rsidP="005D7230">
      <w:pPr>
        <w:jc w:val="both"/>
        <w:rPr>
          <w:szCs w:val="16"/>
          <w:lang w:val="sq-AL"/>
        </w:rPr>
      </w:pPr>
    </w:p>
    <w:p w:rsidR="005D7230" w:rsidRPr="005D7230" w:rsidRDefault="005D7230" w:rsidP="005D7230">
      <w:pPr>
        <w:jc w:val="both"/>
        <w:rPr>
          <w:szCs w:val="16"/>
          <w:lang w:val="sq-AL"/>
        </w:rPr>
      </w:pPr>
      <w:r w:rsidRPr="005D7230">
        <w:rPr>
          <w:szCs w:val="16"/>
          <w:lang w:val="sq-AL"/>
        </w:rPr>
        <w:t>-</w:t>
      </w:r>
      <w:r w:rsidRPr="005D7230">
        <w:rPr>
          <w:b/>
          <w:bCs/>
          <w:szCs w:val="16"/>
          <w:lang w:val="sq-AL"/>
        </w:rPr>
        <w:t>Treguesi i Besimit</w:t>
      </w:r>
      <w:r w:rsidRPr="005D7230">
        <w:rPr>
          <w:szCs w:val="16"/>
          <w:lang w:val="sq-AL"/>
        </w:rPr>
        <w:t xml:space="preserve"> (TB) ndërtohet për çdo sektor dhe llogaritet si mesatare e thjeshtë e balancave të rregulluara sezonalisht, të treguesve të cilët kanë korrelacionin më të lartë me serinë e referencës (serinë e të dhënave reale të ekonomisë).</w:t>
      </w:r>
    </w:p>
    <w:p w:rsidR="005D7230" w:rsidRPr="005D7230" w:rsidRDefault="005D7230" w:rsidP="005D7230">
      <w:pPr>
        <w:jc w:val="both"/>
        <w:rPr>
          <w:szCs w:val="16"/>
          <w:lang w:val="sq-AL"/>
        </w:rPr>
      </w:pPr>
    </w:p>
    <w:p w:rsidR="005D7230" w:rsidRPr="005D7230" w:rsidRDefault="005D7230" w:rsidP="005D7230">
      <w:pPr>
        <w:jc w:val="both"/>
        <w:rPr>
          <w:szCs w:val="16"/>
          <w:lang w:val="sq-AL"/>
        </w:rPr>
      </w:pPr>
      <w:r w:rsidRPr="005D7230">
        <w:rPr>
          <w:b/>
          <w:bCs/>
          <w:szCs w:val="16"/>
          <w:lang w:val="sq-AL"/>
        </w:rPr>
        <w:t xml:space="preserve">-Treguesi i Ndjesisë Ekonomike </w:t>
      </w:r>
      <w:r w:rsidRPr="005D7230">
        <w:rPr>
          <w:szCs w:val="16"/>
          <w:lang w:val="sq-AL"/>
        </w:rPr>
        <w:t>(TNE) përmbledh të gjitha balancat (13) e përdorura për llogaritjen e treguesve të besimit për të katër sektorët, të peshuara sipas aktivitetit ekonomik. Ai shpreh me anë të një treguesi të vetëm ndjesitë për aktivitetin ekonomik në vend, të dy prej grupeve kryesore ekonomike: biznesit dhe konsumatorëve.</w:t>
      </w:r>
    </w:p>
    <w:p w:rsidR="005D7230" w:rsidRPr="005D7230" w:rsidRDefault="005D7230" w:rsidP="005D7230">
      <w:pPr>
        <w:jc w:val="both"/>
        <w:rPr>
          <w:szCs w:val="16"/>
          <w:lang w:val="sq-AL"/>
        </w:rPr>
      </w:pPr>
    </w:p>
    <w:p w:rsidR="005D7230" w:rsidRPr="005D7230" w:rsidRDefault="005D7230" w:rsidP="000C4B21">
      <w:pPr>
        <w:spacing w:after="0" w:line="240" w:lineRule="auto"/>
        <w:jc w:val="both"/>
        <w:rPr>
          <w:rFonts w:ascii="Times New Roman" w:hAnsi="Times New Roman" w:cs="Times New Roman"/>
          <w:sz w:val="24"/>
          <w:szCs w:val="24"/>
          <w:lang w:val="sq-AL"/>
        </w:rPr>
      </w:pPr>
    </w:p>
    <w:sectPr w:rsidR="005D7230" w:rsidRPr="005D7230" w:rsidSect="001D7B2C">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5D" w:rsidRDefault="00C7035D" w:rsidP="001D7B2C">
      <w:pPr>
        <w:spacing w:after="0" w:line="240" w:lineRule="auto"/>
      </w:pPr>
      <w:r>
        <w:separator/>
      </w:r>
    </w:p>
  </w:endnote>
  <w:endnote w:type="continuationSeparator" w:id="0">
    <w:p w:rsidR="00C7035D" w:rsidRDefault="00C7035D" w:rsidP="001D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5D" w:rsidRDefault="00C7035D" w:rsidP="001D7B2C">
      <w:pPr>
        <w:spacing w:after="0" w:line="240" w:lineRule="auto"/>
      </w:pPr>
      <w:r>
        <w:separator/>
      </w:r>
    </w:p>
  </w:footnote>
  <w:footnote w:type="continuationSeparator" w:id="0">
    <w:p w:rsidR="00C7035D" w:rsidRDefault="00C7035D" w:rsidP="001D7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839"/>
    <w:multiLevelType w:val="hybridMultilevel"/>
    <w:tmpl w:val="E91EE984"/>
    <w:lvl w:ilvl="0" w:tplc="E3782CA4">
      <w:start w:val="1"/>
      <w:numFmt w:val="decimal"/>
      <w:lvlText w:val="Grafik %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A4"/>
    <w:rsid w:val="00001815"/>
    <w:rsid w:val="00023201"/>
    <w:rsid w:val="000252A8"/>
    <w:rsid w:val="000356A0"/>
    <w:rsid w:val="00035E3F"/>
    <w:rsid w:val="00052A60"/>
    <w:rsid w:val="00057CA2"/>
    <w:rsid w:val="00066AE8"/>
    <w:rsid w:val="000673FD"/>
    <w:rsid w:val="000804EE"/>
    <w:rsid w:val="000A34AA"/>
    <w:rsid w:val="000C4B21"/>
    <w:rsid w:val="000C76F7"/>
    <w:rsid w:val="000F609A"/>
    <w:rsid w:val="00136ECD"/>
    <w:rsid w:val="00144A94"/>
    <w:rsid w:val="0014609A"/>
    <w:rsid w:val="00166A25"/>
    <w:rsid w:val="00177517"/>
    <w:rsid w:val="0019004D"/>
    <w:rsid w:val="0019546F"/>
    <w:rsid w:val="001D7B2C"/>
    <w:rsid w:val="001F4AB4"/>
    <w:rsid w:val="001F5033"/>
    <w:rsid w:val="002067BC"/>
    <w:rsid w:val="002323CA"/>
    <w:rsid w:val="00265EEE"/>
    <w:rsid w:val="00272AC2"/>
    <w:rsid w:val="002A513E"/>
    <w:rsid w:val="002B110A"/>
    <w:rsid w:val="002C28F7"/>
    <w:rsid w:val="002D63A9"/>
    <w:rsid w:val="002E0D1D"/>
    <w:rsid w:val="00303188"/>
    <w:rsid w:val="00313C26"/>
    <w:rsid w:val="003244CA"/>
    <w:rsid w:val="003578E1"/>
    <w:rsid w:val="00374BC2"/>
    <w:rsid w:val="00393F6F"/>
    <w:rsid w:val="003B28FA"/>
    <w:rsid w:val="003B7076"/>
    <w:rsid w:val="003C7B66"/>
    <w:rsid w:val="003E39B8"/>
    <w:rsid w:val="00412D4E"/>
    <w:rsid w:val="00413DEC"/>
    <w:rsid w:val="00436345"/>
    <w:rsid w:val="00455AF7"/>
    <w:rsid w:val="004575D0"/>
    <w:rsid w:val="00464590"/>
    <w:rsid w:val="004659FD"/>
    <w:rsid w:val="00495BFC"/>
    <w:rsid w:val="004A16B4"/>
    <w:rsid w:val="004B3CFA"/>
    <w:rsid w:val="004B4DF3"/>
    <w:rsid w:val="004C39AC"/>
    <w:rsid w:val="004E5FBB"/>
    <w:rsid w:val="004E6D4F"/>
    <w:rsid w:val="004F55F5"/>
    <w:rsid w:val="004F6DE0"/>
    <w:rsid w:val="0050224C"/>
    <w:rsid w:val="00507B44"/>
    <w:rsid w:val="005406E3"/>
    <w:rsid w:val="00560A4C"/>
    <w:rsid w:val="00562158"/>
    <w:rsid w:val="005639DA"/>
    <w:rsid w:val="00565DAA"/>
    <w:rsid w:val="0058002E"/>
    <w:rsid w:val="005B6A33"/>
    <w:rsid w:val="005D7230"/>
    <w:rsid w:val="005E2B52"/>
    <w:rsid w:val="005F56FF"/>
    <w:rsid w:val="00602E6D"/>
    <w:rsid w:val="006132E1"/>
    <w:rsid w:val="0064275E"/>
    <w:rsid w:val="00661874"/>
    <w:rsid w:val="00671AE2"/>
    <w:rsid w:val="00685FDE"/>
    <w:rsid w:val="006A5776"/>
    <w:rsid w:val="006C2E96"/>
    <w:rsid w:val="006C6919"/>
    <w:rsid w:val="006D1E66"/>
    <w:rsid w:val="006F2C5D"/>
    <w:rsid w:val="00706D01"/>
    <w:rsid w:val="00735F32"/>
    <w:rsid w:val="0075508F"/>
    <w:rsid w:val="00764913"/>
    <w:rsid w:val="00781EDC"/>
    <w:rsid w:val="007A28F6"/>
    <w:rsid w:val="007A7AAC"/>
    <w:rsid w:val="007B13A3"/>
    <w:rsid w:val="007C34BE"/>
    <w:rsid w:val="007D488D"/>
    <w:rsid w:val="007F37FB"/>
    <w:rsid w:val="008036A6"/>
    <w:rsid w:val="00821CFA"/>
    <w:rsid w:val="00824E71"/>
    <w:rsid w:val="00842D2E"/>
    <w:rsid w:val="0085521A"/>
    <w:rsid w:val="0085696E"/>
    <w:rsid w:val="008D32FD"/>
    <w:rsid w:val="008D5BDE"/>
    <w:rsid w:val="008E275B"/>
    <w:rsid w:val="008E4CF3"/>
    <w:rsid w:val="008F1A18"/>
    <w:rsid w:val="00917C6C"/>
    <w:rsid w:val="009622FB"/>
    <w:rsid w:val="009668DB"/>
    <w:rsid w:val="00997A5F"/>
    <w:rsid w:val="009C6F08"/>
    <w:rsid w:val="009D3473"/>
    <w:rsid w:val="00A00938"/>
    <w:rsid w:val="00A02F1F"/>
    <w:rsid w:val="00A056AE"/>
    <w:rsid w:val="00A05D1F"/>
    <w:rsid w:val="00A07A99"/>
    <w:rsid w:val="00A14AA5"/>
    <w:rsid w:val="00A241FA"/>
    <w:rsid w:val="00A51FA1"/>
    <w:rsid w:val="00A52637"/>
    <w:rsid w:val="00A6591B"/>
    <w:rsid w:val="00A7584A"/>
    <w:rsid w:val="00AA4F3F"/>
    <w:rsid w:val="00AC0A7F"/>
    <w:rsid w:val="00AC28DD"/>
    <w:rsid w:val="00B04F12"/>
    <w:rsid w:val="00B07550"/>
    <w:rsid w:val="00B101DE"/>
    <w:rsid w:val="00B161FE"/>
    <w:rsid w:val="00B24A61"/>
    <w:rsid w:val="00B33255"/>
    <w:rsid w:val="00B72939"/>
    <w:rsid w:val="00B753F0"/>
    <w:rsid w:val="00B841A4"/>
    <w:rsid w:val="00B8769A"/>
    <w:rsid w:val="00B933FE"/>
    <w:rsid w:val="00BC7295"/>
    <w:rsid w:val="00BE19DD"/>
    <w:rsid w:val="00C1669B"/>
    <w:rsid w:val="00C309CD"/>
    <w:rsid w:val="00C7035D"/>
    <w:rsid w:val="00C74CF8"/>
    <w:rsid w:val="00CF0C64"/>
    <w:rsid w:val="00D252BD"/>
    <w:rsid w:val="00D53C96"/>
    <w:rsid w:val="00DC4551"/>
    <w:rsid w:val="00DC64B8"/>
    <w:rsid w:val="00DE275C"/>
    <w:rsid w:val="00DE669B"/>
    <w:rsid w:val="00DE707E"/>
    <w:rsid w:val="00DF1572"/>
    <w:rsid w:val="00DF252E"/>
    <w:rsid w:val="00E25879"/>
    <w:rsid w:val="00E2658D"/>
    <w:rsid w:val="00E30A63"/>
    <w:rsid w:val="00E34E2D"/>
    <w:rsid w:val="00E35799"/>
    <w:rsid w:val="00E47332"/>
    <w:rsid w:val="00E60EA6"/>
    <w:rsid w:val="00E6562E"/>
    <w:rsid w:val="00E774A7"/>
    <w:rsid w:val="00E92A09"/>
    <w:rsid w:val="00ED11CA"/>
    <w:rsid w:val="00ED16F1"/>
    <w:rsid w:val="00EF4F07"/>
    <w:rsid w:val="00F202E2"/>
    <w:rsid w:val="00F230E0"/>
    <w:rsid w:val="00F3232E"/>
    <w:rsid w:val="00F32894"/>
    <w:rsid w:val="00F4297E"/>
    <w:rsid w:val="00F44BC4"/>
    <w:rsid w:val="00F65063"/>
    <w:rsid w:val="00F70B70"/>
    <w:rsid w:val="00FA10B7"/>
    <w:rsid w:val="00FB3945"/>
    <w:rsid w:val="00FB716B"/>
    <w:rsid w:val="00FC3021"/>
    <w:rsid w:val="00FD7AF2"/>
    <w:rsid w:val="00FE7D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99"/>
    <w:rPr>
      <w:rFonts w:ascii="Tahoma" w:hAnsi="Tahoma" w:cs="Tahoma"/>
      <w:sz w:val="16"/>
      <w:szCs w:val="16"/>
    </w:rPr>
  </w:style>
  <w:style w:type="paragraph" w:styleId="Header">
    <w:name w:val="header"/>
    <w:basedOn w:val="Normal"/>
    <w:link w:val="HeaderChar"/>
    <w:uiPriority w:val="99"/>
    <w:unhideWhenUsed/>
    <w:rsid w:val="001D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B2C"/>
  </w:style>
  <w:style w:type="paragraph" w:styleId="Footer">
    <w:name w:val="footer"/>
    <w:basedOn w:val="Normal"/>
    <w:link w:val="FooterChar"/>
    <w:uiPriority w:val="99"/>
    <w:unhideWhenUsed/>
    <w:rsid w:val="001D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2C"/>
  </w:style>
  <w:style w:type="table" w:styleId="TableGrid">
    <w:name w:val="Table Grid"/>
    <w:basedOn w:val="TableNormal"/>
    <w:uiPriority w:val="59"/>
    <w:rsid w:val="005D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99"/>
    <w:rPr>
      <w:rFonts w:ascii="Tahoma" w:hAnsi="Tahoma" w:cs="Tahoma"/>
      <w:sz w:val="16"/>
      <w:szCs w:val="16"/>
    </w:rPr>
  </w:style>
  <w:style w:type="paragraph" w:styleId="Header">
    <w:name w:val="header"/>
    <w:basedOn w:val="Normal"/>
    <w:link w:val="HeaderChar"/>
    <w:uiPriority w:val="99"/>
    <w:unhideWhenUsed/>
    <w:rsid w:val="001D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B2C"/>
  </w:style>
  <w:style w:type="paragraph" w:styleId="Footer">
    <w:name w:val="footer"/>
    <w:basedOn w:val="Normal"/>
    <w:link w:val="FooterChar"/>
    <w:uiPriority w:val="99"/>
    <w:unhideWhenUsed/>
    <w:rsid w:val="001D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2C"/>
  </w:style>
  <w:style w:type="table" w:styleId="TableGrid">
    <w:name w:val="Table Grid"/>
    <w:basedOn w:val="TableNormal"/>
    <w:uiPriority w:val="59"/>
    <w:rsid w:val="005D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553973">
      <w:bodyDiv w:val="1"/>
      <w:marLeft w:val="0"/>
      <w:marRight w:val="0"/>
      <w:marTop w:val="0"/>
      <w:marBottom w:val="0"/>
      <w:divBdr>
        <w:top w:val="none" w:sz="0" w:space="0" w:color="auto"/>
        <w:left w:val="none" w:sz="0" w:space="0" w:color="auto"/>
        <w:bottom w:val="none" w:sz="0" w:space="0" w:color="auto"/>
        <w:right w:val="none" w:sz="0" w:space="0" w:color="auto"/>
      </w:divBdr>
      <w:divsChild>
        <w:div w:id="692457929">
          <w:marLeft w:val="0"/>
          <w:marRight w:val="0"/>
          <w:marTop w:val="0"/>
          <w:marBottom w:val="0"/>
          <w:divBdr>
            <w:top w:val="none" w:sz="0" w:space="0" w:color="auto"/>
            <w:left w:val="none" w:sz="0" w:space="0" w:color="auto"/>
            <w:bottom w:val="none" w:sz="0" w:space="0" w:color="auto"/>
            <w:right w:val="none" w:sz="0" w:space="0" w:color="auto"/>
          </w:divBdr>
        </w:div>
        <w:div w:id="1744638077">
          <w:marLeft w:val="0"/>
          <w:marRight w:val="0"/>
          <w:marTop w:val="0"/>
          <w:marBottom w:val="0"/>
          <w:divBdr>
            <w:top w:val="none" w:sz="0" w:space="0" w:color="auto"/>
            <w:left w:val="none" w:sz="0" w:space="0" w:color="auto"/>
            <w:bottom w:val="none" w:sz="0" w:space="0" w:color="auto"/>
            <w:right w:val="none" w:sz="0" w:space="0" w:color="auto"/>
          </w:divBdr>
        </w:div>
        <w:div w:id="108280849">
          <w:marLeft w:val="0"/>
          <w:marRight w:val="0"/>
          <w:marTop w:val="0"/>
          <w:marBottom w:val="0"/>
          <w:divBdr>
            <w:top w:val="none" w:sz="0" w:space="0" w:color="auto"/>
            <w:left w:val="none" w:sz="0" w:space="0" w:color="auto"/>
            <w:bottom w:val="none" w:sz="0" w:space="0" w:color="auto"/>
            <w:right w:val="none" w:sz="0" w:space="0" w:color="auto"/>
          </w:divBdr>
        </w:div>
        <w:div w:id="195513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7613-5FD4-4973-8A94-FE673775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Merita Boka</dc:creator>
  <cp:keywords/>
  <dc:description/>
  <cp:lastModifiedBy> abimo</cp:lastModifiedBy>
  <cp:revision>3</cp:revision>
  <dcterms:created xsi:type="dcterms:W3CDTF">2013-07-15T07:22:00Z</dcterms:created>
  <dcterms:modified xsi:type="dcterms:W3CDTF">2013-07-15T13:52:00Z</dcterms:modified>
</cp:coreProperties>
</file>