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17" w:rsidRPr="008E7761" w:rsidRDefault="00B65617" w:rsidP="00B65617">
      <w:pPr>
        <w:contextualSpacing/>
        <w:jc w:val="center"/>
        <w:rPr>
          <w:rFonts w:ascii="Times New Roman" w:hAnsi="Times New Roman" w:cs="Times New Roman"/>
          <w:b/>
          <w:color w:val="000000" w:themeColor="text1"/>
          <w:sz w:val="28"/>
          <w:szCs w:val="26"/>
          <w:lang w:val="sq-AL"/>
        </w:rPr>
      </w:pPr>
      <w:r w:rsidRPr="008E7761">
        <w:rPr>
          <w:rFonts w:ascii="Times New Roman" w:hAnsi="Times New Roman" w:cs="Times New Roman"/>
          <w:b/>
          <w:color w:val="000000" w:themeColor="text1"/>
          <w:sz w:val="28"/>
          <w:szCs w:val="26"/>
          <w:lang w:val="sq-AL"/>
        </w:rPr>
        <w:t>Banka e Shqipërisë</w:t>
      </w:r>
    </w:p>
    <w:p w:rsidR="00B65617" w:rsidRPr="008E7761" w:rsidRDefault="00B65617" w:rsidP="00B65617">
      <w:pPr>
        <w:contextualSpacing/>
        <w:jc w:val="center"/>
        <w:rPr>
          <w:rFonts w:ascii="Times New Roman" w:hAnsi="Times New Roman" w:cs="Times New Roman"/>
          <w:color w:val="000000" w:themeColor="text1"/>
          <w:sz w:val="26"/>
          <w:szCs w:val="26"/>
          <w:lang w:val="sq-AL"/>
        </w:rPr>
      </w:pPr>
      <w:r w:rsidRPr="008E7761">
        <w:rPr>
          <w:rFonts w:ascii="Times New Roman" w:hAnsi="Times New Roman" w:cs="Times New Roman"/>
          <w:color w:val="000000" w:themeColor="text1"/>
          <w:sz w:val="26"/>
          <w:szCs w:val="26"/>
          <w:lang w:val="sq-AL"/>
        </w:rPr>
        <w:t>Departamenti i Politikës Monetare</w:t>
      </w:r>
    </w:p>
    <w:p w:rsidR="00B65617" w:rsidRPr="008E7761" w:rsidRDefault="00B65617" w:rsidP="00B65617">
      <w:pPr>
        <w:contextualSpacing/>
        <w:jc w:val="center"/>
        <w:rPr>
          <w:rFonts w:ascii="Times New Roman" w:hAnsi="Times New Roman" w:cs="Times New Roman"/>
          <w:color w:val="000000" w:themeColor="text1"/>
          <w:lang w:val="sq-AL"/>
        </w:rPr>
      </w:pPr>
    </w:p>
    <w:p w:rsidR="00B65617" w:rsidRPr="008E7761" w:rsidRDefault="00B65617" w:rsidP="00B65617">
      <w:pPr>
        <w:contextualSpacing/>
        <w:jc w:val="center"/>
        <w:rPr>
          <w:rFonts w:ascii="Times New Roman" w:hAnsi="Times New Roman" w:cs="Times New Roman"/>
          <w:b/>
          <w:color w:val="000000" w:themeColor="text1"/>
          <w:lang w:val="sq-AL"/>
        </w:rPr>
      </w:pPr>
      <w:r w:rsidRPr="008E7761">
        <w:rPr>
          <w:rFonts w:ascii="Times New Roman" w:hAnsi="Times New Roman" w:cs="Times New Roman"/>
          <w:noProof/>
          <w:color w:val="000000" w:themeColor="text1"/>
          <w:lang w:val="sq-AL" w:eastAsia="sq-AL"/>
        </w:rPr>
        <w:drawing>
          <wp:anchor distT="0" distB="0" distL="114935" distR="114935" simplePos="0" relativeHeight="251659264" behindDoc="1" locked="0" layoutInCell="1" allowOverlap="1" wp14:anchorId="135DCE67" wp14:editId="10C40C74">
            <wp:simplePos x="0" y="0"/>
            <wp:positionH relativeFrom="margin">
              <wp:posOffset>2162175</wp:posOffset>
            </wp:positionH>
            <wp:positionV relativeFrom="margin">
              <wp:posOffset>657225</wp:posOffset>
            </wp:positionV>
            <wp:extent cx="1257300" cy="923290"/>
            <wp:effectExtent l="19050" t="19050" r="19050" b="10160"/>
            <wp:wrapTight wrapText="bothSides">
              <wp:wrapPolygon edited="0">
                <wp:start x="-327" y="-446"/>
                <wp:lineTo x="-327" y="21392"/>
                <wp:lineTo x="21600" y="21392"/>
                <wp:lineTo x="21600" y="-446"/>
                <wp:lineTo x="-327" y="-44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23290"/>
                    </a:xfrm>
                    <a:prstGeom prst="rect">
                      <a:avLst/>
                    </a:prstGeom>
                    <a:solidFill>
                      <a:srgbClr val="FFFFFF"/>
                    </a:solidFill>
                    <a:ln w="6350">
                      <a:solidFill>
                        <a:srgbClr val="000000"/>
                      </a:solidFill>
                      <a:miter lim="800000"/>
                      <a:headEnd/>
                      <a:tailEnd/>
                    </a:ln>
                  </pic:spPr>
                </pic:pic>
              </a:graphicData>
            </a:graphic>
          </wp:anchor>
        </w:drawing>
      </w:r>
    </w:p>
    <w:p w:rsidR="00B65617" w:rsidRPr="008E7761" w:rsidRDefault="00B65617" w:rsidP="00B65617">
      <w:pPr>
        <w:contextualSpacing/>
        <w:jc w:val="center"/>
        <w:rPr>
          <w:rFonts w:ascii="Times New Roman" w:hAnsi="Times New Roman" w:cs="Times New Roman"/>
          <w:b/>
          <w:color w:val="000000" w:themeColor="text1"/>
          <w:lang w:val="sq-AL"/>
        </w:rPr>
      </w:pPr>
    </w:p>
    <w:p w:rsidR="00B65617" w:rsidRPr="008E7761" w:rsidRDefault="00B65617" w:rsidP="00B65617">
      <w:pPr>
        <w:contextualSpacing/>
        <w:jc w:val="center"/>
        <w:rPr>
          <w:rFonts w:ascii="Times New Roman" w:hAnsi="Times New Roman" w:cs="Times New Roman"/>
          <w:b/>
          <w:color w:val="000000" w:themeColor="text1"/>
          <w:lang w:val="sq-AL"/>
        </w:rPr>
      </w:pPr>
    </w:p>
    <w:p w:rsidR="00B65617" w:rsidRPr="008E7761" w:rsidRDefault="00B65617" w:rsidP="00B65617">
      <w:pPr>
        <w:contextualSpacing/>
        <w:jc w:val="center"/>
        <w:rPr>
          <w:rFonts w:ascii="Times New Roman" w:hAnsi="Times New Roman" w:cs="Times New Roman"/>
          <w:b/>
          <w:color w:val="000000" w:themeColor="text1"/>
          <w:lang w:val="sq-AL"/>
        </w:rPr>
      </w:pPr>
    </w:p>
    <w:p w:rsidR="00B65617" w:rsidRDefault="00B65617" w:rsidP="00B65617">
      <w:pPr>
        <w:contextualSpacing/>
        <w:jc w:val="center"/>
        <w:rPr>
          <w:rFonts w:ascii="Times New Roman" w:hAnsi="Times New Roman" w:cs="Times New Roman"/>
          <w:b/>
          <w:color w:val="000000" w:themeColor="text1"/>
          <w:lang w:val="sq-AL"/>
        </w:rPr>
      </w:pPr>
    </w:p>
    <w:p w:rsidR="00EA3537" w:rsidRDefault="00EA3537" w:rsidP="00B65617">
      <w:pPr>
        <w:contextualSpacing/>
        <w:jc w:val="center"/>
        <w:rPr>
          <w:rFonts w:ascii="Times New Roman" w:hAnsi="Times New Roman" w:cs="Times New Roman"/>
          <w:b/>
          <w:color w:val="000000" w:themeColor="text1"/>
          <w:lang w:val="sq-AL"/>
        </w:rPr>
      </w:pPr>
    </w:p>
    <w:p w:rsidR="00EA3537" w:rsidRPr="008E7761" w:rsidRDefault="00EA3537" w:rsidP="00B65617">
      <w:pPr>
        <w:contextualSpacing/>
        <w:jc w:val="center"/>
        <w:rPr>
          <w:rFonts w:ascii="Times New Roman" w:hAnsi="Times New Roman" w:cs="Times New Roman"/>
          <w:b/>
          <w:color w:val="000000" w:themeColor="text1"/>
          <w:lang w:val="sq-AL"/>
        </w:rPr>
      </w:pPr>
    </w:p>
    <w:p w:rsidR="00B65617" w:rsidRPr="008E7761" w:rsidRDefault="00B65617" w:rsidP="00B65617">
      <w:pPr>
        <w:contextualSpacing/>
        <w:jc w:val="center"/>
        <w:rPr>
          <w:rFonts w:ascii="Times New Roman" w:hAnsi="Times New Roman" w:cs="Times New Roman"/>
          <w:b/>
          <w:color w:val="000000" w:themeColor="text1"/>
          <w:lang w:val="sq-AL"/>
        </w:rPr>
      </w:pPr>
    </w:p>
    <w:p w:rsidR="00B65617" w:rsidRPr="008E7761" w:rsidRDefault="00B65617" w:rsidP="00B65617">
      <w:pPr>
        <w:contextualSpacing/>
        <w:jc w:val="center"/>
        <w:rPr>
          <w:rFonts w:ascii="Times New Roman" w:hAnsi="Times New Roman" w:cs="Times New Roman"/>
          <w:b/>
          <w:color w:val="000000" w:themeColor="text1"/>
          <w:lang w:val="sq-AL"/>
        </w:rPr>
      </w:pPr>
      <w:r w:rsidRPr="008E7761">
        <w:rPr>
          <w:rFonts w:ascii="Times New Roman" w:hAnsi="Times New Roman" w:cs="Times New Roman"/>
          <w:b/>
          <w:color w:val="000000" w:themeColor="text1"/>
          <w:lang w:val="sq-AL"/>
        </w:rPr>
        <w:t>Vrojtimi i Besimit të Biznesit dhe të Konsumatorit</w:t>
      </w:r>
    </w:p>
    <w:p w:rsidR="00B65617" w:rsidRPr="008E7761" w:rsidRDefault="00B65617" w:rsidP="00B65617">
      <w:pPr>
        <w:contextualSpacing/>
        <w:jc w:val="center"/>
        <w:rPr>
          <w:rFonts w:ascii="Times New Roman" w:hAnsi="Times New Roman" w:cs="Times New Roman"/>
          <w:b/>
          <w:color w:val="000000" w:themeColor="text1"/>
          <w:lang w:val="sq-AL"/>
        </w:rPr>
      </w:pPr>
    </w:p>
    <w:p w:rsidR="00B65617" w:rsidRPr="008E7761" w:rsidRDefault="00B65617" w:rsidP="00B65617">
      <w:pPr>
        <w:contextualSpacing/>
        <w:jc w:val="center"/>
        <w:rPr>
          <w:rFonts w:ascii="Times New Roman" w:hAnsi="Times New Roman" w:cs="Times New Roman"/>
          <w:b/>
          <w:color w:val="000000" w:themeColor="text1"/>
          <w:lang w:val="sq-AL"/>
        </w:rPr>
      </w:pPr>
      <w:r w:rsidRPr="008E7761">
        <w:rPr>
          <w:rFonts w:ascii="Times New Roman" w:hAnsi="Times New Roman" w:cs="Times New Roman"/>
          <w:b/>
          <w:color w:val="000000" w:themeColor="text1"/>
          <w:lang w:val="sq-AL"/>
        </w:rPr>
        <w:t xml:space="preserve">Tremujori i </w:t>
      </w:r>
      <w:r w:rsidR="005E0916" w:rsidRPr="008E7761">
        <w:rPr>
          <w:rFonts w:ascii="Times New Roman" w:hAnsi="Times New Roman" w:cs="Times New Roman"/>
          <w:b/>
          <w:color w:val="000000" w:themeColor="text1"/>
          <w:lang w:val="sq-AL"/>
        </w:rPr>
        <w:t>dyt</w:t>
      </w:r>
      <w:r w:rsidRPr="008E7761">
        <w:rPr>
          <w:rFonts w:ascii="Times New Roman" w:hAnsi="Times New Roman" w:cs="Times New Roman"/>
          <w:b/>
          <w:color w:val="000000" w:themeColor="text1"/>
          <w:lang w:val="sq-AL"/>
        </w:rPr>
        <w:t>ë</w:t>
      </w:r>
      <w:r w:rsidRPr="008E7761">
        <w:rPr>
          <w:rFonts w:ascii="Times New Roman" w:hAnsi="Times New Roman" w:cs="Times New Roman"/>
          <w:b/>
          <w:color w:val="000000" w:themeColor="text1"/>
          <w:vertAlign w:val="superscript"/>
          <w:lang w:val="sq-AL"/>
        </w:rPr>
        <w:t xml:space="preserve"> </w:t>
      </w:r>
      <w:r w:rsidRPr="008E7761">
        <w:rPr>
          <w:rFonts w:ascii="Times New Roman" w:hAnsi="Times New Roman" w:cs="Times New Roman"/>
          <w:b/>
          <w:color w:val="000000" w:themeColor="text1"/>
          <w:lang w:val="sq-AL"/>
        </w:rPr>
        <w:t>2015</w:t>
      </w:r>
    </w:p>
    <w:p w:rsidR="00B65617" w:rsidRPr="008E7761" w:rsidRDefault="00B65617" w:rsidP="00B65617">
      <w:pPr>
        <w:contextualSpacing/>
        <w:jc w:val="center"/>
        <w:rPr>
          <w:rFonts w:ascii="Times New Roman" w:hAnsi="Times New Roman" w:cs="Times New Roman"/>
          <w:b/>
          <w:color w:val="000000" w:themeColor="text1"/>
          <w:lang w:val="sq-AL"/>
        </w:rPr>
      </w:pPr>
    </w:p>
    <w:p w:rsidR="00B65617" w:rsidRPr="008E7761" w:rsidRDefault="00B65617" w:rsidP="00B65617">
      <w:pPr>
        <w:contextualSpacing/>
        <w:rPr>
          <w:rFonts w:ascii="Times New Roman" w:hAnsi="Times New Roman" w:cs="Times New Roman"/>
          <w:b/>
          <w:color w:val="000000" w:themeColor="text1"/>
          <w:lang w:val="sq-AL"/>
        </w:rPr>
      </w:pPr>
      <w:r w:rsidRPr="008E7761">
        <w:rPr>
          <w:rFonts w:ascii="Times New Roman" w:hAnsi="Times New Roman" w:cs="Times New Roman"/>
          <w:b/>
          <w:color w:val="000000" w:themeColor="text1"/>
          <w:lang w:val="sq-AL"/>
        </w:rPr>
        <w:t>_____________________________________________________________________________________</w:t>
      </w:r>
    </w:p>
    <w:p w:rsidR="00B65617" w:rsidRPr="008E7761" w:rsidRDefault="00B65617" w:rsidP="00B65617">
      <w:pPr>
        <w:contextualSpacing/>
        <w:jc w:val="both"/>
        <w:rPr>
          <w:rFonts w:ascii="Times New Roman" w:hAnsi="Times New Roman" w:cs="Times New Roman"/>
          <w:b/>
          <w:color w:val="000000" w:themeColor="text1"/>
          <w:lang w:val="sq-AL"/>
        </w:rPr>
      </w:pPr>
    </w:p>
    <w:p w:rsidR="00B65617" w:rsidRPr="008E7761" w:rsidRDefault="00B65617" w:rsidP="00B65617">
      <w:pPr>
        <w:contextualSpacing/>
        <w:jc w:val="both"/>
        <w:rPr>
          <w:rFonts w:ascii="Times New Roman" w:hAnsi="Times New Roman" w:cs="Times New Roman"/>
          <w:b/>
          <w:color w:val="000000" w:themeColor="text1"/>
          <w:lang w:val="sq-AL"/>
        </w:rPr>
      </w:pPr>
    </w:p>
    <w:p w:rsidR="007015C1" w:rsidRPr="008E7761" w:rsidRDefault="007015C1" w:rsidP="007015C1">
      <w:pPr>
        <w:contextualSpacing/>
        <w:jc w:val="both"/>
        <w:rPr>
          <w:rFonts w:ascii="Times New Roman" w:hAnsi="Times New Roman" w:cs="Times New Roman"/>
          <w:b/>
          <w:color w:val="000000" w:themeColor="text1"/>
          <w:lang w:val="sq-AL"/>
        </w:rPr>
      </w:pPr>
      <w:r w:rsidRPr="008E7761">
        <w:rPr>
          <w:rFonts w:ascii="Times New Roman" w:hAnsi="Times New Roman" w:cs="Times New Roman"/>
          <w:b/>
          <w:color w:val="000000" w:themeColor="text1"/>
          <w:lang w:val="sq-AL"/>
        </w:rPr>
        <w:t>Treguesi i Ndjesisë Ekonomike</w:t>
      </w:r>
    </w:p>
    <w:p w:rsidR="007015C1" w:rsidRPr="008E7761" w:rsidRDefault="007015C1" w:rsidP="007015C1">
      <w:pPr>
        <w:contextualSpacing/>
        <w:jc w:val="both"/>
        <w:rPr>
          <w:rFonts w:ascii="Times New Roman" w:hAnsi="Times New Roman" w:cs="Times New Roman"/>
          <w:color w:val="000000" w:themeColor="text1"/>
          <w:lang w:val="sq-AL"/>
        </w:rPr>
      </w:pPr>
    </w:p>
    <w:p w:rsidR="007015C1" w:rsidRPr="008E7761" w:rsidRDefault="007015C1" w:rsidP="007015C1">
      <w:pPr>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Treguesi i ndjesisë ekonomike (TNE) u rrit me 5.1 pikë në tremujorin e dyt</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të vitit 2015</w:t>
      </w:r>
      <w:r>
        <w:rPr>
          <w:rFonts w:ascii="Times New Roman" w:hAnsi="Times New Roman" w:cs="Times New Roman"/>
          <w:color w:val="000000" w:themeColor="text1"/>
          <w:lang w:val="sq-AL"/>
        </w:rPr>
        <w:t>. Ky zhvillim riktheu TNE</w:t>
      </w:r>
      <w:r w:rsidR="00063AE8">
        <w:rPr>
          <w:rFonts w:ascii="Times New Roman" w:hAnsi="Times New Roman" w:cs="Times New Roman"/>
          <w:color w:val="000000" w:themeColor="text1"/>
          <w:lang w:val="sq-AL"/>
        </w:rPr>
        <w:t xml:space="preserve">-në </w:t>
      </w:r>
      <w:r>
        <w:rPr>
          <w:rFonts w:ascii="Times New Roman" w:hAnsi="Times New Roman" w:cs="Times New Roman"/>
          <w:color w:val="000000" w:themeColor="text1"/>
          <w:lang w:val="sq-AL"/>
        </w:rPr>
        <w:t xml:space="preserve"> në trendin rritës, </w:t>
      </w:r>
      <w:r w:rsidR="00063AE8">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pas rënies së shënuar në tremujorin e parë. Niveli i treguesit</w:t>
      </w:r>
      <w:r w:rsidRPr="008E7761">
        <w:rPr>
          <w:rFonts w:ascii="Times New Roman" w:hAnsi="Times New Roman" w:cs="Times New Roman"/>
          <w:color w:val="000000" w:themeColor="text1"/>
          <w:lang w:val="sq-AL"/>
        </w:rPr>
        <w:t xml:space="preserve"> aktualisht q</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ndron 4.8 pik</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mbi mesataren historike. Rritja e TNE-së në tremujorin e dyt</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u përcaktua nga rritja e besimit n</w:t>
      </w:r>
      <w:r>
        <w:rPr>
          <w:rFonts w:ascii="Times New Roman" w:hAnsi="Times New Roman" w:cs="Times New Roman"/>
          <w:color w:val="000000" w:themeColor="text1"/>
          <w:lang w:val="sq-AL"/>
        </w:rPr>
        <w:t>ë</w:t>
      </w:r>
      <w:r w:rsidR="004918F1">
        <w:rPr>
          <w:rFonts w:ascii="Times New Roman" w:hAnsi="Times New Roman" w:cs="Times New Roman"/>
          <w:color w:val="000000" w:themeColor="text1"/>
          <w:lang w:val="sq-AL"/>
        </w:rPr>
        <w:t xml:space="preserve"> industri e</w:t>
      </w:r>
      <w:r w:rsidRPr="008E7761">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 xml:space="preserve">në </w:t>
      </w:r>
      <w:r w:rsidRPr="008E7761">
        <w:rPr>
          <w:rFonts w:ascii="Times New Roman" w:hAnsi="Times New Roman" w:cs="Times New Roman"/>
          <w:color w:val="000000" w:themeColor="text1"/>
          <w:lang w:val="sq-AL"/>
        </w:rPr>
        <w:t>sh</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rbime</w:t>
      </w:r>
      <w:r w:rsidR="004918F1">
        <w:rPr>
          <w:rFonts w:ascii="Times New Roman" w:hAnsi="Times New Roman" w:cs="Times New Roman"/>
          <w:color w:val="000000" w:themeColor="text1"/>
          <w:lang w:val="sq-AL"/>
        </w:rPr>
        <w:t>,</w:t>
      </w:r>
      <w:r w:rsidR="00063AE8">
        <w:rPr>
          <w:rFonts w:ascii="Times New Roman" w:hAnsi="Times New Roman" w:cs="Times New Roman"/>
          <w:color w:val="000000" w:themeColor="text1"/>
          <w:lang w:val="sq-AL"/>
        </w:rPr>
        <w:t xml:space="preserve"> si</w:t>
      </w:r>
      <w:r w:rsidRPr="008E7761">
        <w:rPr>
          <w:rFonts w:ascii="Times New Roman" w:hAnsi="Times New Roman" w:cs="Times New Roman"/>
          <w:color w:val="000000" w:themeColor="text1"/>
          <w:lang w:val="sq-AL"/>
        </w:rPr>
        <w:t xml:space="preserve"> dhe </w:t>
      </w:r>
      <w:r w:rsidR="004918F1">
        <w:rPr>
          <w:rFonts w:ascii="Times New Roman" w:hAnsi="Times New Roman" w:cs="Times New Roman"/>
          <w:color w:val="000000" w:themeColor="text1"/>
          <w:lang w:val="sq-AL"/>
        </w:rPr>
        <w:t xml:space="preserve">nga </w:t>
      </w:r>
      <w:r w:rsidRPr="008E7761">
        <w:rPr>
          <w:rFonts w:ascii="Times New Roman" w:hAnsi="Times New Roman" w:cs="Times New Roman"/>
          <w:color w:val="000000" w:themeColor="text1"/>
          <w:lang w:val="sq-AL"/>
        </w:rPr>
        <w:t>rritja e besimit konsumator. N</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t</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kund</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rt, r</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nia e besimit n</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sektorin e nd</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rtimit dhe t</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tregtis</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dha kontribut negativ n</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treguesin e agreguar. </w:t>
      </w:r>
    </w:p>
    <w:p w:rsidR="007015C1" w:rsidRPr="008E7761" w:rsidRDefault="007015C1" w:rsidP="007015C1">
      <w:pPr>
        <w:pStyle w:val="ListParagraph"/>
        <w:numPr>
          <w:ilvl w:val="0"/>
          <w:numId w:val="1"/>
        </w:numPr>
        <w:tabs>
          <w:tab w:val="left" w:pos="0"/>
          <w:tab w:val="left" w:pos="270"/>
          <w:tab w:val="left" w:pos="1170"/>
        </w:tabs>
        <w:spacing w:after="0" w:line="240" w:lineRule="auto"/>
        <w:ind w:firstLine="540"/>
        <w:jc w:val="both"/>
        <w:rPr>
          <w:rFonts w:ascii="Times New Roman" w:hAnsi="Times New Roman" w:cs="Times New Roman"/>
          <w:color w:val="000000" w:themeColor="text1"/>
          <w:sz w:val="20"/>
          <w:szCs w:val="20"/>
          <w:lang w:val="sq-AL"/>
        </w:rPr>
      </w:pPr>
      <w:r w:rsidRPr="008E7761">
        <w:rPr>
          <w:rFonts w:ascii="Times New Roman" w:hAnsi="Times New Roman" w:cs="Times New Roman"/>
          <w:color w:val="000000" w:themeColor="text1"/>
          <w:sz w:val="20"/>
          <w:szCs w:val="20"/>
          <w:lang w:val="sq-AL"/>
        </w:rPr>
        <w:t>Treguesi i ndjesisë ekonomike (TNE)</w:t>
      </w:r>
    </w:p>
    <w:p w:rsidR="007015C1" w:rsidRPr="008E7761" w:rsidRDefault="007015C1" w:rsidP="007015C1">
      <w:pPr>
        <w:spacing w:after="0" w:line="240" w:lineRule="auto"/>
        <w:contextualSpacing/>
        <w:rPr>
          <w:rFonts w:ascii="Times New Roman" w:hAnsi="Times New Roman" w:cs="Times New Roman"/>
          <w:b/>
          <w:color w:val="000000" w:themeColor="text1"/>
          <w:sz w:val="24"/>
          <w:szCs w:val="24"/>
          <w:lang w:val="sq-AL"/>
        </w:rPr>
      </w:pPr>
      <w:r w:rsidRPr="003E7D94">
        <w:rPr>
          <w:noProof/>
          <w:lang w:val="sq-AL" w:eastAsia="sq-AL"/>
        </w:rPr>
        <w:drawing>
          <wp:inline distT="0" distB="0" distL="0" distR="0" wp14:anchorId="6FC43F2B" wp14:editId="56B856D8">
            <wp:extent cx="4752975" cy="2352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2975" cy="2352675"/>
                    </a:xfrm>
                    <a:prstGeom prst="rect">
                      <a:avLst/>
                    </a:prstGeom>
                    <a:noFill/>
                    <a:ln>
                      <a:noFill/>
                    </a:ln>
                  </pic:spPr>
                </pic:pic>
              </a:graphicData>
            </a:graphic>
          </wp:inline>
        </w:drawing>
      </w:r>
    </w:p>
    <w:p w:rsidR="007015C1" w:rsidRPr="008E7761" w:rsidRDefault="007015C1" w:rsidP="007015C1">
      <w:pPr>
        <w:contextualSpacing/>
        <w:rPr>
          <w:rFonts w:ascii="Times New Roman" w:hAnsi="Times New Roman" w:cs="Times New Roman"/>
          <w:color w:val="000000" w:themeColor="text1"/>
          <w:sz w:val="18"/>
          <w:szCs w:val="18"/>
          <w:lang w:val="sq-AL"/>
        </w:rPr>
      </w:pPr>
      <w:r w:rsidRPr="008E7761">
        <w:rPr>
          <w:rFonts w:ascii="Times New Roman" w:hAnsi="Times New Roman" w:cs="Times New Roman"/>
          <w:color w:val="000000" w:themeColor="text1"/>
          <w:sz w:val="18"/>
          <w:szCs w:val="18"/>
          <w:lang w:val="sq-AL"/>
        </w:rPr>
        <w:t>Burimi: Vrojtimi i besimit të biznesit dhe vrojtimi i besimit të konsumatorit, Banka e Shqipërisë.</w:t>
      </w:r>
    </w:p>
    <w:p w:rsidR="007015C1" w:rsidRPr="008E7761" w:rsidRDefault="007015C1" w:rsidP="007015C1">
      <w:pPr>
        <w:contextualSpacing/>
        <w:rPr>
          <w:rFonts w:ascii="Times New Roman" w:hAnsi="Times New Roman" w:cs="Times New Roman"/>
          <w:b/>
          <w:color w:val="000000" w:themeColor="text1"/>
          <w:sz w:val="24"/>
          <w:szCs w:val="24"/>
          <w:lang w:val="sq-AL"/>
        </w:rPr>
      </w:pPr>
    </w:p>
    <w:p w:rsidR="007015C1" w:rsidRDefault="007015C1" w:rsidP="007015C1">
      <w:pPr>
        <w:contextualSpacing/>
        <w:rPr>
          <w:rFonts w:ascii="Times New Roman" w:hAnsi="Times New Roman" w:cs="Times New Roman"/>
          <w:b/>
          <w:color w:val="000000" w:themeColor="text1"/>
          <w:sz w:val="24"/>
          <w:szCs w:val="24"/>
          <w:lang w:val="sq-AL"/>
        </w:rPr>
      </w:pPr>
    </w:p>
    <w:p w:rsidR="007015C1" w:rsidRPr="008E7761" w:rsidRDefault="007015C1" w:rsidP="007015C1">
      <w:pPr>
        <w:contextualSpacing/>
        <w:rPr>
          <w:rFonts w:ascii="Times New Roman" w:hAnsi="Times New Roman" w:cs="Times New Roman"/>
          <w:b/>
          <w:color w:val="000000" w:themeColor="text1"/>
          <w:sz w:val="24"/>
          <w:szCs w:val="24"/>
          <w:lang w:val="sq-AL"/>
        </w:rPr>
      </w:pPr>
    </w:p>
    <w:p w:rsidR="007015C1" w:rsidRPr="008E7761" w:rsidRDefault="007015C1" w:rsidP="007015C1">
      <w:pPr>
        <w:contextualSpacing/>
        <w:rPr>
          <w:rFonts w:ascii="Times New Roman" w:hAnsi="Times New Roman" w:cs="Times New Roman"/>
          <w:b/>
          <w:color w:val="000000" w:themeColor="text1"/>
          <w:lang w:val="sq-AL"/>
        </w:rPr>
      </w:pPr>
      <w:r w:rsidRPr="008E7761">
        <w:rPr>
          <w:rFonts w:ascii="Times New Roman" w:hAnsi="Times New Roman" w:cs="Times New Roman"/>
          <w:b/>
          <w:color w:val="000000" w:themeColor="text1"/>
          <w:lang w:val="sq-AL"/>
        </w:rPr>
        <w:lastRenderedPageBreak/>
        <w:t>Sektori i industrisë</w:t>
      </w:r>
    </w:p>
    <w:p w:rsidR="007015C1" w:rsidRPr="008E7761" w:rsidRDefault="007015C1" w:rsidP="007015C1">
      <w:pPr>
        <w:contextualSpacing/>
        <w:jc w:val="both"/>
        <w:rPr>
          <w:rFonts w:ascii="Times New Roman" w:hAnsi="Times New Roman" w:cs="Times New Roman"/>
          <w:color w:val="000000" w:themeColor="text1"/>
          <w:lang w:val="sq-AL"/>
        </w:rPr>
      </w:pPr>
    </w:p>
    <w:p w:rsidR="007015C1" w:rsidRPr="008E7761" w:rsidRDefault="007015C1" w:rsidP="007015C1">
      <w:pPr>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 xml:space="preserve">Treguesi i besimit në sektorin </w:t>
      </w:r>
      <w:r>
        <w:rPr>
          <w:rFonts w:ascii="Times New Roman" w:hAnsi="Times New Roman" w:cs="Times New Roman"/>
          <w:color w:val="000000" w:themeColor="text1"/>
          <w:lang w:val="sq-AL"/>
        </w:rPr>
        <w:t>e industrisë (TBI) u rrit</w:t>
      </w:r>
      <w:r w:rsidRPr="008E7761">
        <w:rPr>
          <w:rFonts w:ascii="Times New Roman" w:hAnsi="Times New Roman" w:cs="Times New Roman"/>
          <w:color w:val="000000" w:themeColor="text1"/>
          <w:lang w:val="sq-AL"/>
        </w:rPr>
        <w:t xml:space="preserve"> me 5.8 pikë përqindje në </w:t>
      </w:r>
      <w:r>
        <w:rPr>
          <w:rFonts w:ascii="Times New Roman" w:hAnsi="Times New Roman" w:cs="Times New Roman"/>
          <w:color w:val="000000" w:themeColor="text1"/>
          <w:lang w:val="sq-AL"/>
        </w:rPr>
        <w:t>tremujorin e dytë</w:t>
      </w:r>
      <w:r w:rsidRPr="008E7761">
        <w:rPr>
          <w:rFonts w:ascii="Times New Roman" w:hAnsi="Times New Roman" w:cs="Times New Roman"/>
          <w:color w:val="000000" w:themeColor="text1"/>
          <w:lang w:val="sq-AL"/>
        </w:rPr>
        <w:t>, pas rënies së shënuar për dy tremujor</w:t>
      </w:r>
      <w:r>
        <w:rPr>
          <w:rFonts w:ascii="Times New Roman" w:hAnsi="Times New Roman" w:cs="Times New Roman"/>
          <w:color w:val="000000" w:themeColor="text1"/>
          <w:lang w:val="sq-AL"/>
        </w:rPr>
        <w:t>ë</w:t>
      </w:r>
      <w:r w:rsidRPr="008E7761">
        <w:rPr>
          <w:rFonts w:ascii="Times New Roman" w:hAnsi="Times New Roman" w:cs="Times New Roman"/>
          <w:color w:val="000000" w:themeColor="text1"/>
          <w:lang w:val="sq-AL"/>
        </w:rPr>
        <w:t xml:space="preserve"> radhazi. Rritja e TBI-së ka ardhur si pasojë e rritjes së </w:t>
      </w:r>
      <w:r w:rsidRPr="008E7761">
        <w:rPr>
          <w:rFonts w:ascii="Times New Roman" w:hAnsi="Times New Roman" w:cs="Times New Roman"/>
          <w:i/>
          <w:color w:val="000000" w:themeColor="text1"/>
          <w:lang w:val="sq-AL"/>
        </w:rPr>
        <w:t>balancës së prodhimit</w:t>
      </w:r>
      <w:r w:rsidRPr="008E7761">
        <w:rPr>
          <w:rFonts w:ascii="Times New Roman" w:hAnsi="Times New Roman" w:cs="Times New Roman"/>
          <w:color w:val="000000" w:themeColor="text1"/>
          <w:lang w:val="sq-AL"/>
        </w:rPr>
        <w:t xml:space="preserve"> (me </w:t>
      </w:r>
      <w:r w:rsidR="004918F1">
        <w:rPr>
          <w:rFonts w:ascii="Times New Roman" w:hAnsi="Times New Roman" w:cs="Times New Roman"/>
          <w:color w:val="000000" w:themeColor="text1"/>
          <w:lang w:val="sq-AL"/>
        </w:rPr>
        <w:t>10.4</w:t>
      </w:r>
      <w:r w:rsidRPr="008E7761">
        <w:rPr>
          <w:rFonts w:ascii="Times New Roman" w:hAnsi="Times New Roman" w:cs="Times New Roman"/>
          <w:color w:val="000000" w:themeColor="text1"/>
          <w:lang w:val="sq-AL"/>
        </w:rPr>
        <w:t xml:space="preserve"> pikë përqindje), si dhe </w:t>
      </w:r>
      <w:r w:rsidR="004918F1">
        <w:rPr>
          <w:rFonts w:ascii="Times New Roman" w:hAnsi="Times New Roman" w:cs="Times New Roman"/>
          <w:color w:val="000000" w:themeColor="text1"/>
          <w:lang w:val="sq-AL"/>
        </w:rPr>
        <w:t xml:space="preserve">e </w:t>
      </w:r>
      <w:r w:rsidRPr="008E7761">
        <w:rPr>
          <w:rFonts w:ascii="Times New Roman" w:hAnsi="Times New Roman" w:cs="Times New Roman"/>
          <w:color w:val="000000" w:themeColor="text1"/>
          <w:lang w:val="sq-AL"/>
        </w:rPr>
        <w:t xml:space="preserve">rritjes së balancës së </w:t>
      </w:r>
      <w:r w:rsidRPr="008E7761">
        <w:rPr>
          <w:rFonts w:ascii="Times New Roman" w:hAnsi="Times New Roman" w:cs="Times New Roman"/>
          <w:i/>
          <w:color w:val="000000" w:themeColor="text1"/>
          <w:lang w:val="sq-AL"/>
        </w:rPr>
        <w:t>gjendjes financiare</w:t>
      </w:r>
      <w:r w:rsidR="004918F1">
        <w:rPr>
          <w:rFonts w:ascii="Times New Roman" w:hAnsi="Times New Roman" w:cs="Times New Roman"/>
          <w:color w:val="000000" w:themeColor="text1"/>
          <w:lang w:val="sq-AL"/>
        </w:rPr>
        <w:t xml:space="preserve"> (me 8</w:t>
      </w:r>
      <w:r w:rsidRPr="008E7761">
        <w:rPr>
          <w:rFonts w:ascii="Times New Roman" w:hAnsi="Times New Roman" w:cs="Times New Roman"/>
          <w:color w:val="000000" w:themeColor="text1"/>
          <w:lang w:val="sq-AL"/>
        </w:rPr>
        <w:t xml:space="preserve"> pikë përqindje). Nga ana tjetër</w:t>
      </w:r>
      <w:r w:rsidR="00063AE8">
        <w:rPr>
          <w:rFonts w:ascii="Times New Roman" w:hAnsi="Times New Roman" w:cs="Times New Roman"/>
          <w:color w:val="000000" w:themeColor="text1"/>
          <w:lang w:val="sq-AL"/>
        </w:rPr>
        <w:t>,</w:t>
      </w:r>
      <w:r>
        <w:rPr>
          <w:rFonts w:ascii="Times New Roman" w:hAnsi="Times New Roman" w:cs="Times New Roman"/>
          <w:color w:val="000000" w:themeColor="text1"/>
          <w:lang w:val="sq-AL"/>
        </w:rPr>
        <w:t xml:space="preserve"> rritja e balancës së</w:t>
      </w:r>
      <w:r w:rsidRPr="008E7761">
        <w:rPr>
          <w:rFonts w:ascii="Times New Roman" w:hAnsi="Times New Roman" w:cs="Times New Roman"/>
          <w:color w:val="000000" w:themeColor="text1"/>
          <w:lang w:val="sq-AL"/>
        </w:rPr>
        <w:t xml:space="preserve"> gjendj</w:t>
      </w:r>
      <w:r>
        <w:rPr>
          <w:rFonts w:ascii="Times New Roman" w:hAnsi="Times New Roman" w:cs="Times New Roman"/>
          <w:color w:val="000000" w:themeColor="text1"/>
          <w:lang w:val="sq-AL"/>
        </w:rPr>
        <w:t>es</w:t>
      </w:r>
      <w:r w:rsidRPr="008E7761">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së</w:t>
      </w:r>
      <w:r w:rsidRPr="008E7761">
        <w:rPr>
          <w:rFonts w:ascii="Times New Roman" w:hAnsi="Times New Roman" w:cs="Times New Roman"/>
          <w:color w:val="000000" w:themeColor="text1"/>
          <w:lang w:val="sq-AL"/>
        </w:rPr>
        <w:t xml:space="preserve"> </w:t>
      </w:r>
      <w:r w:rsidRPr="008E7761">
        <w:rPr>
          <w:rFonts w:ascii="Times New Roman" w:hAnsi="Times New Roman" w:cs="Times New Roman"/>
          <w:i/>
          <w:color w:val="000000" w:themeColor="text1"/>
          <w:lang w:val="sq-AL"/>
        </w:rPr>
        <w:t>inventarëve</w:t>
      </w:r>
      <w:r w:rsidR="00063AE8">
        <w:rPr>
          <w:rFonts w:ascii="Times New Roman" w:hAnsi="Times New Roman" w:cs="Times New Roman"/>
          <w:i/>
          <w:color w:val="000000" w:themeColor="text1"/>
          <w:lang w:val="sq-AL"/>
        </w:rPr>
        <w:t>,</w:t>
      </w:r>
      <w:r w:rsidRPr="008E7761">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kontribuoi negativisht në TBI</w:t>
      </w:r>
      <w:r w:rsidRPr="008E7761">
        <w:rPr>
          <w:rFonts w:ascii="Times New Roman" w:hAnsi="Times New Roman" w:cs="Times New Roman"/>
          <w:color w:val="000000" w:themeColor="text1"/>
          <w:lang w:val="sq-AL"/>
        </w:rPr>
        <w:t xml:space="preserve">. Niveli i </w:t>
      </w:r>
      <w:r>
        <w:rPr>
          <w:rFonts w:ascii="Times New Roman" w:hAnsi="Times New Roman" w:cs="Times New Roman"/>
          <w:color w:val="000000" w:themeColor="text1"/>
          <w:lang w:val="sq-AL"/>
        </w:rPr>
        <w:t>TBI</w:t>
      </w:r>
      <w:r w:rsidR="00063AE8">
        <w:rPr>
          <w:rFonts w:ascii="Times New Roman" w:hAnsi="Times New Roman" w:cs="Times New Roman"/>
          <w:color w:val="000000" w:themeColor="text1"/>
          <w:lang w:val="sq-AL"/>
        </w:rPr>
        <w:t>-së</w:t>
      </w:r>
      <w:r w:rsidRPr="008E7761">
        <w:rPr>
          <w:rFonts w:ascii="Times New Roman" w:hAnsi="Times New Roman" w:cs="Times New Roman"/>
          <w:color w:val="000000" w:themeColor="text1"/>
          <w:lang w:val="sq-AL"/>
        </w:rPr>
        <w:t xml:space="preserve"> qëndron 6.4 pikë përqindj</w:t>
      </w:r>
      <w:r w:rsidR="004918F1">
        <w:rPr>
          <w:rFonts w:ascii="Times New Roman" w:hAnsi="Times New Roman" w:cs="Times New Roman"/>
          <w:color w:val="000000" w:themeColor="text1"/>
          <w:lang w:val="sq-AL"/>
        </w:rPr>
        <w:t>e mbi mesataren afatgjatë dhe 8</w:t>
      </w:r>
      <w:r w:rsidRPr="008E7761">
        <w:rPr>
          <w:rFonts w:ascii="Times New Roman" w:hAnsi="Times New Roman" w:cs="Times New Roman"/>
          <w:color w:val="000000" w:themeColor="text1"/>
          <w:lang w:val="sq-AL"/>
        </w:rPr>
        <w:t xml:space="preserve"> pikë përqindje mbi mesataren e periudhës 2008-2014.</w:t>
      </w:r>
    </w:p>
    <w:p w:rsidR="007015C1" w:rsidRPr="008E7761" w:rsidRDefault="007015C1" w:rsidP="009A0A15">
      <w:pPr>
        <w:pStyle w:val="ListParagraph"/>
        <w:numPr>
          <w:ilvl w:val="0"/>
          <w:numId w:val="1"/>
        </w:numPr>
        <w:tabs>
          <w:tab w:val="left" w:pos="0"/>
          <w:tab w:val="left" w:pos="270"/>
          <w:tab w:val="left" w:pos="1170"/>
        </w:tabs>
        <w:spacing w:after="60" w:line="240" w:lineRule="auto"/>
        <w:ind w:left="357" w:firstLine="539"/>
        <w:jc w:val="both"/>
        <w:rPr>
          <w:rFonts w:ascii="Times New Roman" w:hAnsi="Times New Roman" w:cs="Times New Roman"/>
          <w:color w:val="000000" w:themeColor="text1"/>
          <w:sz w:val="20"/>
          <w:szCs w:val="20"/>
          <w:lang w:val="sq-AL"/>
        </w:rPr>
      </w:pPr>
      <w:r w:rsidRPr="008E7761">
        <w:rPr>
          <w:rFonts w:ascii="Times New Roman" w:hAnsi="Times New Roman" w:cs="Times New Roman"/>
          <w:color w:val="000000" w:themeColor="text1"/>
          <w:sz w:val="20"/>
          <w:szCs w:val="20"/>
          <w:lang w:val="sq-AL"/>
        </w:rPr>
        <w:t>Treguesi i besimit në industri (në pikë përqindje)</w:t>
      </w:r>
    </w:p>
    <w:p w:rsidR="007015C1" w:rsidRPr="008E7761" w:rsidRDefault="007015C1" w:rsidP="007015C1">
      <w:pPr>
        <w:spacing w:after="0" w:line="240" w:lineRule="auto"/>
        <w:contextualSpacing/>
        <w:rPr>
          <w:rFonts w:ascii="Times New Roman" w:hAnsi="Times New Roman" w:cs="Times New Roman"/>
          <w:b/>
          <w:color w:val="000000" w:themeColor="text1"/>
          <w:sz w:val="24"/>
          <w:szCs w:val="24"/>
          <w:lang w:val="sq-AL"/>
        </w:rPr>
      </w:pPr>
      <w:r w:rsidRPr="008E7761">
        <w:rPr>
          <w:rFonts w:ascii="Times New Roman" w:hAnsi="Times New Roman" w:cs="Times New Roman"/>
          <w:noProof/>
          <w:color w:val="000000" w:themeColor="text1"/>
          <w:lang w:val="sq-AL" w:eastAsia="sq-AL"/>
        </w:rPr>
        <w:drawing>
          <wp:inline distT="0" distB="0" distL="0" distR="0" wp14:anchorId="0931E26B" wp14:editId="59C7CC15">
            <wp:extent cx="4486275" cy="2200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6275" cy="2200275"/>
                    </a:xfrm>
                    <a:prstGeom prst="rect">
                      <a:avLst/>
                    </a:prstGeom>
                    <a:noFill/>
                    <a:ln>
                      <a:noFill/>
                    </a:ln>
                  </pic:spPr>
                </pic:pic>
              </a:graphicData>
            </a:graphic>
          </wp:inline>
        </w:drawing>
      </w:r>
    </w:p>
    <w:p w:rsidR="007015C1" w:rsidRPr="008E7761" w:rsidRDefault="007015C1" w:rsidP="007015C1">
      <w:pPr>
        <w:spacing w:after="0" w:line="240" w:lineRule="auto"/>
        <w:contextualSpacing/>
        <w:jc w:val="both"/>
        <w:rPr>
          <w:rFonts w:ascii="Times New Roman" w:hAnsi="Times New Roman" w:cs="Times New Roman"/>
          <w:color w:val="000000" w:themeColor="text1"/>
          <w:sz w:val="18"/>
          <w:szCs w:val="18"/>
          <w:lang w:val="sq-AL"/>
        </w:rPr>
      </w:pPr>
      <w:r w:rsidRPr="008E7761">
        <w:rPr>
          <w:rFonts w:ascii="Times New Roman" w:hAnsi="Times New Roman" w:cs="Times New Roman"/>
          <w:color w:val="000000" w:themeColor="text1"/>
          <w:sz w:val="18"/>
          <w:szCs w:val="18"/>
          <w:lang w:val="sq-AL"/>
        </w:rPr>
        <w:t>Burimi: Vrojtimi i besimit të biznesit, Banka e Shqipërisë.</w:t>
      </w:r>
    </w:p>
    <w:p w:rsidR="007015C1" w:rsidRPr="008E7761" w:rsidRDefault="007015C1" w:rsidP="007015C1">
      <w:pPr>
        <w:spacing w:after="0" w:line="240" w:lineRule="auto"/>
        <w:contextualSpacing/>
        <w:jc w:val="both"/>
        <w:rPr>
          <w:rFonts w:ascii="Times New Roman" w:hAnsi="Times New Roman" w:cs="Times New Roman"/>
          <w:color w:val="000000" w:themeColor="text1"/>
          <w:u w:val="single"/>
          <w:lang w:val="sq-AL"/>
        </w:rPr>
      </w:pPr>
    </w:p>
    <w:p w:rsidR="007015C1" w:rsidRPr="008E7761" w:rsidRDefault="007015C1" w:rsidP="007015C1">
      <w:pPr>
        <w:spacing w:after="0"/>
        <w:contextualSpacing/>
        <w:jc w:val="both"/>
        <w:rPr>
          <w:rFonts w:ascii="Times New Roman" w:hAnsi="Times New Roman" w:cs="Times New Roman"/>
          <w:color w:val="000000" w:themeColor="text1"/>
          <w:u w:val="single"/>
          <w:lang w:val="sq-AL"/>
        </w:rPr>
      </w:pPr>
      <w:r w:rsidRPr="008E7761">
        <w:rPr>
          <w:rFonts w:ascii="Times New Roman" w:hAnsi="Times New Roman" w:cs="Times New Roman"/>
          <w:color w:val="000000" w:themeColor="text1"/>
          <w:u w:val="single"/>
          <w:lang w:val="sq-AL"/>
        </w:rPr>
        <w:t>Në vijim, analiza e disa treguesve që nuk përfshihen në ndërtimin e TBI-së:</w:t>
      </w:r>
    </w:p>
    <w:p w:rsidR="007015C1" w:rsidRPr="008E7761" w:rsidRDefault="007015C1" w:rsidP="007015C1">
      <w:pPr>
        <w:spacing w:after="0"/>
        <w:contextualSpacing/>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Balanca e vlerësimit të</w:t>
      </w:r>
      <w:r w:rsidRPr="008E7761">
        <w:rPr>
          <w:rFonts w:ascii="Times New Roman" w:hAnsi="Times New Roman" w:cs="Times New Roman"/>
          <w:color w:val="000000" w:themeColor="text1"/>
          <w:lang w:val="sq-AL"/>
        </w:rPr>
        <w:t xml:space="preserve"> </w:t>
      </w:r>
      <w:r w:rsidRPr="008E7761">
        <w:rPr>
          <w:rFonts w:ascii="Times New Roman" w:hAnsi="Times New Roman" w:cs="Times New Roman"/>
          <w:i/>
          <w:color w:val="000000" w:themeColor="text1"/>
          <w:lang w:val="sq-AL"/>
        </w:rPr>
        <w:t>situatë</w:t>
      </w:r>
      <w:r>
        <w:rPr>
          <w:rFonts w:ascii="Times New Roman" w:hAnsi="Times New Roman" w:cs="Times New Roman"/>
          <w:i/>
          <w:color w:val="000000" w:themeColor="text1"/>
          <w:lang w:val="sq-AL"/>
        </w:rPr>
        <w:t>s</w:t>
      </w:r>
      <w:r w:rsidRPr="008E7761">
        <w:rPr>
          <w:rFonts w:ascii="Times New Roman" w:hAnsi="Times New Roman" w:cs="Times New Roman"/>
          <w:i/>
          <w:color w:val="000000" w:themeColor="text1"/>
          <w:lang w:val="sq-AL"/>
        </w:rPr>
        <w:t xml:space="preserve"> ekonomike </w:t>
      </w:r>
      <w:r>
        <w:rPr>
          <w:rFonts w:ascii="Times New Roman" w:hAnsi="Times New Roman" w:cs="Times New Roman"/>
          <w:color w:val="000000" w:themeColor="text1"/>
          <w:lang w:val="sq-AL"/>
        </w:rPr>
        <w:t>në vend regjistroi rënie me 5 pikë përqindje. Megjithatë, vlerësimi për</w:t>
      </w:r>
      <w:r w:rsidRPr="008E7761">
        <w:rPr>
          <w:rFonts w:ascii="Times New Roman" w:hAnsi="Times New Roman" w:cs="Times New Roman"/>
          <w:color w:val="000000" w:themeColor="text1"/>
          <w:lang w:val="sq-AL"/>
        </w:rPr>
        <w:t xml:space="preserve"> </w:t>
      </w:r>
      <w:r>
        <w:rPr>
          <w:rFonts w:ascii="Times New Roman" w:hAnsi="Times New Roman" w:cs="Times New Roman"/>
          <w:i/>
          <w:color w:val="000000" w:themeColor="text1"/>
          <w:lang w:val="sq-AL"/>
        </w:rPr>
        <w:t>gjendjen e përgjithshme të</w:t>
      </w:r>
      <w:r w:rsidRPr="008E7761">
        <w:rPr>
          <w:rFonts w:ascii="Times New Roman" w:hAnsi="Times New Roman" w:cs="Times New Roman"/>
          <w:i/>
          <w:color w:val="000000" w:themeColor="text1"/>
          <w:lang w:val="sq-AL"/>
        </w:rPr>
        <w:t xml:space="preserve"> </w:t>
      </w:r>
      <w:r>
        <w:rPr>
          <w:rFonts w:ascii="Times New Roman" w:hAnsi="Times New Roman" w:cs="Times New Roman"/>
          <w:i/>
          <w:color w:val="000000" w:themeColor="text1"/>
          <w:lang w:val="sq-AL"/>
        </w:rPr>
        <w:t>biznesit</w:t>
      </w:r>
      <w:r w:rsidR="00063AE8">
        <w:rPr>
          <w:rFonts w:ascii="Times New Roman" w:hAnsi="Times New Roman" w:cs="Times New Roman"/>
          <w:i/>
          <w:color w:val="000000" w:themeColor="text1"/>
          <w:lang w:val="sq-AL"/>
        </w:rPr>
        <w:t>,</w:t>
      </w:r>
      <w:r w:rsidRPr="008E7761">
        <w:rPr>
          <w:rFonts w:ascii="Times New Roman" w:hAnsi="Times New Roman" w:cs="Times New Roman"/>
          <w:i/>
          <w:color w:val="000000" w:themeColor="text1"/>
          <w:lang w:val="sq-AL"/>
        </w:rPr>
        <w:t xml:space="preserve"> </w:t>
      </w:r>
      <w:r w:rsidRPr="008E7761">
        <w:rPr>
          <w:rFonts w:ascii="Times New Roman" w:hAnsi="Times New Roman" w:cs="Times New Roman"/>
          <w:color w:val="000000" w:themeColor="text1"/>
          <w:lang w:val="sq-AL"/>
        </w:rPr>
        <w:t xml:space="preserve">si dhe </w:t>
      </w:r>
      <w:r>
        <w:rPr>
          <w:rFonts w:ascii="Times New Roman" w:hAnsi="Times New Roman" w:cs="Times New Roman"/>
          <w:i/>
          <w:color w:val="000000" w:themeColor="text1"/>
          <w:lang w:val="sq-AL"/>
        </w:rPr>
        <w:t>për</w:t>
      </w:r>
      <w:r w:rsidRPr="008E7761">
        <w:rPr>
          <w:rFonts w:ascii="Times New Roman" w:hAnsi="Times New Roman" w:cs="Times New Roman"/>
          <w:i/>
          <w:color w:val="000000" w:themeColor="text1"/>
          <w:lang w:val="sq-AL"/>
        </w:rPr>
        <w:t xml:space="preserve"> kërkesën</w:t>
      </w:r>
      <w:r w:rsidRPr="008E7761">
        <w:rPr>
          <w:rFonts w:ascii="Times New Roman" w:hAnsi="Times New Roman" w:cs="Times New Roman"/>
          <w:color w:val="000000" w:themeColor="text1"/>
          <w:lang w:val="sq-AL"/>
        </w:rPr>
        <w:t xml:space="preserve"> e brendshme dhe të jashtme </w:t>
      </w:r>
      <w:r>
        <w:rPr>
          <w:rFonts w:ascii="Times New Roman" w:hAnsi="Times New Roman" w:cs="Times New Roman"/>
          <w:color w:val="000000" w:themeColor="text1"/>
          <w:lang w:val="sq-AL"/>
        </w:rPr>
        <w:t>u përmirësuan këtë tremujor.</w:t>
      </w:r>
      <w:r w:rsidRPr="008E7761">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 xml:space="preserve">Gjithashtu, balanca e </w:t>
      </w:r>
      <w:r w:rsidR="004918F1">
        <w:rPr>
          <w:rFonts w:ascii="Times New Roman" w:hAnsi="Times New Roman" w:cs="Times New Roman"/>
          <w:i/>
          <w:color w:val="000000" w:themeColor="text1"/>
          <w:lang w:val="sq-AL"/>
        </w:rPr>
        <w:t>punësimit</w:t>
      </w:r>
      <w:r>
        <w:rPr>
          <w:rFonts w:ascii="Times New Roman" w:hAnsi="Times New Roman" w:cs="Times New Roman"/>
          <w:color w:val="000000" w:themeColor="text1"/>
          <w:lang w:val="sq-AL"/>
        </w:rPr>
        <w:t xml:space="preserve"> u rrit me </w:t>
      </w:r>
      <w:r w:rsidR="004918F1">
        <w:rPr>
          <w:rFonts w:ascii="Times New Roman" w:hAnsi="Times New Roman" w:cs="Times New Roman"/>
          <w:color w:val="000000" w:themeColor="text1"/>
          <w:lang w:val="sq-AL"/>
        </w:rPr>
        <w:t>0.</w:t>
      </w:r>
      <w:r>
        <w:rPr>
          <w:rFonts w:ascii="Times New Roman" w:hAnsi="Times New Roman" w:cs="Times New Roman"/>
          <w:color w:val="000000" w:themeColor="text1"/>
          <w:lang w:val="sq-AL"/>
        </w:rPr>
        <w:t xml:space="preserve">8 pikë përqindje. </w:t>
      </w:r>
      <w:r w:rsidRPr="00524EA9">
        <w:rPr>
          <w:rFonts w:ascii="Times New Roman" w:hAnsi="Times New Roman" w:cs="Times New Roman"/>
          <w:i/>
          <w:color w:val="000000" w:themeColor="text1"/>
          <w:lang w:val="sq-AL"/>
        </w:rPr>
        <w:t>Pritjet</w:t>
      </w:r>
      <w:r w:rsidRPr="008E7761">
        <w:rPr>
          <w:rFonts w:ascii="Times New Roman" w:hAnsi="Times New Roman" w:cs="Times New Roman"/>
          <w:color w:val="000000" w:themeColor="text1"/>
          <w:lang w:val="sq-AL"/>
        </w:rPr>
        <w:t xml:space="preserve"> për tremujorin e tretë të vitit janë më pak optimiste</w:t>
      </w:r>
      <w:r w:rsidR="00063AE8">
        <w:rPr>
          <w:rFonts w:ascii="Times New Roman" w:hAnsi="Times New Roman" w:cs="Times New Roman"/>
          <w:color w:val="000000" w:themeColor="text1"/>
          <w:lang w:val="sq-AL"/>
        </w:rPr>
        <w:t>,</w:t>
      </w:r>
      <w:r w:rsidRPr="008E7761">
        <w:rPr>
          <w:rFonts w:ascii="Times New Roman" w:hAnsi="Times New Roman" w:cs="Times New Roman"/>
          <w:color w:val="000000" w:themeColor="text1"/>
          <w:lang w:val="sq-AL"/>
        </w:rPr>
        <w:t xml:space="preserve"> krahasuar me situatën aktuale. </w:t>
      </w:r>
    </w:p>
    <w:p w:rsidR="007015C1" w:rsidRPr="008E7761" w:rsidRDefault="007015C1" w:rsidP="007015C1">
      <w:pPr>
        <w:spacing w:after="0"/>
        <w:contextualSpacing/>
        <w:jc w:val="both"/>
        <w:rPr>
          <w:rFonts w:ascii="Times New Roman" w:hAnsi="Times New Roman" w:cs="Times New Roman"/>
          <w:color w:val="000000" w:themeColor="text1"/>
          <w:lang w:val="sq-AL"/>
        </w:rPr>
      </w:pPr>
    </w:p>
    <w:p w:rsidR="007015C1" w:rsidRPr="008E7761" w:rsidRDefault="007015C1" w:rsidP="007015C1">
      <w:pPr>
        <w:spacing w:after="0"/>
        <w:contextualSpacing/>
        <w:jc w:val="both"/>
        <w:rPr>
          <w:rFonts w:ascii="Times New Roman" w:hAnsi="Times New Roman" w:cs="Times New Roman"/>
          <w:color w:val="000000" w:themeColor="text1"/>
          <w:lang w:val="sq-AL"/>
        </w:rPr>
      </w:pPr>
      <w:r w:rsidRPr="008E7761">
        <w:rPr>
          <w:rFonts w:ascii="Times New Roman" w:hAnsi="Times New Roman" w:cs="Times New Roman"/>
          <w:i/>
          <w:color w:val="000000" w:themeColor="text1"/>
          <w:lang w:val="sq-AL"/>
        </w:rPr>
        <w:t xml:space="preserve">Norma e shfrytëzimit të kapaciteteve </w:t>
      </w:r>
      <w:r w:rsidRPr="008E7761">
        <w:rPr>
          <w:rFonts w:ascii="Times New Roman" w:hAnsi="Times New Roman" w:cs="Times New Roman"/>
          <w:color w:val="000000" w:themeColor="text1"/>
          <w:lang w:val="sq-AL"/>
        </w:rPr>
        <w:t xml:space="preserve">në industri </w:t>
      </w:r>
      <w:r>
        <w:rPr>
          <w:rFonts w:ascii="Times New Roman" w:hAnsi="Times New Roman" w:cs="Times New Roman"/>
          <w:color w:val="000000" w:themeColor="text1"/>
          <w:lang w:val="sq-AL"/>
        </w:rPr>
        <w:t>u rrit me 7.3</w:t>
      </w:r>
      <w:r w:rsidRPr="008E7761">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 xml:space="preserve">pikë përqindje, </w:t>
      </w:r>
      <w:r w:rsidRPr="008E7761">
        <w:rPr>
          <w:rFonts w:ascii="Times New Roman" w:hAnsi="Times New Roman" w:cs="Times New Roman"/>
          <w:color w:val="000000" w:themeColor="text1"/>
          <w:lang w:val="sq-AL"/>
        </w:rPr>
        <w:t>duke qëndruar</w:t>
      </w:r>
      <w:r>
        <w:rPr>
          <w:rFonts w:ascii="Times New Roman" w:hAnsi="Times New Roman" w:cs="Times New Roman"/>
          <w:color w:val="000000" w:themeColor="text1"/>
          <w:lang w:val="sq-AL"/>
        </w:rPr>
        <w:t xml:space="preserve"> në</w:t>
      </w:r>
      <w:r w:rsidRPr="008E7761">
        <w:rPr>
          <w:rFonts w:ascii="Times New Roman" w:hAnsi="Times New Roman" w:cs="Times New Roman"/>
          <w:color w:val="000000" w:themeColor="text1"/>
          <w:lang w:val="sq-AL"/>
        </w:rPr>
        <w:t xml:space="preserve"> nivelin 75.</w:t>
      </w:r>
      <w:r>
        <w:rPr>
          <w:rFonts w:ascii="Times New Roman" w:hAnsi="Times New Roman" w:cs="Times New Roman"/>
          <w:color w:val="000000" w:themeColor="text1"/>
          <w:lang w:val="sq-AL"/>
        </w:rPr>
        <w:t>1</w:t>
      </w:r>
      <w:r w:rsidRPr="008E7761">
        <w:rPr>
          <w:rFonts w:ascii="Times New Roman" w:hAnsi="Times New Roman" w:cs="Times New Roman"/>
          <w:color w:val="000000" w:themeColor="text1"/>
          <w:lang w:val="sq-AL"/>
        </w:rPr>
        <w:t xml:space="preserve">% në tremujorin e dytë. Kjo normë qëndron rreth </w:t>
      </w:r>
      <w:r>
        <w:rPr>
          <w:rFonts w:ascii="Times New Roman" w:hAnsi="Times New Roman" w:cs="Times New Roman"/>
          <w:color w:val="000000" w:themeColor="text1"/>
          <w:lang w:val="sq-AL"/>
        </w:rPr>
        <w:t>3.2</w:t>
      </w:r>
      <w:r w:rsidRPr="008E7761">
        <w:rPr>
          <w:rFonts w:ascii="Times New Roman" w:hAnsi="Times New Roman" w:cs="Times New Roman"/>
          <w:color w:val="000000" w:themeColor="text1"/>
          <w:lang w:val="sq-AL"/>
        </w:rPr>
        <w:t xml:space="preserve">  pikë përqindje mbi nivelin </w:t>
      </w:r>
      <w:r>
        <w:rPr>
          <w:rFonts w:ascii="Times New Roman" w:hAnsi="Times New Roman" w:cs="Times New Roman"/>
          <w:color w:val="000000" w:themeColor="text1"/>
          <w:lang w:val="sq-AL"/>
        </w:rPr>
        <w:t>mesatar</w:t>
      </w:r>
      <w:r w:rsidRPr="008E7761">
        <w:rPr>
          <w:rFonts w:ascii="Times New Roman" w:hAnsi="Times New Roman" w:cs="Times New Roman"/>
          <w:color w:val="000000" w:themeColor="text1"/>
          <w:lang w:val="sq-AL"/>
        </w:rPr>
        <w:t xml:space="preserve"> historik. </w:t>
      </w:r>
      <w:r w:rsidRPr="008E7761">
        <w:rPr>
          <w:rFonts w:ascii="Times New Roman" w:hAnsi="Times New Roman" w:cs="Times New Roman"/>
          <w:i/>
          <w:color w:val="000000" w:themeColor="text1"/>
          <w:lang w:val="sq-AL"/>
        </w:rPr>
        <w:t>Çmimet e prodhimit</w:t>
      </w:r>
      <w:r w:rsidRPr="008E7761">
        <w:rPr>
          <w:rFonts w:ascii="Times New Roman" w:hAnsi="Times New Roman" w:cs="Times New Roman"/>
          <w:color w:val="000000" w:themeColor="text1"/>
          <w:lang w:val="sq-AL"/>
        </w:rPr>
        <w:t xml:space="preserve"> janë vlerësuar me rritje të lehtë gjatë tremujorit të dytë</w:t>
      </w:r>
      <w:r>
        <w:rPr>
          <w:rFonts w:ascii="Times New Roman" w:hAnsi="Times New Roman" w:cs="Times New Roman"/>
          <w:color w:val="000000" w:themeColor="text1"/>
          <w:lang w:val="sq-AL"/>
        </w:rPr>
        <w:t>.</w:t>
      </w:r>
    </w:p>
    <w:p w:rsidR="007015C1" w:rsidRDefault="007015C1" w:rsidP="007015C1">
      <w:pPr>
        <w:spacing w:after="0"/>
        <w:contextualSpacing/>
        <w:jc w:val="both"/>
        <w:rPr>
          <w:rFonts w:ascii="Times New Roman" w:hAnsi="Times New Roman" w:cs="Times New Roman"/>
          <w:color w:val="000000" w:themeColor="text1"/>
          <w:lang w:val="sq-AL"/>
        </w:rPr>
      </w:pPr>
    </w:p>
    <w:p w:rsidR="007015C1" w:rsidRPr="008E7761" w:rsidRDefault="007015C1" w:rsidP="007015C1">
      <w:pPr>
        <w:spacing w:after="0"/>
        <w:contextualSpacing/>
        <w:jc w:val="both"/>
        <w:rPr>
          <w:rFonts w:ascii="Times New Roman" w:hAnsi="Times New Roman" w:cs="Times New Roman"/>
          <w:color w:val="000000" w:themeColor="text1"/>
          <w:lang w:val="sq-AL"/>
        </w:rPr>
      </w:pPr>
    </w:p>
    <w:p w:rsidR="007015C1" w:rsidRPr="008E7761" w:rsidRDefault="007015C1" w:rsidP="007015C1">
      <w:pPr>
        <w:spacing w:after="0"/>
        <w:contextualSpacing/>
        <w:jc w:val="both"/>
        <w:rPr>
          <w:rFonts w:ascii="Times New Roman" w:hAnsi="Times New Roman" w:cs="Times New Roman"/>
          <w:b/>
          <w:color w:val="000000" w:themeColor="text1"/>
          <w:lang w:val="sq-AL"/>
        </w:rPr>
      </w:pPr>
      <w:r w:rsidRPr="008E7761">
        <w:rPr>
          <w:rFonts w:ascii="Times New Roman" w:hAnsi="Times New Roman" w:cs="Times New Roman"/>
          <w:color w:val="000000" w:themeColor="text1"/>
          <w:lang w:val="sq-AL"/>
        </w:rPr>
        <w:t xml:space="preserve"> </w:t>
      </w:r>
      <w:r w:rsidRPr="008E7761">
        <w:rPr>
          <w:rFonts w:ascii="Times New Roman" w:hAnsi="Times New Roman" w:cs="Times New Roman"/>
          <w:b/>
          <w:color w:val="000000" w:themeColor="text1"/>
          <w:lang w:val="sq-AL"/>
        </w:rPr>
        <w:t>Sektori i ndërtimit</w:t>
      </w:r>
    </w:p>
    <w:p w:rsidR="007015C1" w:rsidRPr="008E7761" w:rsidRDefault="007015C1" w:rsidP="007015C1">
      <w:pPr>
        <w:contextualSpacing/>
        <w:rPr>
          <w:rFonts w:ascii="Times New Roman" w:hAnsi="Times New Roman" w:cs="Times New Roman"/>
          <w:b/>
          <w:color w:val="000000" w:themeColor="text1"/>
          <w:lang w:val="sq-AL"/>
        </w:rPr>
      </w:pPr>
    </w:p>
    <w:p w:rsidR="007015C1" w:rsidRDefault="007015C1" w:rsidP="007015C1">
      <w:pPr>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 xml:space="preserve">Treguesi i besimit në sektorin e ndërtimit (TBN) ra me 8.1 pikë përqindjeje në tremujorin e </w:t>
      </w:r>
      <w:r>
        <w:rPr>
          <w:rFonts w:ascii="Times New Roman" w:hAnsi="Times New Roman" w:cs="Times New Roman"/>
          <w:color w:val="000000" w:themeColor="text1"/>
          <w:lang w:val="sq-AL"/>
        </w:rPr>
        <w:t>dytë</w:t>
      </w:r>
      <w:r w:rsidRPr="008E7761">
        <w:rPr>
          <w:rFonts w:ascii="Times New Roman" w:hAnsi="Times New Roman" w:cs="Times New Roman"/>
          <w:color w:val="000000" w:themeColor="text1"/>
          <w:lang w:val="sq-AL"/>
        </w:rPr>
        <w:t xml:space="preserve">. Ecuria e këtij treguesi u ndikua nga rënia në të tre balancat përbërëse të tij. Kështu, </w:t>
      </w:r>
      <w:r w:rsidRPr="008E7761">
        <w:rPr>
          <w:rFonts w:ascii="Times New Roman" w:hAnsi="Times New Roman" w:cs="Times New Roman"/>
          <w:i/>
          <w:color w:val="000000" w:themeColor="text1"/>
          <w:lang w:val="sq-AL"/>
        </w:rPr>
        <w:t>kërkesa</w:t>
      </w:r>
      <w:r w:rsidRPr="008E7761">
        <w:rPr>
          <w:rFonts w:ascii="Times New Roman" w:hAnsi="Times New Roman" w:cs="Times New Roman"/>
          <w:color w:val="000000" w:themeColor="text1"/>
          <w:lang w:val="sq-AL"/>
        </w:rPr>
        <w:t xml:space="preserve"> ra më 9.2 pikë përqindje, </w:t>
      </w:r>
      <w:r w:rsidRPr="008E7761">
        <w:rPr>
          <w:rFonts w:ascii="Times New Roman" w:hAnsi="Times New Roman" w:cs="Times New Roman"/>
          <w:i/>
          <w:color w:val="000000" w:themeColor="text1"/>
          <w:lang w:val="sq-AL"/>
        </w:rPr>
        <w:t xml:space="preserve">prodhimi </w:t>
      </w:r>
      <w:r>
        <w:rPr>
          <w:rFonts w:ascii="Times New Roman" w:hAnsi="Times New Roman" w:cs="Times New Roman"/>
          <w:color w:val="000000" w:themeColor="text1"/>
          <w:lang w:val="sq-AL"/>
        </w:rPr>
        <w:t>ra</w:t>
      </w:r>
      <w:r w:rsidRPr="008E7761">
        <w:rPr>
          <w:rFonts w:ascii="Times New Roman" w:hAnsi="Times New Roman" w:cs="Times New Roman"/>
          <w:color w:val="000000" w:themeColor="text1"/>
          <w:lang w:val="sq-AL"/>
        </w:rPr>
        <w:t xml:space="preserve"> me 9.5 pikë përqindje dhe situata e </w:t>
      </w:r>
      <w:r w:rsidRPr="008E7761">
        <w:rPr>
          <w:rFonts w:ascii="Times New Roman" w:hAnsi="Times New Roman" w:cs="Times New Roman"/>
          <w:i/>
          <w:color w:val="000000" w:themeColor="text1"/>
          <w:lang w:val="sq-AL"/>
        </w:rPr>
        <w:t>punësimit</w:t>
      </w:r>
      <w:r w:rsidRPr="008E7761">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 xml:space="preserve">ra </w:t>
      </w:r>
      <w:r w:rsidRPr="008E7761">
        <w:rPr>
          <w:rFonts w:ascii="Times New Roman" w:hAnsi="Times New Roman" w:cs="Times New Roman"/>
          <w:color w:val="000000" w:themeColor="text1"/>
          <w:lang w:val="sq-AL"/>
        </w:rPr>
        <w:t>me 5.6 pikë përqindje.  Niveli aktual i TBN-së qëndron rreth 8.8</w:t>
      </w:r>
      <w:r>
        <w:rPr>
          <w:rFonts w:ascii="Times New Roman" w:hAnsi="Times New Roman" w:cs="Times New Roman"/>
          <w:color w:val="000000" w:themeColor="text1"/>
          <w:lang w:val="sq-AL"/>
        </w:rPr>
        <w:t xml:space="preserve"> </w:t>
      </w:r>
      <w:r w:rsidRPr="008E7761">
        <w:rPr>
          <w:rFonts w:ascii="Times New Roman" w:hAnsi="Times New Roman" w:cs="Times New Roman"/>
          <w:color w:val="000000" w:themeColor="text1"/>
          <w:lang w:val="sq-AL"/>
        </w:rPr>
        <w:t xml:space="preserve">pikë përqindje poshtë mesatares historike.  </w:t>
      </w:r>
    </w:p>
    <w:p w:rsidR="007015C1" w:rsidRDefault="007015C1" w:rsidP="007015C1">
      <w:pPr>
        <w:contextualSpacing/>
        <w:jc w:val="both"/>
        <w:rPr>
          <w:rFonts w:ascii="Times New Roman" w:hAnsi="Times New Roman" w:cs="Times New Roman"/>
          <w:color w:val="000000" w:themeColor="text1"/>
          <w:lang w:val="sq-AL"/>
        </w:rPr>
      </w:pPr>
    </w:p>
    <w:p w:rsidR="007015C1" w:rsidRDefault="007015C1" w:rsidP="007015C1">
      <w:pPr>
        <w:contextualSpacing/>
        <w:jc w:val="both"/>
        <w:rPr>
          <w:rFonts w:ascii="Times New Roman" w:hAnsi="Times New Roman" w:cs="Times New Roman"/>
          <w:color w:val="000000" w:themeColor="text1"/>
          <w:lang w:val="sq-AL"/>
        </w:rPr>
      </w:pPr>
    </w:p>
    <w:p w:rsidR="007015C1" w:rsidRPr="008E7761" w:rsidRDefault="007015C1" w:rsidP="007015C1">
      <w:pPr>
        <w:contextualSpacing/>
        <w:jc w:val="both"/>
        <w:rPr>
          <w:rFonts w:ascii="Times New Roman" w:hAnsi="Times New Roman" w:cs="Times New Roman"/>
          <w:color w:val="000000" w:themeColor="text1"/>
          <w:lang w:val="sq-AL"/>
        </w:rPr>
      </w:pPr>
    </w:p>
    <w:p w:rsidR="007015C1" w:rsidRPr="008E7761" w:rsidRDefault="007015C1" w:rsidP="009A0A15">
      <w:pPr>
        <w:pStyle w:val="ListParagraph"/>
        <w:numPr>
          <w:ilvl w:val="0"/>
          <w:numId w:val="1"/>
        </w:numPr>
        <w:tabs>
          <w:tab w:val="left" w:pos="0"/>
          <w:tab w:val="left" w:pos="270"/>
          <w:tab w:val="left" w:pos="1170"/>
        </w:tabs>
        <w:spacing w:after="60" w:line="240" w:lineRule="auto"/>
        <w:ind w:left="357" w:firstLine="539"/>
        <w:jc w:val="both"/>
        <w:rPr>
          <w:rFonts w:ascii="Times New Roman" w:hAnsi="Times New Roman" w:cs="Times New Roman"/>
          <w:color w:val="000000" w:themeColor="text1"/>
          <w:sz w:val="20"/>
          <w:szCs w:val="20"/>
          <w:lang w:val="sq-AL"/>
        </w:rPr>
      </w:pPr>
      <w:r w:rsidRPr="008E7761">
        <w:rPr>
          <w:rFonts w:ascii="Times New Roman" w:hAnsi="Times New Roman" w:cs="Times New Roman"/>
          <w:color w:val="000000" w:themeColor="text1"/>
          <w:sz w:val="20"/>
          <w:szCs w:val="20"/>
          <w:lang w:val="sq-AL"/>
        </w:rPr>
        <w:lastRenderedPageBreak/>
        <w:t>Treguesi i besimit në ndërtim (në pikë përqindje)</w:t>
      </w:r>
    </w:p>
    <w:p w:rsidR="007015C1" w:rsidRPr="008E7761" w:rsidRDefault="007015C1" w:rsidP="007015C1">
      <w:pPr>
        <w:spacing w:after="0" w:line="240" w:lineRule="auto"/>
        <w:contextualSpacing/>
        <w:jc w:val="both"/>
        <w:rPr>
          <w:rFonts w:ascii="Times New Roman" w:hAnsi="Times New Roman" w:cs="Times New Roman"/>
          <w:b/>
          <w:color w:val="000000" w:themeColor="text1"/>
          <w:sz w:val="24"/>
          <w:szCs w:val="24"/>
          <w:lang w:val="sq-AL"/>
        </w:rPr>
      </w:pPr>
      <w:r w:rsidRPr="008E7761">
        <w:rPr>
          <w:rFonts w:ascii="Times New Roman" w:hAnsi="Times New Roman" w:cs="Times New Roman"/>
          <w:b/>
          <w:color w:val="000000" w:themeColor="text1"/>
          <w:sz w:val="24"/>
          <w:szCs w:val="24"/>
          <w:lang w:val="sq-AL"/>
        </w:rPr>
        <w:t xml:space="preserve"> </w:t>
      </w:r>
      <w:r w:rsidRPr="008E7761">
        <w:rPr>
          <w:rFonts w:ascii="Times New Roman" w:hAnsi="Times New Roman" w:cs="Times New Roman"/>
          <w:noProof/>
          <w:color w:val="000000" w:themeColor="text1"/>
          <w:lang w:val="sq-AL" w:eastAsia="sq-AL"/>
        </w:rPr>
        <w:drawing>
          <wp:inline distT="0" distB="0" distL="0" distR="0" wp14:anchorId="5A439EF7" wp14:editId="6F364511">
            <wp:extent cx="4490114" cy="204716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1540" cy="2052374"/>
                    </a:xfrm>
                    <a:prstGeom prst="rect">
                      <a:avLst/>
                    </a:prstGeom>
                    <a:noFill/>
                    <a:ln>
                      <a:noFill/>
                    </a:ln>
                  </pic:spPr>
                </pic:pic>
              </a:graphicData>
            </a:graphic>
          </wp:inline>
        </w:drawing>
      </w:r>
    </w:p>
    <w:p w:rsidR="007015C1" w:rsidRPr="008E7761" w:rsidRDefault="007015C1" w:rsidP="007015C1">
      <w:pPr>
        <w:spacing w:after="0" w:line="240" w:lineRule="auto"/>
        <w:contextualSpacing/>
        <w:jc w:val="both"/>
        <w:rPr>
          <w:rFonts w:ascii="Times New Roman" w:hAnsi="Times New Roman" w:cs="Times New Roman"/>
          <w:color w:val="000000" w:themeColor="text1"/>
          <w:sz w:val="18"/>
          <w:szCs w:val="18"/>
          <w:lang w:val="sq-AL"/>
        </w:rPr>
      </w:pPr>
      <w:r w:rsidRPr="008E7761">
        <w:rPr>
          <w:rFonts w:ascii="Times New Roman" w:hAnsi="Times New Roman" w:cs="Times New Roman"/>
          <w:color w:val="000000" w:themeColor="text1"/>
          <w:sz w:val="18"/>
          <w:szCs w:val="18"/>
          <w:lang w:val="sq-AL"/>
        </w:rPr>
        <w:t>Burimi: Vrojtimi i besimit të biznesit, Banka e Shqipërisë.</w:t>
      </w:r>
    </w:p>
    <w:p w:rsidR="007015C1" w:rsidRPr="008E7761" w:rsidRDefault="007015C1" w:rsidP="007015C1">
      <w:pPr>
        <w:spacing w:after="0"/>
        <w:contextualSpacing/>
        <w:jc w:val="both"/>
        <w:rPr>
          <w:rFonts w:ascii="Times New Roman" w:hAnsi="Times New Roman" w:cs="Times New Roman"/>
          <w:color w:val="000000" w:themeColor="text1"/>
          <w:sz w:val="24"/>
          <w:szCs w:val="24"/>
          <w:u w:val="single"/>
          <w:lang w:val="sq-AL"/>
        </w:rPr>
      </w:pPr>
    </w:p>
    <w:p w:rsidR="007015C1" w:rsidRPr="008E7761" w:rsidRDefault="007015C1" w:rsidP="007015C1">
      <w:pPr>
        <w:spacing w:after="0"/>
        <w:contextualSpacing/>
        <w:jc w:val="both"/>
        <w:rPr>
          <w:rFonts w:ascii="Times New Roman" w:hAnsi="Times New Roman" w:cs="Times New Roman"/>
          <w:color w:val="000000" w:themeColor="text1"/>
          <w:u w:val="single"/>
          <w:lang w:val="sq-AL"/>
        </w:rPr>
      </w:pPr>
      <w:r w:rsidRPr="008E7761">
        <w:rPr>
          <w:rFonts w:ascii="Times New Roman" w:hAnsi="Times New Roman" w:cs="Times New Roman"/>
          <w:color w:val="000000" w:themeColor="text1"/>
          <w:u w:val="single"/>
          <w:lang w:val="sq-AL"/>
        </w:rPr>
        <w:t>Në vijim, analiza e disa treguesve që nuk përfshihen në ndërtimin e TBN-së:</w:t>
      </w:r>
    </w:p>
    <w:p w:rsidR="007015C1" w:rsidRPr="008E7761" w:rsidRDefault="007015C1" w:rsidP="007015C1">
      <w:pPr>
        <w:spacing w:after="120"/>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Bizneset</w:t>
      </w:r>
      <w:r w:rsidR="00063AE8">
        <w:rPr>
          <w:rFonts w:ascii="Times New Roman" w:hAnsi="Times New Roman" w:cs="Times New Roman"/>
          <w:color w:val="000000" w:themeColor="text1"/>
          <w:lang w:val="sq-AL"/>
        </w:rPr>
        <w:t>,</w:t>
      </w:r>
      <w:r w:rsidRPr="008E7761">
        <w:rPr>
          <w:rFonts w:ascii="Times New Roman" w:hAnsi="Times New Roman" w:cs="Times New Roman"/>
          <w:color w:val="000000" w:themeColor="text1"/>
          <w:lang w:val="sq-AL"/>
        </w:rPr>
        <w:t xml:space="preserve"> në sektorin e ndërtimit</w:t>
      </w:r>
      <w:r w:rsidR="00063AE8">
        <w:rPr>
          <w:rFonts w:ascii="Times New Roman" w:hAnsi="Times New Roman" w:cs="Times New Roman"/>
          <w:color w:val="000000" w:themeColor="text1"/>
          <w:lang w:val="sq-AL"/>
        </w:rPr>
        <w:t>.</w:t>
      </w:r>
      <w:r w:rsidRPr="008E7761">
        <w:rPr>
          <w:rFonts w:ascii="Times New Roman" w:hAnsi="Times New Roman" w:cs="Times New Roman"/>
          <w:color w:val="000000" w:themeColor="text1"/>
          <w:lang w:val="sq-AL"/>
        </w:rPr>
        <w:t xml:space="preserve"> </w:t>
      </w:r>
      <w:r w:rsidR="004918F1">
        <w:rPr>
          <w:rFonts w:ascii="Times New Roman" w:hAnsi="Times New Roman" w:cs="Times New Roman"/>
          <w:color w:val="000000" w:themeColor="text1"/>
          <w:lang w:val="sq-AL"/>
        </w:rPr>
        <w:t>kan</w:t>
      </w:r>
      <w:r w:rsidR="00933C94">
        <w:rPr>
          <w:rFonts w:ascii="Times New Roman" w:hAnsi="Times New Roman" w:cs="Times New Roman"/>
          <w:color w:val="000000" w:themeColor="text1"/>
          <w:lang w:val="sq-AL"/>
        </w:rPr>
        <w:t>ë</w:t>
      </w:r>
      <w:r w:rsidR="004918F1">
        <w:rPr>
          <w:rFonts w:ascii="Times New Roman" w:hAnsi="Times New Roman" w:cs="Times New Roman"/>
          <w:color w:val="000000" w:themeColor="text1"/>
          <w:lang w:val="sq-AL"/>
        </w:rPr>
        <w:t xml:space="preserve"> vler</w:t>
      </w:r>
      <w:r w:rsidR="00933C94">
        <w:rPr>
          <w:rFonts w:ascii="Times New Roman" w:hAnsi="Times New Roman" w:cs="Times New Roman"/>
          <w:color w:val="000000" w:themeColor="text1"/>
          <w:lang w:val="sq-AL"/>
        </w:rPr>
        <w:t>ë</w:t>
      </w:r>
      <w:r w:rsidR="004918F1">
        <w:rPr>
          <w:rFonts w:ascii="Times New Roman" w:hAnsi="Times New Roman" w:cs="Times New Roman"/>
          <w:color w:val="000000" w:themeColor="text1"/>
          <w:lang w:val="sq-AL"/>
        </w:rPr>
        <w:t>suar n</w:t>
      </w:r>
      <w:r w:rsidR="00933C94">
        <w:rPr>
          <w:rFonts w:ascii="Times New Roman" w:hAnsi="Times New Roman" w:cs="Times New Roman"/>
          <w:color w:val="000000" w:themeColor="text1"/>
          <w:lang w:val="sq-AL"/>
        </w:rPr>
        <w:t>ë</w:t>
      </w:r>
      <w:r w:rsidR="004918F1">
        <w:rPr>
          <w:rFonts w:ascii="Times New Roman" w:hAnsi="Times New Roman" w:cs="Times New Roman"/>
          <w:color w:val="000000" w:themeColor="text1"/>
          <w:lang w:val="sq-AL"/>
        </w:rPr>
        <w:t xml:space="preserve"> r</w:t>
      </w:r>
      <w:r w:rsidR="00933C94">
        <w:rPr>
          <w:rFonts w:ascii="Times New Roman" w:hAnsi="Times New Roman" w:cs="Times New Roman"/>
          <w:color w:val="000000" w:themeColor="text1"/>
          <w:lang w:val="sq-AL"/>
        </w:rPr>
        <w:t>ë</w:t>
      </w:r>
      <w:r w:rsidR="004918F1">
        <w:rPr>
          <w:rFonts w:ascii="Times New Roman" w:hAnsi="Times New Roman" w:cs="Times New Roman"/>
          <w:color w:val="000000" w:themeColor="text1"/>
          <w:lang w:val="sq-AL"/>
        </w:rPr>
        <w:t>nie</w:t>
      </w:r>
      <w:r w:rsidRPr="008E7761">
        <w:rPr>
          <w:rFonts w:ascii="Times New Roman" w:hAnsi="Times New Roman" w:cs="Times New Roman"/>
          <w:color w:val="000000" w:themeColor="text1"/>
          <w:lang w:val="sq-AL"/>
        </w:rPr>
        <w:t xml:space="preserve"> </w:t>
      </w:r>
      <w:r w:rsidR="00933C94">
        <w:rPr>
          <w:rFonts w:ascii="Times New Roman" w:hAnsi="Times New Roman" w:cs="Times New Roman"/>
          <w:color w:val="000000" w:themeColor="text1"/>
          <w:lang w:val="sq-AL"/>
        </w:rPr>
        <w:t>balancën e</w:t>
      </w:r>
      <w:r w:rsidRPr="008E7761">
        <w:rPr>
          <w:rFonts w:ascii="Times New Roman" w:hAnsi="Times New Roman" w:cs="Times New Roman"/>
          <w:i/>
          <w:color w:val="000000" w:themeColor="text1"/>
          <w:lang w:val="sq-AL"/>
        </w:rPr>
        <w:t xml:space="preserve"> situatë</w:t>
      </w:r>
      <w:r w:rsidR="00933C94">
        <w:rPr>
          <w:rFonts w:ascii="Times New Roman" w:hAnsi="Times New Roman" w:cs="Times New Roman"/>
          <w:i/>
          <w:color w:val="000000" w:themeColor="text1"/>
          <w:lang w:val="sq-AL"/>
        </w:rPr>
        <w:t>s</w:t>
      </w:r>
      <w:r w:rsidRPr="008E7761">
        <w:rPr>
          <w:rFonts w:ascii="Times New Roman" w:hAnsi="Times New Roman" w:cs="Times New Roman"/>
          <w:i/>
          <w:color w:val="000000" w:themeColor="text1"/>
          <w:lang w:val="sq-AL"/>
        </w:rPr>
        <w:t xml:space="preserve"> </w:t>
      </w:r>
      <w:r w:rsidR="00933C94">
        <w:rPr>
          <w:rFonts w:ascii="Times New Roman" w:hAnsi="Times New Roman" w:cs="Times New Roman"/>
          <w:i/>
          <w:color w:val="000000" w:themeColor="text1"/>
          <w:lang w:val="sq-AL"/>
        </w:rPr>
        <w:t>së</w:t>
      </w:r>
      <w:r w:rsidRPr="008E7761">
        <w:rPr>
          <w:rFonts w:ascii="Times New Roman" w:hAnsi="Times New Roman" w:cs="Times New Roman"/>
          <w:i/>
          <w:color w:val="000000" w:themeColor="text1"/>
          <w:lang w:val="sq-AL"/>
        </w:rPr>
        <w:t xml:space="preserve"> përgjithshme ekonomike</w:t>
      </w:r>
      <w:r w:rsidRPr="008E7761">
        <w:rPr>
          <w:rFonts w:ascii="Times New Roman" w:hAnsi="Times New Roman" w:cs="Times New Roman"/>
          <w:color w:val="000000" w:themeColor="text1"/>
          <w:lang w:val="sq-AL"/>
        </w:rPr>
        <w:t xml:space="preserve"> në vend dhe </w:t>
      </w:r>
      <w:r>
        <w:rPr>
          <w:rFonts w:ascii="Times New Roman" w:hAnsi="Times New Roman" w:cs="Times New Roman"/>
          <w:i/>
          <w:color w:val="000000" w:themeColor="text1"/>
          <w:lang w:val="sq-AL"/>
        </w:rPr>
        <w:t>gjendjen e përgjithshme të</w:t>
      </w:r>
      <w:r w:rsidRPr="008E7761">
        <w:rPr>
          <w:rFonts w:ascii="Times New Roman" w:hAnsi="Times New Roman" w:cs="Times New Roman"/>
          <w:i/>
          <w:color w:val="000000" w:themeColor="text1"/>
          <w:lang w:val="sq-AL"/>
        </w:rPr>
        <w:t xml:space="preserve"> biznesi</w:t>
      </w:r>
      <w:r w:rsidRPr="008E7761">
        <w:rPr>
          <w:rFonts w:ascii="Times New Roman" w:hAnsi="Times New Roman" w:cs="Times New Roman"/>
          <w:color w:val="000000" w:themeColor="text1"/>
          <w:lang w:val="sq-AL"/>
        </w:rPr>
        <w:t xml:space="preserve">t gjatë tremujorit të dytë. </w:t>
      </w:r>
      <w:r>
        <w:rPr>
          <w:rFonts w:ascii="Times New Roman" w:hAnsi="Times New Roman" w:cs="Times New Roman"/>
          <w:color w:val="000000" w:themeColor="text1"/>
          <w:lang w:val="sq-AL"/>
        </w:rPr>
        <w:t xml:space="preserve"> Gjithashtu, </w:t>
      </w:r>
      <w:r w:rsidRPr="008E7761">
        <w:rPr>
          <w:rFonts w:ascii="Times New Roman" w:hAnsi="Times New Roman" w:cs="Times New Roman"/>
          <w:color w:val="000000" w:themeColor="text1"/>
          <w:lang w:val="sq-AL"/>
        </w:rPr>
        <w:t>at</w:t>
      </w:r>
      <w:r w:rsidR="00933C94">
        <w:rPr>
          <w:rFonts w:ascii="Times New Roman" w:hAnsi="Times New Roman" w:cs="Times New Roman"/>
          <w:color w:val="000000" w:themeColor="text1"/>
          <w:lang w:val="sq-AL"/>
        </w:rPr>
        <w:t>a</w:t>
      </w:r>
      <w:r w:rsidRPr="008E7761">
        <w:rPr>
          <w:rFonts w:ascii="Times New Roman" w:hAnsi="Times New Roman" w:cs="Times New Roman"/>
          <w:color w:val="000000" w:themeColor="text1"/>
          <w:lang w:val="sq-AL"/>
        </w:rPr>
        <w:t xml:space="preserve"> janë shprehur për rënie të </w:t>
      </w:r>
      <w:r w:rsidRPr="00524EA9">
        <w:rPr>
          <w:rFonts w:ascii="Times New Roman" w:hAnsi="Times New Roman" w:cs="Times New Roman"/>
          <w:i/>
          <w:color w:val="000000" w:themeColor="text1"/>
          <w:lang w:val="sq-AL"/>
        </w:rPr>
        <w:t>kërkesës</w:t>
      </w:r>
      <w:r w:rsidRPr="008E7761">
        <w:rPr>
          <w:rFonts w:ascii="Times New Roman" w:hAnsi="Times New Roman" w:cs="Times New Roman"/>
          <w:color w:val="000000" w:themeColor="text1"/>
          <w:lang w:val="sq-AL"/>
        </w:rPr>
        <w:t xml:space="preserve"> dhe </w:t>
      </w:r>
      <w:r w:rsidR="00933C94">
        <w:rPr>
          <w:rFonts w:ascii="Times New Roman" w:hAnsi="Times New Roman" w:cs="Times New Roman"/>
          <w:color w:val="000000" w:themeColor="text1"/>
          <w:lang w:val="sq-AL"/>
        </w:rPr>
        <w:t xml:space="preserve">për </w:t>
      </w:r>
      <w:r w:rsidRPr="008E7761">
        <w:rPr>
          <w:rFonts w:ascii="Times New Roman" w:hAnsi="Times New Roman" w:cs="Times New Roman"/>
          <w:color w:val="000000" w:themeColor="text1"/>
          <w:lang w:val="sq-AL"/>
        </w:rPr>
        <w:t xml:space="preserve">rritje të nivelit të </w:t>
      </w:r>
      <w:r w:rsidRPr="00524EA9">
        <w:rPr>
          <w:rFonts w:ascii="Times New Roman" w:hAnsi="Times New Roman" w:cs="Times New Roman"/>
          <w:i/>
          <w:color w:val="000000" w:themeColor="text1"/>
          <w:lang w:val="sq-AL"/>
        </w:rPr>
        <w:t>inventarëve</w:t>
      </w:r>
      <w:r w:rsidR="00984A6E">
        <w:rPr>
          <w:rFonts w:ascii="Times New Roman" w:hAnsi="Times New Roman" w:cs="Times New Roman"/>
          <w:i/>
          <w:color w:val="000000" w:themeColor="text1"/>
          <w:lang w:val="sq-AL"/>
        </w:rPr>
        <w:t>,</w:t>
      </w:r>
      <w:r w:rsidR="00984A6E">
        <w:rPr>
          <w:rFonts w:ascii="Times New Roman" w:hAnsi="Times New Roman" w:cs="Times New Roman"/>
          <w:color w:val="000000" w:themeColor="text1"/>
          <w:lang w:val="sq-AL"/>
        </w:rPr>
        <w:t xml:space="preserve"> të cilët</w:t>
      </w:r>
      <w:r w:rsidRPr="008E7761">
        <w:rPr>
          <w:rFonts w:ascii="Times New Roman" w:hAnsi="Times New Roman" w:cs="Times New Roman"/>
          <w:color w:val="000000" w:themeColor="text1"/>
          <w:lang w:val="sq-AL"/>
        </w:rPr>
        <w:t xml:space="preserve"> kanë ndikuar në përkeqësimin e </w:t>
      </w:r>
      <w:r w:rsidRPr="00524EA9">
        <w:rPr>
          <w:rFonts w:ascii="Times New Roman" w:hAnsi="Times New Roman" w:cs="Times New Roman"/>
          <w:i/>
          <w:color w:val="000000" w:themeColor="text1"/>
          <w:lang w:val="sq-AL"/>
        </w:rPr>
        <w:t>gjendjes financiare</w:t>
      </w:r>
      <w:r w:rsidRPr="008E7761">
        <w:rPr>
          <w:rFonts w:ascii="Times New Roman" w:hAnsi="Times New Roman" w:cs="Times New Roman"/>
          <w:color w:val="000000" w:themeColor="text1"/>
          <w:lang w:val="sq-AL"/>
        </w:rPr>
        <w:t xml:space="preserve"> të këtij sektori. </w:t>
      </w:r>
      <w:r w:rsidR="00984A6E">
        <w:rPr>
          <w:rFonts w:ascii="Times New Roman" w:hAnsi="Times New Roman" w:cs="Times New Roman"/>
          <w:color w:val="000000" w:themeColor="text1"/>
          <w:lang w:val="sq-AL"/>
        </w:rPr>
        <w:t xml:space="preserve">Ndërkohë, </w:t>
      </w:r>
      <w:r w:rsidR="00984A6E">
        <w:rPr>
          <w:rFonts w:ascii="Times New Roman" w:hAnsi="Times New Roman" w:cs="Times New Roman"/>
          <w:i/>
          <w:color w:val="000000" w:themeColor="text1"/>
          <w:lang w:val="sq-AL"/>
        </w:rPr>
        <w:t>ç</w:t>
      </w:r>
      <w:r w:rsidRPr="008E7761">
        <w:rPr>
          <w:rFonts w:ascii="Times New Roman" w:hAnsi="Times New Roman" w:cs="Times New Roman"/>
          <w:i/>
          <w:color w:val="000000" w:themeColor="text1"/>
          <w:lang w:val="sq-AL"/>
        </w:rPr>
        <w:t>mimet</w:t>
      </w:r>
      <w:r w:rsidRPr="008E7761">
        <w:rPr>
          <w:rFonts w:ascii="Times New Roman" w:hAnsi="Times New Roman" w:cs="Times New Roman"/>
          <w:color w:val="000000" w:themeColor="text1"/>
          <w:lang w:val="sq-AL"/>
        </w:rPr>
        <w:t xml:space="preserve"> </w:t>
      </w:r>
      <w:r w:rsidRPr="00524EA9">
        <w:rPr>
          <w:rFonts w:ascii="Times New Roman" w:hAnsi="Times New Roman" w:cs="Times New Roman"/>
          <w:i/>
          <w:color w:val="000000" w:themeColor="text1"/>
          <w:lang w:val="sq-AL"/>
        </w:rPr>
        <w:t>e prodhimit</w:t>
      </w:r>
      <w:r w:rsidRPr="008E7761">
        <w:rPr>
          <w:rFonts w:ascii="Times New Roman" w:hAnsi="Times New Roman" w:cs="Times New Roman"/>
          <w:color w:val="000000" w:themeColor="text1"/>
          <w:lang w:val="sq-AL"/>
        </w:rPr>
        <w:t xml:space="preserve"> regjistruan një rënie të lehtë. </w:t>
      </w:r>
    </w:p>
    <w:p w:rsidR="007015C1" w:rsidRPr="008E7761" w:rsidRDefault="007015C1" w:rsidP="007015C1">
      <w:pPr>
        <w:spacing w:after="120"/>
        <w:contextualSpacing/>
        <w:jc w:val="both"/>
        <w:rPr>
          <w:rFonts w:ascii="Times New Roman" w:hAnsi="Times New Roman" w:cs="Times New Roman"/>
          <w:color w:val="000000" w:themeColor="text1"/>
          <w:lang w:val="sq-AL"/>
        </w:rPr>
      </w:pPr>
    </w:p>
    <w:p w:rsidR="007015C1" w:rsidRPr="008E7761" w:rsidRDefault="007015C1" w:rsidP="007015C1">
      <w:pPr>
        <w:spacing w:after="0"/>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 xml:space="preserve">Norma e </w:t>
      </w:r>
      <w:r w:rsidRPr="00524EA9">
        <w:rPr>
          <w:rFonts w:ascii="Times New Roman" w:hAnsi="Times New Roman" w:cs="Times New Roman"/>
          <w:i/>
          <w:color w:val="000000" w:themeColor="text1"/>
          <w:lang w:val="sq-AL"/>
        </w:rPr>
        <w:t>shfrytëzimit të kapaciteteve</w:t>
      </w:r>
      <w:r>
        <w:rPr>
          <w:rFonts w:ascii="Times New Roman" w:hAnsi="Times New Roman" w:cs="Times New Roman"/>
          <w:color w:val="000000" w:themeColor="text1"/>
          <w:lang w:val="sq-AL"/>
        </w:rPr>
        <w:t xml:space="preserve"> në ndërtim shënoi 60.1</w:t>
      </w:r>
      <w:r w:rsidRPr="008E7761">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 xml:space="preserve"> në tremujorin e dytë</w:t>
      </w:r>
      <w:r w:rsidR="00984A6E">
        <w:rPr>
          <w:rFonts w:ascii="Times New Roman" w:hAnsi="Times New Roman" w:cs="Times New Roman"/>
          <w:color w:val="000000" w:themeColor="text1"/>
          <w:lang w:val="sq-AL"/>
        </w:rPr>
        <w:t>,</w:t>
      </w:r>
      <w:r>
        <w:rPr>
          <w:rFonts w:ascii="Times New Roman" w:hAnsi="Times New Roman" w:cs="Times New Roman"/>
          <w:color w:val="000000" w:themeColor="text1"/>
          <w:lang w:val="sq-AL"/>
        </w:rPr>
        <w:t xml:space="preserve"> duke qëndruar</w:t>
      </w:r>
      <w:r w:rsidRPr="008E7761">
        <w:rPr>
          <w:rFonts w:ascii="Times New Roman" w:hAnsi="Times New Roman" w:cs="Times New Roman"/>
          <w:color w:val="000000" w:themeColor="text1"/>
          <w:lang w:val="sq-AL"/>
        </w:rPr>
        <w:t xml:space="preserve"> rreth 4.</w:t>
      </w:r>
      <w:r>
        <w:rPr>
          <w:rFonts w:ascii="Times New Roman" w:hAnsi="Times New Roman" w:cs="Times New Roman"/>
          <w:color w:val="000000" w:themeColor="text1"/>
          <w:lang w:val="sq-AL"/>
        </w:rPr>
        <w:t>4</w:t>
      </w:r>
      <w:r w:rsidRPr="008E7761">
        <w:rPr>
          <w:rFonts w:ascii="Times New Roman" w:hAnsi="Times New Roman" w:cs="Times New Roman"/>
          <w:color w:val="000000" w:themeColor="text1"/>
          <w:lang w:val="sq-AL"/>
        </w:rPr>
        <w:t xml:space="preserve"> pikë përqindje nën mesataren e saj historike. Bizneset </w:t>
      </w:r>
      <w:r>
        <w:rPr>
          <w:rFonts w:ascii="Times New Roman" w:hAnsi="Times New Roman" w:cs="Times New Roman"/>
          <w:color w:val="000000" w:themeColor="text1"/>
          <w:lang w:val="sq-AL"/>
        </w:rPr>
        <w:t xml:space="preserve">u </w:t>
      </w:r>
      <w:r w:rsidRPr="008E7761">
        <w:rPr>
          <w:rFonts w:ascii="Times New Roman" w:hAnsi="Times New Roman" w:cs="Times New Roman"/>
          <w:color w:val="000000" w:themeColor="text1"/>
          <w:lang w:val="sq-AL"/>
        </w:rPr>
        <w:t>shprehë</w:t>
      </w:r>
      <w:r>
        <w:rPr>
          <w:rFonts w:ascii="Times New Roman" w:hAnsi="Times New Roman" w:cs="Times New Roman"/>
          <w:color w:val="000000" w:themeColor="text1"/>
          <w:lang w:val="sq-AL"/>
        </w:rPr>
        <w:t>n</w:t>
      </w:r>
      <w:r w:rsidRPr="008E7761">
        <w:rPr>
          <w:rFonts w:ascii="Times New Roman" w:hAnsi="Times New Roman" w:cs="Times New Roman"/>
          <w:color w:val="000000" w:themeColor="text1"/>
          <w:lang w:val="sq-AL"/>
        </w:rPr>
        <w:t xml:space="preserve"> se faktorët me ndikim kryesor në nivelin e shfrytëzimit të kapaciteteve janë </w:t>
      </w:r>
      <w:r w:rsidRPr="00524EA9">
        <w:rPr>
          <w:rFonts w:ascii="Times New Roman" w:hAnsi="Times New Roman" w:cs="Times New Roman"/>
          <w:i/>
          <w:color w:val="000000" w:themeColor="text1"/>
          <w:lang w:val="sq-AL"/>
        </w:rPr>
        <w:t>kërkesa e pamjaftueshme</w:t>
      </w:r>
      <w:r w:rsidRPr="008E7761">
        <w:rPr>
          <w:rFonts w:ascii="Times New Roman" w:hAnsi="Times New Roman" w:cs="Times New Roman"/>
          <w:color w:val="000000" w:themeColor="text1"/>
          <w:lang w:val="sq-AL"/>
        </w:rPr>
        <w:t xml:space="preserve"> dhe </w:t>
      </w:r>
      <w:r w:rsidRPr="00524EA9">
        <w:rPr>
          <w:rFonts w:ascii="Times New Roman" w:hAnsi="Times New Roman" w:cs="Times New Roman"/>
          <w:i/>
          <w:color w:val="000000" w:themeColor="text1"/>
          <w:lang w:val="sq-AL"/>
        </w:rPr>
        <w:t>kufizimet financiare</w:t>
      </w:r>
      <w:r w:rsidRPr="008E7761">
        <w:rPr>
          <w:rFonts w:ascii="Times New Roman" w:hAnsi="Times New Roman" w:cs="Times New Roman"/>
          <w:color w:val="000000" w:themeColor="text1"/>
          <w:lang w:val="sq-AL"/>
        </w:rPr>
        <w:t xml:space="preserve">. Në masën më të madhe (73%), bizneset raportojnë se do t’i përballojnë kufizimet financiare me kredi bankare dhe një pjesë (18%) me porosi me parapagim.  </w:t>
      </w:r>
    </w:p>
    <w:p w:rsidR="007015C1" w:rsidRDefault="007015C1" w:rsidP="007015C1">
      <w:pPr>
        <w:spacing w:after="0"/>
        <w:contextualSpacing/>
        <w:jc w:val="both"/>
        <w:rPr>
          <w:rFonts w:ascii="Times New Roman" w:hAnsi="Times New Roman" w:cs="Times New Roman"/>
          <w:b/>
          <w:color w:val="000000" w:themeColor="text1"/>
          <w:lang w:val="sq-AL"/>
        </w:rPr>
      </w:pPr>
    </w:p>
    <w:p w:rsidR="007015C1" w:rsidRPr="008E7761" w:rsidRDefault="007015C1" w:rsidP="007015C1">
      <w:pPr>
        <w:spacing w:after="0"/>
        <w:contextualSpacing/>
        <w:jc w:val="both"/>
        <w:rPr>
          <w:rFonts w:ascii="Times New Roman" w:hAnsi="Times New Roman" w:cs="Times New Roman"/>
          <w:b/>
          <w:color w:val="000000" w:themeColor="text1"/>
          <w:lang w:val="sq-AL"/>
        </w:rPr>
      </w:pPr>
      <w:r w:rsidRPr="008E7761">
        <w:rPr>
          <w:rFonts w:ascii="Times New Roman" w:hAnsi="Times New Roman" w:cs="Times New Roman"/>
          <w:b/>
          <w:color w:val="000000" w:themeColor="text1"/>
          <w:lang w:val="sq-AL"/>
        </w:rPr>
        <w:t>Sektori i shërbimeve</w:t>
      </w:r>
    </w:p>
    <w:p w:rsidR="007015C1" w:rsidRPr="008E7761" w:rsidRDefault="007015C1" w:rsidP="007015C1">
      <w:pPr>
        <w:spacing w:after="0"/>
        <w:contextualSpacing/>
        <w:jc w:val="both"/>
        <w:rPr>
          <w:rFonts w:ascii="Times New Roman" w:hAnsi="Times New Roman" w:cs="Times New Roman"/>
          <w:b/>
          <w:color w:val="000000" w:themeColor="text1"/>
          <w:lang w:val="sq-AL"/>
        </w:rPr>
      </w:pPr>
    </w:p>
    <w:p w:rsidR="007015C1" w:rsidRDefault="007015C1" w:rsidP="007015C1">
      <w:pPr>
        <w:spacing w:after="0"/>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Treguesi i besimit në sektorin e shërbimeve (</w:t>
      </w:r>
      <w:proofErr w:type="spellStart"/>
      <w:r w:rsidRPr="008E7761">
        <w:rPr>
          <w:rFonts w:ascii="Times New Roman" w:hAnsi="Times New Roman" w:cs="Times New Roman"/>
          <w:color w:val="000000" w:themeColor="text1"/>
          <w:lang w:val="sq-AL"/>
        </w:rPr>
        <w:t>TBSh</w:t>
      </w:r>
      <w:proofErr w:type="spellEnd"/>
      <w:r w:rsidRPr="008E7761">
        <w:rPr>
          <w:rFonts w:ascii="Times New Roman" w:hAnsi="Times New Roman" w:cs="Times New Roman"/>
          <w:color w:val="000000" w:themeColor="text1"/>
          <w:lang w:val="sq-AL"/>
        </w:rPr>
        <w:t>) u rrit me 3.7 pikë përqindje në tremujorin e dytë. Kontributin kryesor në përmirësimin e TBSH</w:t>
      </w:r>
      <w:r w:rsidR="00984A6E">
        <w:rPr>
          <w:rFonts w:ascii="Times New Roman" w:hAnsi="Times New Roman" w:cs="Times New Roman"/>
          <w:color w:val="000000" w:themeColor="text1"/>
          <w:lang w:val="sq-AL"/>
        </w:rPr>
        <w:t>-së</w:t>
      </w:r>
      <w:r w:rsidRPr="008E7761">
        <w:rPr>
          <w:rFonts w:ascii="Times New Roman" w:hAnsi="Times New Roman" w:cs="Times New Roman"/>
          <w:color w:val="000000" w:themeColor="text1"/>
          <w:lang w:val="sq-AL"/>
        </w:rPr>
        <w:t xml:space="preserve"> e </w:t>
      </w:r>
      <w:r>
        <w:rPr>
          <w:rFonts w:ascii="Times New Roman" w:hAnsi="Times New Roman" w:cs="Times New Roman"/>
          <w:color w:val="000000" w:themeColor="text1"/>
          <w:lang w:val="sq-AL"/>
        </w:rPr>
        <w:t xml:space="preserve">dha rritja e balancës për vlerësimin </w:t>
      </w:r>
      <w:r w:rsidRPr="00391C1D">
        <w:rPr>
          <w:rFonts w:ascii="Times New Roman" w:hAnsi="Times New Roman" w:cs="Times New Roman"/>
          <w:i/>
          <w:color w:val="000000" w:themeColor="text1"/>
          <w:lang w:val="sq-AL"/>
        </w:rPr>
        <w:t>e situatës së përgjithshme të biznesit</w:t>
      </w:r>
      <w:r w:rsidRPr="008E7761">
        <w:rPr>
          <w:rFonts w:ascii="Times New Roman" w:hAnsi="Times New Roman" w:cs="Times New Roman"/>
          <w:color w:val="000000" w:themeColor="text1"/>
          <w:lang w:val="sq-AL"/>
        </w:rPr>
        <w:t>. Gjithashtu</w:t>
      </w:r>
      <w:r>
        <w:rPr>
          <w:rFonts w:ascii="Times New Roman" w:hAnsi="Times New Roman" w:cs="Times New Roman"/>
          <w:color w:val="000000" w:themeColor="text1"/>
          <w:lang w:val="sq-AL"/>
        </w:rPr>
        <w:t>, bizneset në sektorin e shërbimeve vlerësuan të përmirësuar</w:t>
      </w:r>
      <w:r w:rsidRPr="008E7761">
        <w:rPr>
          <w:rFonts w:ascii="Times New Roman" w:hAnsi="Times New Roman" w:cs="Times New Roman"/>
          <w:color w:val="000000" w:themeColor="text1"/>
          <w:lang w:val="sq-AL"/>
        </w:rPr>
        <w:t xml:space="preserve"> </w:t>
      </w:r>
      <w:r w:rsidRPr="00391C1D">
        <w:rPr>
          <w:rFonts w:ascii="Times New Roman" w:hAnsi="Times New Roman" w:cs="Times New Roman"/>
          <w:i/>
          <w:color w:val="000000" w:themeColor="text1"/>
          <w:lang w:val="sq-AL"/>
        </w:rPr>
        <w:t>k</w:t>
      </w:r>
      <w:r>
        <w:rPr>
          <w:rFonts w:ascii="Times New Roman" w:hAnsi="Times New Roman" w:cs="Times New Roman"/>
          <w:i/>
          <w:color w:val="000000" w:themeColor="text1"/>
          <w:lang w:val="sq-AL"/>
        </w:rPr>
        <w:t>ë</w:t>
      </w:r>
      <w:r w:rsidRPr="00391C1D">
        <w:rPr>
          <w:rFonts w:ascii="Times New Roman" w:hAnsi="Times New Roman" w:cs="Times New Roman"/>
          <w:i/>
          <w:color w:val="000000" w:themeColor="text1"/>
          <w:lang w:val="sq-AL"/>
        </w:rPr>
        <w:t>rkes</w:t>
      </w:r>
      <w:r>
        <w:rPr>
          <w:rFonts w:ascii="Times New Roman" w:hAnsi="Times New Roman" w:cs="Times New Roman"/>
          <w:i/>
          <w:color w:val="000000" w:themeColor="text1"/>
          <w:lang w:val="sq-AL"/>
        </w:rPr>
        <w:t>ë</w:t>
      </w:r>
      <w:r w:rsidRPr="00391C1D">
        <w:rPr>
          <w:rFonts w:ascii="Times New Roman" w:hAnsi="Times New Roman" w:cs="Times New Roman"/>
          <w:i/>
          <w:color w:val="000000" w:themeColor="text1"/>
          <w:lang w:val="sq-AL"/>
        </w:rPr>
        <w:t>n</w:t>
      </w:r>
      <w:r>
        <w:rPr>
          <w:rFonts w:ascii="Times New Roman" w:hAnsi="Times New Roman" w:cs="Times New Roman"/>
          <w:color w:val="000000" w:themeColor="text1"/>
          <w:lang w:val="sq-AL"/>
        </w:rPr>
        <w:t xml:space="preserve"> dhe </w:t>
      </w:r>
      <w:r w:rsidRPr="008E7761">
        <w:rPr>
          <w:rFonts w:ascii="Times New Roman" w:hAnsi="Times New Roman" w:cs="Times New Roman"/>
          <w:i/>
          <w:color w:val="000000" w:themeColor="text1"/>
          <w:lang w:val="sq-AL"/>
        </w:rPr>
        <w:t>gjendj</w:t>
      </w:r>
      <w:r>
        <w:rPr>
          <w:rFonts w:ascii="Times New Roman" w:hAnsi="Times New Roman" w:cs="Times New Roman"/>
          <w:i/>
          <w:color w:val="000000" w:themeColor="text1"/>
          <w:lang w:val="sq-AL"/>
        </w:rPr>
        <w:t xml:space="preserve">en </w:t>
      </w:r>
      <w:r w:rsidRPr="008E7761">
        <w:rPr>
          <w:rFonts w:ascii="Times New Roman" w:hAnsi="Times New Roman" w:cs="Times New Roman"/>
          <w:i/>
          <w:color w:val="000000" w:themeColor="text1"/>
          <w:lang w:val="sq-AL"/>
        </w:rPr>
        <w:t xml:space="preserve"> financiare</w:t>
      </w:r>
      <w:r>
        <w:rPr>
          <w:rFonts w:ascii="Times New Roman" w:hAnsi="Times New Roman" w:cs="Times New Roman"/>
          <w:i/>
          <w:color w:val="000000" w:themeColor="text1"/>
          <w:lang w:val="sq-AL"/>
        </w:rPr>
        <w:t xml:space="preserve">. </w:t>
      </w:r>
      <w:r w:rsidRPr="008E7761">
        <w:rPr>
          <w:rFonts w:ascii="Times New Roman" w:hAnsi="Times New Roman" w:cs="Times New Roman"/>
          <w:color w:val="000000" w:themeColor="text1"/>
          <w:lang w:val="sq-AL"/>
        </w:rPr>
        <w:t xml:space="preserve"> </w:t>
      </w:r>
    </w:p>
    <w:p w:rsidR="007015C1" w:rsidRPr="008E7761" w:rsidRDefault="007015C1" w:rsidP="007015C1">
      <w:pPr>
        <w:spacing w:after="0"/>
        <w:contextualSpacing/>
        <w:jc w:val="both"/>
        <w:rPr>
          <w:rFonts w:ascii="Times New Roman" w:hAnsi="Times New Roman" w:cs="Times New Roman"/>
          <w:color w:val="000000" w:themeColor="text1"/>
          <w:sz w:val="10"/>
          <w:lang w:val="sq-AL"/>
        </w:rPr>
      </w:pPr>
    </w:p>
    <w:p w:rsidR="007015C1" w:rsidRPr="008E7761" w:rsidRDefault="007015C1" w:rsidP="009A0A15">
      <w:pPr>
        <w:pStyle w:val="ListParagraph"/>
        <w:numPr>
          <w:ilvl w:val="0"/>
          <w:numId w:val="1"/>
        </w:numPr>
        <w:tabs>
          <w:tab w:val="left" w:pos="0"/>
          <w:tab w:val="left" w:pos="270"/>
          <w:tab w:val="left" w:pos="1170"/>
        </w:tabs>
        <w:spacing w:after="60" w:line="240" w:lineRule="auto"/>
        <w:ind w:left="357" w:firstLine="539"/>
        <w:jc w:val="both"/>
        <w:rPr>
          <w:rFonts w:ascii="Times New Roman" w:hAnsi="Times New Roman" w:cs="Times New Roman"/>
          <w:color w:val="000000" w:themeColor="text1"/>
          <w:sz w:val="20"/>
          <w:szCs w:val="20"/>
          <w:lang w:val="sq-AL"/>
        </w:rPr>
      </w:pPr>
      <w:r w:rsidRPr="008E7761">
        <w:rPr>
          <w:rFonts w:ascii="Times New Roman" w:hAnsi="Times New Roman" w:cs="Times New Roman"/>
          <w:color w:val="000000" w:themeColor="text1"/>
          <w:sz w:val="20"/>
          <w:szCs w:val="20"/>
          <w:lang w:val="sq-AL"/>
        </w:rPr>
        <w:t>Treguesi i besimit në shërbime (</w:t>
      </w:r>
      <w:proofErr w:type="spellStart"/>
      <w:r w:rsidRPr="008E7761">
        <w:rPr>
          <w:rFonts w:ascii="Times New Roman" w:hAnsi="Times New Roman" w:cs="Times New Roman"/>
          <w:color w:val="000000" w:themeColor="text1"/>
          <w:sz w:val="20"/>
          <w:szCs w:val="20"/>
          <w:lang w:val="sq-AL"/>
        </w:rPr>
        <w:t>TBSh</w:t>
      </w:r>
      <w:proofErr w:type="spellEnd"/>
      <w:r w:rsidRPr="008E7761">
        <w:rPr>
          <w:rFonts w:ascii="Times New Roman" w:hAnsi="Times New Roman" w:cs="Times New Roman"/>
          <w:color w:val="000000" w:themeColor="text1"/>
          <w:sz w:val="20"/>
          <w:szCs w:val="20"/>
          <w:lang w:val="sq-AL"/>
        </w:rPr>
        <w:t>)</w:t>
      </w:r>
    </w:p>
    <w:p w:rsidR="007015C1" w:rsidRPr="008E7761" w:rsidRDefault="007015C1" w:rsidP="007015C1">
      <w:pPr>
        <w:spacing w:after="0"/>
        <w:contextualSpacing/>
        <w:jc w:val="both"/>
        <w:rPr>
          <w:rFonts w:ascii="Times New Roman" w:hAnsi="Times New Roman" w:cs="Times New Roman"/>
          <w:color w:val="000000" w:themeColor="text1"/>
          <w:sz w:val="24"/>
          <w:szCs w:val="24"/>
          <w:lang w:val="sq-AL"/>
        </w:rPr>
      </w:pPr>
      <w:r w:rsidRPr="008E7761">
        <w:rPr>
          <w:rFonts w:ascii="Times New Roman" w:hAnsi="Times New Roman" w:cs="Times New Roman"/>
          <w:noProof/>
          <w:color w:val="000000" w:themeColor="text1"/>
          <w:lang w:val="sq-AL" w:eastAsia="sq-AL"/>
        </w:rPr>
        <w:drawing>
          <wp:inline distT="0" distB="0" distL="0" distR="0" wp14:anchorId="56883068" wp14:editId="41B5DC79">
            <wp:extent cx="4531057" cy="171961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805" cy="1719902"/>
                    </a:xfrm>
                    <a:prstGeom prst="rect">
                      <a:avLst/>
                    </a:prstGeom>
                    <a:noFill/>
                    <a:ln>
                      <a:noFill/>
                    </a:ln>
                  </pic:spPr>
                </pic:pic>
              </a:graphicData>
            </a:graphic>
          </wp:inline>
        </w:drawing>
      </w:r>
    </w:p>
    <w:p w:rsidR="007015C1" w:rsidRPr="008E7761" w:rsidRDefault="007015C1" w:rsidP="007015C1">
      <w:pPr>
        <w:spacing w:after="0"/>
        <w:contextualSpacing/>
        <w:jc w:val="both"/>
        <w:rPr>
          <w:rFonts w:ascii="Times New Roman" w:hAnsi="Times New Roman" w:cs="Times New Roman"/>
          <w:color w:val="000000" w:themeColor="text1"/>
          <w:sz w:val="18"/>
          <w:szCs w:val="18"/>
          <w:lang w:val="sq-AL"/>
        </w:rPr>
      </w:pPr>
      <w:r w:rsidRPr="008E7761">
        <w:rPr>
          <w:rFonts w:ascii="Times New Roman" w:hAnsi="Times New Roman" w:cs="Times New Roman"/>
          <w:color w:val="000000" w:themeColor="text1"/>
          <w:sz w:val="18"/>
          <w:szCs w:val="18"/>
          <w:lang w:val="sq-AL"/>
        </w:rPr>
        <w:t>Burimi: Vrojtimi i besimit të biznesit, Banka e Shqipërisë.</w:t>
      </w:r>
    </w:p>
    <w:p w:rsidR="007015C1" w:rsidRDefault="007015C1" w:rsidP="007015C1">
      <w:pPr>
        <w:spacing w:after="0"/>
        <w:contextualSpacing/>
        <w:jc w:val="both"/>
        <w:rPr>
          <w:rFonts w:ascii="Times New Roman" w:hAnsi="Times New Roman" w:cs="Times New Roman"/>
          <w:color w:val="000000" w:themeColor="text1"/>
          <w:u w:val="single"/>
          <w:lang w:val="sq-AL"/>
        </w:rPr>
      </w:pPr>
    </w:p>
    <w:p w:rsidR="007015C1" w:rsidRPr="008E7761" w:rsidRDefault="007015C1" w:rsidP="007015C1">
      <w:pPr>
        <w:spacing w:after="0"/>
        <w:contextualSpacing/>
        <w:jc w:val="both"/>
        <w:rPr>
          <w:rFonts w:ascii="Times New Roman" w:hAnsi="Times New Roman" w:cs="Times New Roman"/>
          <w:color w:val="000000" w:themeColor="text1"/>
          <w:u w:val="single"/>
          <w:lang w:val="sq-AL"/>
        </w:rPr>
      </w:pPr>
      <w:r w:rsidRPr="008E7761">
        <w:rPr>
          <w:rFonts w:ascii="Times New Roman" w:hAnsi="Times New Roman" w:cs="Times New Roman"/>
          <w:color w:val="000000" w:themeColor="text1"/>
          <w:u w:val="single"/>
          <w:lang w:val="sq-AL"/>
        </w:rPr>
        <w:lastRenderedPageBreak/>
        <w:t xml:space="preserve">Në vijim, analiza e disa treguesve që nuk përfshihen në ndërtimin e </w:t>
      </w:r>
      <w:proofErr w:type="spellStart"/>
      <w:r w:rsidRPr="008E7761">
        <w:rPr>
          <w:rFonts w:ascii="Times New Roman" w:hAnsi="Times New Roman" w:cs="Times New Roman"/>
          <w:color w:val="000000" w:themeColor="text1"/>
          <w:u w:val="single"/>
          <w:lang w:val="sq-AL"/>
        </w:rPr>
        <w:t>TBSh</w:t>
      </w:r>
      <w:proofErr w:type="spellEnd"/>
      <w:r w:rsidRPr="008E7761">
        <w:rPr>
          <w:rFonts w:ascii="Times New Roman" w:hAnsi="Times New Roman" w:cs="Times New Roman"/>
          <w:color w:val="000000" w:themeColor="text1"/>
          <w:u w:val="single"/>
          <w:lang w:val="sq-AL"/>
        </w:rPr>
        <w:t>-së:</w:t>
      </w:r>
    </w:p>
    <w:p w:rsidR="007015C1" w:rsidRPr="008E7761" w:rsidRDefault="007015C1" w:rsidP="007015C1">
      <w:pPr>
        <w:spacing w:after="0"/>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 xml:space="preserve">Në kontrast me situatën e përmirësuar të biznesit të tyre, situata e përgjithshme e </w:t>
      </w:r>
      <w:r w:rsidRPr="008E7761">
        <w:rPr>
          <w:rFonts w:ascii="Times New Roman" w:hAnsi="Times New Roman" w:cs="Times New Roman"/>
          <w:i/>
          <w:color w:val="000000" w:themeColor="text1"/>
          <w:lang w:val="sq-AL"/>
        </w:rPr>
        <w:t xml:space="preserve">ekonomisë </w:t>
      </w:r>
      <w:r w:rsidR="00933C94">
        <w:rPr>
          <w:rFonts w:ascii="Times New Roman" w:hAnsi="Times New Roman" w:cs="Times New Roman"/>
          <w:color w:val="000000" w:themeColor="text1"/>
          <w:lang w:val="sq-AL"/>
        </w:rPr>
        <w:t>në vend vlerësohet në rënie;</w:t>
      </w:r>
      <w:r w:rsidRPr="008E7761">
        <w:rPr>
          <w:rFonts w:ascii="Times New Roman" w:hAnsi="Times New Roman" w:cs="Times New Roman"/>
          <w:color w:val="000000" w:themeColor="text1"/>
          <w:lang w:val="sq-AL"/>
        </w:rPr>
        <w:t xml:space="preserve"> balanca përkatëse ra me 6.3 pikë përqindje.</w:t>
      </w:r>
      <w:r>
        <w:rPr>
          <w:rFonts w:ascii="Times New Roman" w:hAnsi="Times New Roman" w:cs="Times New Roman"/>
          <w:color w:val="000000" w:themeColor="text1"/>
          <w:lang w:val="sq-AL"/>
        </w:rPr>
        <w:t xml:space="preserve"> </w:t>
      </w:r>
      <w:r w:rsidRPr="007841F9">
        <w:rPr>
          <w:rFonts w:ascii="Times New Roman" w:hAnsi="Times New Roman" w:cs="Times New Roman"/>
          <w:i/>
          <w:color w:val="000000" w:themeColor="text1"/>
          <w:lang w:val="sq-AL"/>
        </w:rPr>
        <w:t xml:space="preserve">Çmimet e </w:t>
      </w:r>
      <w:r>
        <w:rPr>
          <w:rFonts w:ascii="Times New Roman" w:hAnsi="Times New Roman" w:cs="Times New Roman"/>
          <w:i/>
          <w:color w:val="000000" w:themeColor="text1"/>
          <w:lang w:val="sq-AL"/>
        </w:rPr>
        <w:t xml:space="preserve">shërbimeve </w:t>
      </w:r>
      <w:r>
        <w:rPr>
          <w:rFonts w:ascii="Times New Roman" w:hAnsi="Times New Roman" w:cs="Times New Roman"/>
          <w:color w:val="000000" w:themeColor="text1"/>
          <w:lang w:val="sq-AL"/>
        </w:rPr>
        <w:t>vlerësohen të pa</w:t>
      </w:r>
      <w:r w:rsidRPr="008E7761">
        <w:rPr>
          <w:rFonts w:ascii="Times New Roman" w:hAnsi="Times New Roman" w:cs="Times New Roman"/>
          <w:color w:val="000000" w:themeColor="text1"/>
          <w:lang w:val="sq-AL"/>
        </w:rPr>
        <w:t xml:space="preserve">ndryshuar nga tremujori i kaluar. </w:t>
      </w:r>
      <w:r>
        <w:rPr>
          <w:rFonts w:ascii="Times New Roman" w:hAnsi="Times New Roman" w:cs="Times New Roman"/>
          <w:color w:val="000000" w:themeColor="text1"/>
          <w:lang w:val="sq-AL"/>
        </w:rPr>
        <w:t>Bizneset në sektorin e shërbimeve vlerësojnë në përmirësim situatën e punësimit përgjatë tremujorit të dytë.</w:t>
      </w:r>
    </w:p>
    <w:p w:rsidR="007015C1" w:rsidRPr="008E7761" w:rsidRDefault="007015C1" w:rsidP="007015C1">
      <w:pPr>
        <w:spacing w:after="0"/>
        <w:contextualSpacing/>
        <w:jc w:val="both"/>
        <w:rPr>
          <w:rFonts w:ascii="Times New Roman" w:hAnsi="Times New Roman" w:cs="Times New Roman"/>
          <w:color w:val="000000" w:themeColor="text1"/>
          <w:lang w:val="sq-AL"/>
        </w:rPr>
      </w:pPr>
    </w:p>
    <w:p w:rsidR="007015C1" w:rsidRPr="008E7761" w:rsidRDefault="007015C1" w:rsidP="007015C1">
      <w:pPr>
        <w:spacing w:after="0"/>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 xml:space="preserve">Norma e </w:t>
      </w:r>
      <w:r w:rsidRPr="008E7761">
        <w:rPr>
          <w:rFonts w:ascii="Times New Roman" w:hAnsi="Times New Roman" w:cs="Times New Roman"/>
          <w:i/>
          <w:color w:val="000000" w:themeColor="text1"/>
          <w:lang w:val="sq-AL"/>
        </w:rPr>
        <w:t>shfrytëzimit të kapaciteteve</w:t>
      </w:r>
      <w:r w:rsidRPr="008E7761">
        <w:rPr>
          <w:rFonts w:ascii="Times New Roman" w:hAnsi="Times New Roman" w:cs="Times New Roman"/>
          <w:color w:val="000000" w:themeColor="text1"/>
          <w:lang w:val="sq-AL"/>
        </w:rPr>
        <w:t xml:space="preserve"> në këtë sektor rezultoi 77.4%. Kjo normë është 3.4 pikë</w:t>
      </w:r>
      <w:r w:rsidR="008055C1">
        <w:rPr>
          <w:rFonts w:ascii="Times New Roman" w:hAnsi="Times New Roman" w:cs="Times New Roman"/>
          <w:color w:val="000000" w:themeColor="text1"/>
          <w:lang w:val="sq-AL"/>
        </w:rPr>
        <w:t xml:space="preserve"> përqindje</w:t>
      </w:r>
      <w:r w:rsidRPr="008E7761">
        <w:rPr>
          <w:rFonts w:ascii="Times New Roman" w:hAnsi="Times New Roman" w:cs="Times New Roman"/>
          <w:color w:val="000000" w:themeColor="text1"/>
          <w:lang w:val="sq-AL"/>
        </w:rPr>
        <w:t xml:space="preserve"> më e lartë se tremujori i dytë i një viti më parë dhe 1.4 pikë </w:t>
      </w:r>
      <w:r w:rsidR="008055C1">
        <w:rPr>
          <w:rFonts w:ascii="Times New Roman" w:hAnsi="Times New Roman" w:cs="Times New Roman"/>
          <w:color w:val="000000" w:themeColor="text1"/>
          <w:lang w:val="sq-AL"/>
        </w:rPr>
        <w:t xml:space="preserve">përqindje </w:t>
      </w:r>
      <w:r w:rsidRPr="008E7761">
        <w:rPr>
          <w:rFonts w:ascii="Times New Roman" w:hAnsi="Times New Roman" w:cs="Times New Roman"/>
          <w:color w:val="000000" w:themeColor="text1"/>
          <w:lang w:val="sq-AL"/>
        </w:rPr>
        <w:t>më e lartë sesa mesatarja historike.</w:t>
      </w:r>
    </w:p>
    <w:p w:rsidR="007015C1" w:rsidRPr="008E7761" w:rsidRDefault="007015C1" w:rsidP="007015C1">
      <w:pPr>
        <w:spacing w:after="0"/>
        <w:contextualSpacing/>
        <w:jc w:val="both"/>
        <w:rPr>
          <w:rFonts w:ascii="Times New Roman" w:hAnsi="Times New Roman" w:cs="Times New Roman"/>
          <w:b/>
          <w:color w:val="000000" w:themeColor="text1"/>
          <w:sz w:val="24"/>
          <w:szCs w:val="24"/>
          <w:lang w:val="sq-AL"/>
        </w:rPr>
      </w:pPr>
    </w:p>
    <w:p w:rsidR="007015C1" w:rsidRPr="008E7761" w:rsidRDefault="007015C1" w:rsidP="007015C1">
      <w:pPr>
        <w:spacing w:after="0"/>
        <w:contextualSpacing/>
        <w:jc w:val="both"/>
        <w:rPr>
          <w:rFonts w:ascii="Times New Roman" w:hAnsi="Times New Roman" w:cs="Times New Roman"/>
          <w:b/>
          <w:color w:val="000000" w:themeColor="text1"/>
          <w:lang w:val="sq-AL"/>
        </w:rPr>
      </w:pPr>
      <w:r w:rsidRPr="008E7761">
        <w:rPr>
          <w:rFonts w:ascii="Times New Roman" w:hAnsi="Times New Roman" w:cs="Times New Roman"/>
          <w:b/>
          <w:color w:val="000000" w:themeColor="text1"/>
          <w:lang w:val="sq-AL"/>
        </w:rPr>
        <w:t>Sektori i tregtisë</w:t>
      </w:r>
    </w:p>
    <w:p w:rsidR="007015C1" w:rsidRPr="008E7761" w:rsidRDefault="007015C1" w:rsidP="007015C1">
      <w:pPr>
        <w:spacing w:after="0"/>
        <w:contextualSpacing/>
        <w:jc w:val="both"/>
        <w:rPr>
          <w:rFonts w:ascii="Times New Roman" w:hAnsi="Times New Roman" w:cs="Times New Roman"/>
          <w:b/>
          <w:color w:val="000000" w:themeColor="text1"/>
          <w:lang w:val="sq-AL"/>
        </w:rPr>
      </w:pPr>
    </w:p>
    <w:p w:rsidR="007015C1" w:rsidRPr="008E7761" w:rsidRDefault="007015C1" w:rsidP="007015C1">
      <w:pPr>
        <w:spacing w:after="0"/>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 xml:space="preserve">Treguesi i besimit në tregti (TBT) regjistroi rënie me 1.4 pikë përqindje në tremujorin e dytë. Rënia u përcaktua vetëm nga keqësimi i situatës së </w:t>
      </w:r>
      <w:r w:rsidRPr="00391C1D">
        <w:rPr>
          <w:rFonts w:ascii="Times New Roman" w:hAnsi="Times New Roman" w:cs="Times New Roman"/>
          <w:i/>
          <w:color w:val="000000" w:themeColor="text1"/>
          <w:lang w:val="sq-AL"/>
        </w:rPr>
        <w:t>punësimit</w:t>
      </w:r>
      <w:r w:rsidRPr="008E7761">
        <w:rPr>
          <w:rFonts w:ascii="Times New Roman" w:hAnsi="Times New Roman" w:cs="Times New Roman"/>
          <w:color w:val="000000" w:themeColor="text1"/>
          <w:lang w:val="sq-AL"/>
        </w:rPr>
        <w:t xml:space="preserve"> (balanca ra me 9.2 pikë përqindje). Dy komponentët e tjerë të TBT</w:t>
      </w:r>
      <w:r w:rsidR="00984A6E">
        <w:rPr>
          <w:rFonts w:ascii="Times New Roman" w:hAnsi="Times New Roman" w:cs="Times New Roman"/>
          <w:color w:val="000000" w:themeColor="text1"/>
          <w:lang w:val="sq-AL"/>
        </w:rPr>
        <w:t>-së</w:t>
      </w:r>
      <w:r w:rsidRPr="008E7761">
        <w:rPr>
          <w:rFonts w:ascii="Times New Roman" w:hAnsi="Times New Roman" w:cs="Times New Roman"/>
          <w:color w:val="000000" w:themeColor="text1"/>
          <w:lang w:val="sq-AL"/>
        </w:rPr>
        <w:t>, balanc</w:t>
      </w:r>
      <w:r w:rsidR="00933C94">
        <w:rPr>
          <w:rFonts w:ascii="Times New Roman" w:hAnsi="Times New Roman" w:cs="Times New Roman"/>
          <w:color w:val="000000" w:themeColor="text1"/>
          <w:lang w:val="sq-AL"/>
        </w:rPr>
        <w:t>a</w:t>
      </w:r>
      <w:r w:rsidRPr="008E7761">
        <w:rPr>
          <w:rFonts w:ascii="Times New Roman" w:hAnsi="Times New Roman" w:cs="Times New Roman"/>
          <w:color w:val="000000" w:themeColor="text1"/>
          <w:lang w:val="sq-AL"/>
        </w:rPr>
        <w:t xml:space="preserve"> e </w:t>
      </w:r>
      <w:r w:rsidRPr="007841F9">
        <w:rPr>
          <w:rFonts w:ascii="Times New Roman" w:hAnsi="Times New Roman" w:cs="Times New Roman"/>
          <w:i/>
          <w:color w:val="000000" w:themeColor="text1"/>
          <w:lang w:val="sq-AL"/>
        </w:rPr>
        <w:t>gjendjes financiare</w:t>
      </w:r>
      <w:r w:rsidRPr="008E7761">
        <w:rPr>
          <w:rFonts w:ascii="Times New Roman" w:hAnsi="Times New Roman" w:cs="Times New Roman"/>
          <w:color w:val="000000" w:themeColor="text1"/>
          <w:lang w:val="sq-AL"/>
        </w:rPr>
        <w:t xml:space="preserve"> dhe balanca e </w:t>
      </w:r>
      <w:r w:rsidRPr="007841F9">
        <w:rPr>
          <w:rFonts w:ascii="Times New Roman" w:hAnsi="Times New Roman" w:cs="Times New Roman"/>
          <w:i/>
          <w:color w:val="000000" w:themeColor="text1"/>
          <w:lang w:val="sq-AL"/>
        </w:rPr>
        <w:t>gjendjes së biznesit</w:t>
      </w:r>
      <w:r w:rsidR="00933C94">
        <w:rPr>
          <w:rFonts w:ascii="Times New Roman" w:hAnsi="Times New Roman" w:cs="Times New Roman"/>
          <w:i/>
          <w:color w:val="000000" w:themeColor="text1"/>
          <w:lang w:val="sq-AL"/>
        </w:rPr>
        <w:t>,</w:t>
      </w:r>
      <w:r w:rsidRPr="008E7761">
        <w:rPr>
          <w:rFonts w:ascii="Times New Roman" w:hAnsi="Times New Roman" w:cs="Times New Roman"/>
          <w:color w:val="000000" w:themeColor="text1"/>
          <w:lang w:val="sq-AL"/>
        </w:rPr>
        <w:t xml:space="preserve"> u rritën me përkatësisht 0.1 dhe 4.9 pikë përqindje. </w:t>
      </w:r>
    </w:p>
    <w:p w:rsidR="007015C1" w:rsidRPr="008E7761" w:rsidRDefault="007015C1" w:rsidP="007015C1">
      <w:pPr>
        <w:spacing w:after="0"/>
        <w:contextualSpacing/>
        <w:jc w:val="both"/>
        <w:rPr>
          <w:rFonts w:ascii="Times New Roman" w:hAnsi="Times New Roman" w:cs="Times New Roman"/>
          <w:color w:val="000000" w:themeColor="text1"/>
          <w:lang w:val="sq-AL"/>
        </w:rPr>
      </w:pPr>
    </w:p>
    <w:p w:rsidR="007015C1" w:rsidRPr="008E7761" w:rsidRDefault="007015C1" w:rsidP="009A0A15">
      <w:pPr>
        <w:pStyle w:val="ListParagraph"/>
        <w:numPr>
          <w:ilvl w:val="0"/>
          <w:numId w:val="1"/>
        </w:numPr>
        <w:tabs>
          <w:tab w:val="left" w:pos="0"/>
          <w:tab w:val="left" w:pos="270"/>
          <w:tab w:val="left" w:pos="1170"/>
        </w:tabs>
        <w:spacing w:after="60" w:line="240" w:lineRule="auto"/>
        <w:ind w:left="357" w:firstLine="539"/>
        <w:jc w:val="both"/>
        <w:rPr>
          <w:rFonts w:ascii="Times New Roman" w:hAnsi="Times New Roman" w:cs="Times New Roman"/>
          <w:color w:val="000000" w:themeColor="text1"/>
          <w:sz w:val="20"/>
          <w:szCs w:val="20"/>
          <w:lang w:val="sq-AL"/>
        </w:rPr>
      </w:pPr>
      <w:r w:rsidRPr="008E7761">
        <w:rPr>
          <w:rFonts w:ascii="Times New Roman" w:hAnsi="Times New Roman" w:cs="Times New Roman"/>
          <w:color w:val="000000" w:themeColor="text1"/>
          <w:sz w:val="20"/>
          <w:szCs w:val="20"/>
          <w:lang w:val="sq-AL"/>
        </w:rPr>
        <w:t>Treguesi i besimit në tregti (TBT)</w:t>
      </w:r>
    </w:p>
    <w:p w:rsidR="007015C1" w:rsidRPr="008E7761" w:rsidRDefault="007015C1" w:rsidP="007015C1">
      <w:pPr>
        <w:spacing w:after="0"/>
        <w:contextualSpacing/>
        <w:jc w:val="both"/>
        <w:rPr>
          <w:rFonts w:ascii="Times New Roman" w:hAnsi="Times New Roman" w:cs="Times New Roman"/>
          <w:color w:val="000000" w:themeColor="text1"/>
          <w:sz w:val="24"/>
          <w:szCs w:val="24"/>
          <w:lang w:val="sq-AL"/>
        </w:rPr>
      </w:pPr>
      <w:r w:rsidRPr="008E7761">
        <w:rPr>
          <w:rFonts w:ascii="Times New Roman" w:hAnsi="Times New Roman" w:cs="Times New Roman"/>
          <w:noProof/>
          <w:color w:val="000000" w:themeColor="text1"/>
          <w:lang w:val="sq-AL" w:eastAsia="sq-AL"/>
        </w:rPr>
        <w:drawing>
          <wp:inline distT="0" distB="0" distL="0" distR="0" wp14:anchorId="0A903E51" wp14:editId="5AB35123">
            <wp:extent cx="4339988" cy="1842447"/>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2715" cy="1847850"/>
                    </a:xfrm>
                    <a:prstGeom prst="rect">
                      <a:avLst/>
                    </a:prstGeom>
                    <a:noFill/>
                    <a:ln>
                      <a:noFill/>
                    </a:ln>
                  </pic:spPr>
                </pic:pic>
              </a:graphicData>
            </a:graphic>
          </wp:inline>
        </w:drawing>
      </w:r>
    </w:p>
    <w:p w:rsidR="007015C1" w:rsidRPr="008E7761" w:rsidRDefault="007015C1" w:rsidP="007015C1">
      <w:pPr>
        <w:spacing w:after="0"/>
        <w:contextualSpacing/>
        <w:jc w:val="both"/>
        <w:rPr>
          <w:rFonts w:ascii="Times New Roman" w:hAnsi="Times New Roman" w:cs="Times New Roman"/>
          <w:color w:val="000000" w:themeColor="text1"/>
          <w:sz w:val="18"/>
          <w:szCs w:val="18"/>
          <w:lang w:val="sq-AL"/>
        </w:rPr>
      </w:pPr>
      <w:r w:rsidRPr="008E7761">
        <w:rPr>
          <w:rFonts w:ascii="Times New Roman" w:hAnsi="Times New Roman" w:cs="Times New Roman"/>
          <w:color w:val="000000" w:themeColor="text1"/>
          <w:sz w:val="18"/>
          <w:szCs w:val="18"/>
          <w:lang w:val="sq-AL"/>
        </w:rPr>
        <w:t>Burimi: Vrojtimi i besimit të biznesit, Banka e Shqipërisë.</w:t>
      </w:r>
    </w:p>
    <w:p w:rsidR="007015C1" w:rsidRPr="008E7761" w:rsidRDefault="007015C1" w:rsidP="007015C1">
      <w:pPr>
        <w:spacing w:after="0"/>
        <w:contextualSpacing/>
        <w:jc w:val="both"/>
        <w:rPr>
          <w:rFonts w:ascii="Times New Roman" w:hAnsi="Times New Roman" w:cs="Times New Roman"/>
          <w:color w:val="000000" w:themeColor="text1"/>
          <w:u w:val="single"/>
          <w:lang w:val="sq-AL"/>
        </w:rPr>
      </w:pPr>
    </w:p>
    <w:p w:rsidR="007015C1" w:rsidRPr="008E7761" w:rsidRDefault="007015C1" w:rsidP="007015C1">
      <w:pPr>
        <w:spacing w:after="0"/>
        <w:contextualSpacing/>
        <w:jc w:val="both"/>
        <w:rPr>
          <w:rFonts w:ascii="Times New Roman" w:hAnsi="Times New Roman" w:cs="Times New Roman"/>
          <w:color w:val="000000" w:themeColor="text1"/>
          <w:u w:val="single"/>
          <w:lang w:val="sq-AL"/>
        </w:rPr>
      </w:pPr>
      <w:r w:rsidRPr="008E7761">
        <w:rPr>
          <w:rFonts w:ascii="Times New Roman" w:hAnsi="Times New Roman" w:cs="Times New Roman"/>
          <w:color w:val="000000" w:themeColor="text1"/>
          <w:u w:val="single"/>
          <w:lang w:val="sq-AL"/>
        </w:rPr>
        <w:t>Në vijim, analiza e disa treguesve që nuk përfshihen në ndërtimin e TBT-së:</w:t>
      </w:r>
    </w:p>
    <w:p w:rsidR="007015C1" w:rsidRPr="008E7761" w:rsidRDefault="007015C1" w:rsidP="007015C1">
      <w:pPr>
        <w:spacing w:after="0"/>
        <w:contextualSpacing/>
        <w:jc w:val="both"/>
        <w:rPr>
          <w:rFonts w:ascii="Times New Roman" w:hAnsi="Times New Roman" w:cs="Times New Roman"/>
          <w:color w:val="000000" w:themeColor="text1"/>
          <w:u w:val="single"/>
          <w:lang w:val="sq-AL"/>
        </w:rPr>
      </w:pPr>
      <w:r w:rsidRPr="008E7761">
        <w:rPr>
          <w:rFonts w:ascii="Times New Roman" w:hAnsi="Times New Roman" w:cs="Times New Roman"/>
          <w:color w:val="000000" w:themeColor="text1"/>
          <w:lang w:val="sq-AL"/>
        </w:rPr>
        <w:t>Bizneset në sektorin e tregtisë kanë vlerësuar në rritje të lehtë s</w:t>
      </w:r>
      <w:r w:rsidRPr="008E7761">
        <w:rPr>
          <w:rFonts w:ascii="Times New Roman" w:hAnsi="Times New Roman" w:cs="Times New Roman"/>
          <w:i/>
          <w:color w:val="000000" w:themeColor="text1"/>
          <w:lang w:val="sq-AL"/>
        </w:rPr>
        <w:t>ituatën e ekonomisë</w:t>
      </w:r>
      <w:r w:rsidRPr="008E7761">
        <w:rPr>
          <w:rFonts w:ascii="Times New Roman" w:hAnsi="Times New Roman" w:cs="Times New Roman"/>
          <w:color w:val="000000" w:themeColor="text1"/>
          <w:lang w:val="sq-AL"/>
        </w:rPr>
        <w:t xml:space="preserve"> dhe </w:t>
      </w:r>
      <w:r w:rsidRPr="007841F9">
        <w:rPr>
          <w:rFonts w:ascii="Times New Roman" w:hAnsi="Times New Roman" w:cs="Times New Roman"/>
          <w:i/>
          <w:color w:val="000000" w:themeColor="text1"/>
          <w:lang w:val="sq-AL"/>
        </w:rPr>
        <w:t>kërkesën</w:t>
      </w:r>
      <w:r w:rsidRPr="008E7761">
        <w:rPr>
          <w:rFonts w:ascii="Times New Roman" w:hAnsi="Times New Roman" w:cs="Times New Roman"/>
          <w:color w:val="000000" w:themeColor="text1"/>
          <w:lang w:val="sq-AL"/>
        </w:rPr>
        <w:t xml:space="preserve"> në tremujorin e dytë të vitit. Balancat përkatëse u rritën me përkatësisht 0.1 dhe 0.8 pikë përqindje. </w:t>
      </w:r>
    </w:p>
    <w:p w:rsidR="007015C1" w:rsidRPr="008E7761" w:rsidRDefault="007015C1" w:rsidP="007015C1">
      <w:pPr>
        <w:spacing w:after="0"/>
        <w:contextualSpacing/>
        <w:jc w:val="both"/>
        <w:rPr>
          <w:rFonts w:ascii="Times New Roman" w:hAnsi="Times New Roman" w:cs="Times New Roman"/>
          <w:color w:val="000000" w:themeColor="text1"/>
          <w:lang w:val="sq-AL"/>
        </w:rPr>
      </w:pPr>
    </w:p>
    <w:p w:rsidR="007015C1" w:rsidRPr="008E7761" w:rsidRDefault="007015C1" w:rsidP="007015C1">
      <w:pPr>
        <w:spacing w:after="0"/>
        <w:contextualSpacing/>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 xml:space="preserve">Norma e </w:t>
      </w:r>
      <w:r w:rsidRPr="008E7761">
        <w:rPr>
          <w:rFonts w:ascii="Times New Roman" w:hAnsi="Times New Roman" w:cs="Times New Roman"/>
          <w:i/>
          <w:color w:val="000000" w:themeColor="text1"/>
          <w:lang w:val="sq-AL"/>
        </w:rPr>
        <w:t>shfrytëzimit të kapaciteteve</w:t>
      </w:r>
      <w:r w:rsidRPr="008E7761">
        <w:rPr>
          <w:rFonts w:ascii="Times New Roman" w:hAnsi="Times New Roman" w:cs="Times New Roman"/>
          <w:color w:val="000000" w:themeColor="text1"/>
          <w:lang w:val="sq-AL"/>
        </w:rPr>
        <w:t xml:space="preserve"> në tregti u ul në tremujorin e dytë</w:t>
      </w:r>
      <w:r w:rsidR="00933C94">
        <w:rPr>
          <w:rFonts w:ascii="Times New Roman" w:hAnsi="Times New Roman" w:cs="Times New Roman"/>
          <w:color w:val="000000" w:themeColor="text1"/>
          <w:lang w:val="sq-AL"/>
        </w:rPr>
        <w:t>,</w:t>
      </w:r>
      <w:r w:rsidRPr="008E7761">
        <w:rPr>
          <w:rFonts w:ascii="Times New Roman" w:hAnsi="Times New Roman" w:cs="Times New Roman"/>
          <w:color w:val="000000" w:themeColor="text1"/>
          <w:lang w:val="sq-AL"/>
        </w:rPr>
        <w:t xml:space="preserve"> duke qëndruar në nivelin 73.3%. Kjo normë është 4.4 pikë përqindje më e ulët se një vit më parë dhe </w:t>
      </w:r>
      <w:r>
        <w:rPr>
          <w:rFonts w:ascii="Times New Roman" w:hAnsi="Times New Roman" w:cs="Times New Roman"/>
          <w:color w:val="000000" w:themeColor="text1"/>
          <w:lang w:val="sq-AL"/>
        </w:rPr>
        <w:t>5.7</w:t>
      </w:r>
      <w:r w:rsidRPr="008E7761">
        <w:rPr>
          <w:rFonts w:ascii="Times New Roman" w:hAnsi="Times New Roman" w:cs="Times New Roman"/>
          <w:color w:val="000000" w:themeColor="text1"/>
          <w:lang w:val="sq-AL"/>
        </w:rPr>
        <w:t xml:space="preserve"> pikë përqindje nën mesataren historike. </w:t>
      </w:r>
    </w:p>
    <w:p w:rsidR="007015C1" w:rsidRPr="008E7761" w:rsidRDefault="007015C1" w:rsidP="007015C1">
      <w:pPr>
        <w:contextualSpacing/>
        <w:jc w:val="both"/>
        <w:rPr>
          <w:rFonts w:ascii="Times New Roman" w:hAnsi="Times New Roman" w:cs="Times New Roman"/>
          <w:b/>
          <w:color w:val="000000" w:themeColor="text1"/>
          <w:lang w:val="sq-AL"/>
        </w:rPr>
      </w:pPr>
    </w:p>
    <w:p w:rsidR="007015C1" w:rsidRPr="008E7761" w:rsidRDefault="007015C1" w:rsidP="007015C1">
      <w:pPr>
        <w:contextualSpacing/>
        <w:jc w:val="both"/>
        <w:rPr>
          <w:rFonts w:ascii="Times New Roman" w:hAnsi="Times New Roman" w:cs="Times New Roman"/>
          <w:b/>
          <w:color w:val="000000" w:themeColor="text1"/>
          <w:lang w:val="sq-AL"/>
        </w:rPr>
      </w:pPr>
      <w:r w:rsidRPr="008E7761">
        <w:rPr>
          <w:rFonts w:ascii="Times New Roman" w:hAnsi="Times New Roman" w:cs="Times New Roman"/>
          <w:b/>
          <w:color w:val="000000" w:themeColor="text1"/>
          <w:lang w:val="sq-AL"/>
        </w:rPr>
        <w:t>Besimi i konsumatorëve</w:t>
      </w:r>
    </w:p>
    <w:p w:rsidR="007015C1" w:rsidRPr="008E7761" w:rsidRDefault="007015C1" w:rsidP="007015C1">
      <w:pPr>
        <w:contextualSpacing/>
        <w:jc w:val="both"/>
        <w:rPr>
          <w:rFonts w:ascii="Times New Roman" w:hAnsi="Times New Roman" w:cs="Times New Roman"/>
          <w:b/>
          <w:color w:val="000000" w:themeColor="text1"/>
          <w:lang w:val="sq-AL"/>
        </w:rPr>
      </w:pPr>
    </w:p>
    <w:p w:rsidR="007015C1" w:rsidRPr="008E7761" w:rsidRDefault="007015C1" w:rsidP="007015C1">
      <w:pPr>
        <w:jc w:val="both"/>
        <w:rPr>
          <w:rFonts w:ascii="Times New Roman" w:hAnsi="Times New Roman" w:cs="Times New Roman"/>
          <w:color w:val="000000" w:themeColor="text1"/>
          <w:lang w:val="sq-AL"/>
        </w:rPr>
      </w:pPr>
      <w:r w:rsidRPr="008E7761">
        <w:rPr>
          <w:rFonts w:ascii="Times New Roman" w:hAnsi="Times New Roman" w:cs="Times New Roman"/>
          <w:color w:val="000000" w:themeColor="text1"/>
          <w:lang w:val="sq-AL"/>
        </w:rPr>
        <w:t>Treguesi i Besimit të Konsumatorëve (TBK) u rrit me rreth 6.8 pikë përqindjeje në tremujorin e dytë të vitit 2015. Aktualisht, TBK</w:t>
      </w:r>
      <w:r w:rsidR="00984A6E">
        <w:rPr>
          <w:rFonts w:ascii="Times New Roman" w:hAnsi="Times New Roman" w:cs="Times New Roman"/>
          <w:color w:val="000000" w:themeColor="text1"/>
          <w:lang w:val="sq-AL"/>
        </w:rPr>
        <w:t>-ja</w:t>
      </w:r>
      <w:r w:rsidRPr="008E7761">
        <w:rPr>
          <w:rFonts w:ascii="Times New Roman" w:hAnsi="Times New Roman" w:cs="Times New Roman"/>
          <w:color w:val="000000" w:themeColor="text1"/>
          <w:lang w:val="sq-AL"/>
        </w:rPr>
        <w:t xml:space="preserve"> qëndron 3.8 pikë përqindje mbi mesataren afatgjatë. Përmirësimi i TBK-së reflektoi përmirësimin e shënuar në të tre balancat përbërëse të tij. Balanca e </w:t>
      </w:r>
      <w:r w:rsidRPr="008E7761">
        <w:rPr>
          <w:rFonts w:ascii="Times New Roman" w:hAnsi="Times New Roman" w:cs="Times New Roman"/>
          <w:i/>
          <w:color w:val="000000" w:themeColor="text1"/>
          <w:lang w:val="sq-AL"/>
        </w:rPr>
        <w:t xml:space="preserve">blerjeve të mëdha </w:t>
      </w:r>
      <w:r w:rsidRPr="008E7761">
        <w:rPr>
          <w:rFonts w:ascii="Times New Roman" w:hAnsi="Times New Roman" w:cs="Times New Roman"/>
          <w:color w:val="000000" w:themeColor="text1"/>
          <w:lang w:val="sq-AL"/>
        </w:rPr>
        <w:t xml:space="preserve">u rrit me rreth 13.9 pikë përqindjeje. Zhvillime pozitive u shënuan gjithashtu në </w:t>
      </w:r>
      <w:r>
        <w:rPr>
          <w:rFonts w:ascii="Times New Roman" w:hAnsi="Times New Roman" w:cs="Times New Roman"/>
          <w:color w:val="000000" w:themeColor="text1"/>
          <w:lang w:val="sq-AL"/>
        </w:rPr>
        <w:t>pritjet</w:t>
      </w:r>
      <w:r w:rsidRPr="008E7761">
        <w:rPr>
          <w:rFonts w:ascii="Times New Roman" w:hAnsi="Times New Roman" w:cs="Times New Roman"/>
          <w:color w:val="000000" w:themeColor="text1"/>
          <w:lang w:val="sq-AL"/>
        </w:rPr>
        <w:t xml:space="preserve"> e konsumatorëve për </w:t>
      </w:r>
      <w:r w:rsidRPr="008E7761">
        <w:rPr>
          <w:rFonts w:ascii="Times New Roman" w:hAnsi="Times New Roman" w:cs="Times New Roman"/>
          <w:i/>
          <w:color w:val="000000" w:themeColor="text1"/>
          <w:lang w:val="sq-AL"/>
        </w:rPr>
        <w:lastRenderedPageBreak/>
        <w:t>situatën financiare</w:t>
      </w:r>
      <w:r w:rsidRPr="008E7761">
        <w:rPr>
          <w:rFonts w:ascii="Times New Roman" w:hAnsi="Times New Roman" w:cs="Times New Roman"/>
          <w:color w:val="000000" w:themeColor="text1"/>
          <w:lang w:val="sq-AL"/>
        </w:rPr>
        <w:t xml:space="preserve"> në tremujorin e ardhshëm (+2.8 pikë përqindjeje) dhe pritjet për </w:t>
      </w:r>
      <w:r w:rsidRPr="008E7761">
        <w:rPr>
          <w:rFonts w:ascii="Times New Roman" w:hAnsi="Times New Roman" w:cs="Times New Roman"/>
          <w:i/>
          <w:color w:val="000000" w:themeColor="text1"/>
          <w:lang w:val="sq-AL"/>
        </w:rPr>
        <w:t xml:space="preserve">situatën e përgjithshme ekonomike </w:t>
      </w:r>
      <w:r w:rsidRPr="008E7761">
        <w:rPr>
          <w:rFonts w:ascii="Times New Roman" w:hAnsi="Times New Roman" w:cs="Times New Roman"/>
          <w:color w:val="000000" w:themeColor="text1"/>
          <w:lang w:val="sq-AL"/>
        </w:rPr>
        <w:t>në vend</w:t>
      </w:r>
      <w:r w:rsidRPr="008E7761">
        <w:rPr>
          <w:rFonts w:ascii="Times New Roman" w:hAnsi="Times New Roman" w:cs="Times New Roman"/>
          <w:i/>
          <w:color w:val="000000" w:themeColor="text1"/>
          <w:lang w:val="sq-AL"/>
        </w:rPr>
        <w:t xml:space="preserve"> </w:t>
      </w:r>
      <w:r w:rsidRPr="008E7761">
        <w:rPr>
          <w:rFonts w:ascii="Times New Roman" w:hAnsi="Times New Roman" w:cs="Times New Roman"/>
          <w:color w:val="000000" w:themeColor="text1"/>
          <w:lang w:val="sq-AL"/>
        </w:rPr>
        <w:t xml:space="preserve">(+4.3 pikë përqindjeje). </w:t>
      </w:r>
    </w:p>
    <w:p w:rsidR="007015C1" w:rsidRPr="008E7761" w:rsidRDefault="007015C1" w:rsidP="009A0A15">
      <w:pPr>
        <w:pStyle w:val="ListParagraph"/>
        <w:numPr>
          <w:ilvl w:val="0"/>
          <w:numId w:val="1"/>
        </w:numPr>
        <w:tabs>
          <w:tab w:val="left" w:pos="0"/>
          <w:tab w:val="left" w:pos="270"/>
          <w:tab w:val="left" w:pos="1170"/>
        </w:tabs>
        <w:spacing w:after="60" w:line="240" w:lineRule="auto"/>
        <w:ind w:left="357" w:firstLine="539"/>
        <w:jc w:val="both"/>
        <w:rPr>
          <w:rFonts w:ascii="Times New Roman" w:hAnsi="Times New Roman" w:cs="Times New Roman"/>
          <w:color w:val="000000" w:themeColor="text1"/>
          <w:sz w:val="20"/>
          <w:szCs w:val="20"/>
          <w:lang w:val="sq-AL"/>
        </w:rPr>
      </w:pPr>
      <w:r w:rsidRPr="008E7761">
        <w:rPr>
          <w:rFonts w:ascii="Times New Roman" w:hAnsi="Times New Roman" w:cs="Times New Roman"/>
          <w:color w:val="000000" w:themeColor="text1"/>
          <w:sz w:val="20"/>
          <w:szCs w:val="20"/>
          <w:lang w:val="sq-AL"/>
        </w:rPr>
        <w:t>Treguesi i besimit të konsumatorëve (TBK)</w:t>
      </w:r>
    </w:p>
    <w:p w:rsidR="007015C1" w:rsidRPr="008E7761" w:rsidRDefault="007015C1" w:rsidP="007015C1">
      <w:pPr>
        <w:tabs>
          <w:tab w:val="left" w:pos="1260"/>
        </w:tabs>
        <w:spacing w:after="0" w:line="240" w:lineRule="auto"/>
        <w:contextualSpacing/>
        <w:jc w:val="both"/>
        <w:rPr>
          <w:rFonts w:ascii="Times New Roman" w:hAnsi="Times New Roman" w:cs="Times New Roman"/>
          <w:color w:val="000000" w:themeColor="text1"/>
          <w:sz w:val="24"/>
          <w:szCs w:val="24"/>
          <w:lang w:val="sq-AL"/>
        </w:rPr>
      </w:pPr>
      <w:r w:rsidRPr="008E7761">
        <w:rPr>
          <w:rFonts w:ascii="Times New Roman" w:hAnsi="Times New Roman" w:cs="Times New Roman"/>
          <w:noProof/>
          <w:color w:val="000000" w:themeColor="text1"/>
          <w:lang w:val="sq-AL" w:eastAsia="sq-AL"/>
        </w:rPr>
        <w:drawing>
          <wp:inline distT="0" distB="0" distL="0" distR="0" wp14:anchorId="1AFB3C31" wp14:editId="3340F134">
            <wp:extent cx="484822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8225" cy="2133600"/>
                    </a:xfrm>
                    <a:prstGeom prst="rect">
                      <a:avLst/>
                    </a:prstGeom>
                    <a:noFill/>
                    <a:ln>
                      <a:noFill/>
                    </a:ln>
                  </pic:spPr>
                </pic:pic>
              </a:graphicData>
            </a:graphic>
          </wp:inline>
        </w:drawing>
      </w:r>
    </w:p>
    <w:p w:rsidR="007015C1" w:rsidRPr="008E7761" w:rsidRDefault="007015C1" w:rsidP="007015C1">
      <w:pPr>
        <w:spacing w:after="0" w:line="240" w:lineRule="auto"/>
        <w:contextualSpacing/>
        <w:jc w:val="both"/>
        <w:rPr>
          <w:rFonts w:ascii="Times New Roman" w:hAnsi="Times New Roman" w:cs="Times New Roman"/>
          <w:color w:val="000000" w:themeColor="text1"/>
          <w:sz w:val="18"/>
          <w:szCs w:val="18"/>
          <w:lang w:val="sq-AL"/>
        </w:rPr>
      </w:pPr>
      <w:r w:rsidRPr="008E7761">
        <w:rPr>
          <w:rFonts w:ascii="Times New Roman" w:hAnsi="Times New Roman" w:cs="Times New Roman"/>
          <w:color w:val="000000" w:themeColor="text1"/>
          <w:sz w:val="18"/>
          <w:szCs w:val="18"/>
          <w:lang w:val="sq-AL"/>
        </w:rPr>
        <w:t>Burimi: Vrojtimi i besimit të konsumatorit, Banka e Shqipërisë.</w:t>
      </w:r>
    </w:p>
    <w:p w:rsidR="007015C1" w:rsidRPr="008E7761" w:rsidRDefault="007015C1" w:rsidP="007015C1">
      <w:pPr>
        <w:spacing w:after="0"/>
        <w:contextualSpacing/>
        <w:jc w:val="both"/>
        <w:rPr>
          <w:rFonts w:ascii="Times New Roman" w:hAnsi="Times New Roman" w:cs="Times New Roman"/>
          <w:color w:val="000000" w:themeColor="text1"/>
          <w:u w:val="single"/>
          <w:lang w:val="sq-AL"/>
        </w:rPr>
      </w:pPr>
    </w:p>
    <w:p w:rsidR="007015C1" w:rsidRPr="008E7761" w:rsidRDefault="007015C1" w:rsidP="007015C1">
      <w:pPr>
        <w:spacing w:after="0"/>
        <w:contextualSpacing/>
        <w:jc w:val="both"/>
        <w:rPr>
          <w:rFonts w:ascii="Times New Roman" w:hAnsi="Times New Roman" w:cs="Times New Roman"/>
          <w:color w:val="000000" w:themeColor="text1"/>
          <w:u w:val="single"/>
          <w:lang w:val="sq-AL"/>
        </w:rPr>
      </w:pPr>
      <w:r w:rsidRPr="008E7761">
        <w:rPr>
          <w:rFonts w:ascii="Times New Roman" w:hAnsi="Times New Roman" w:cs="Times New Roman"/>
          <w:color w:val="000000" w:themeColor="text1"/>
          <w:u w:val="single"/>
          <w:lang w:val="sq-AL"/>
        </w:rPr>
        <w:t>Në vijim, analiza e disa treguesve që nuk përfshihen në ndërtimin e TBK-së:</w:t>
      </w:r>
    </w:p>
    <w:p w:rsidR="007015C1" w:rsidRPr="00453EC3" w:rsidRDefault="007015C1" w:rsidP="007015C1">
      <w:pPr>
        <w:tabs>
          <w:tab w:val="left" w:pos="4320"/>
        </w:tabs>
        <w:spacing w:after="0"/>
        <w:contextualSpacing/>
        <w:jc w:val="both"/>
        <w:rPr>
          <w:rFonts w:ascii="Times New Roman" w:hAnsi="Times New Roman" w:cs="Times New Roman"/>
          <w:color w:val="000000" w:themeColor="text1"/>
          <w:lang w:val="sq-AL"/>
        </w:rPr>
      </w:pPr>
      <w:r w:rsidRPr="00453EC3">
        <w:rPr>
          <w:rFonts w:ascii="Times New Roman" w:hAnsi="Times New Roman" w:cs="Times New Roman"/>
          <w:color w:val="000000" w:themeColor="text1"/>
          <w:lang w:val="sq-AL"/>
        </w:rPr>
        <w:t xml:space="preserve">Konsumatorët vlerësuan të përmirësuar </w:t>
      </w:r>
      <w:r w:rsidRPr="00453EC3">
        <w:rPr>
          <w:rFonts w:ascii="Times New Roman" w:hAnsi="Times New Roman" w:cs="Times New Roman"/>
          <w:i/>
          <w:color w:val="000000" w:themeColor="text1"/>
          <w:lang w:val="sq-AL"/>
        </w:rPr>
        <w:t xml:space="preserve">situatën financiare </w:t>
      </w:r>
      <w:r w:rsidRPr="00453EC3">
        <w:rPr>
          <w:rFonts w:ascii="Times New Roman" w:hAnsi="Times New Roman" w:cs="Times New Roman"/>
          <w:color w:val="000000" w:themeColor="text1"/>
          <w:lang w:val="sq-AL"/>
        </w:rPr>
        <w:t xml:space="preserve">dhe </w:t>
      </w:r>
      <w:r w:rsidRPr="00453EC3">
        <w:rPr>
          <w:rFonts w:ascii="Times New Roman" w:hAnsi="Times New Roman" w:cs="Times New Roman"/>
          <w:i/>
          <w:color w:val="000000" w:themeColor="text1"/>
          <w:lang w:val="sq-AL"/>
        </w:rPr>
        <w:t xml:space="preserve">ekonomike </w:t>
      </w:r>
      <w:r w:rsidRPr="00453EC3">
        <w:rPr>
          <w:rFonts w:ascii="Times New Roman" w:hAnsi="Times New Roman" w:cs="Times New Roman"/>
          <w:color w:val="000000" w:themeColor="text1"/>
          <w:lang w:val="sq-AL"/>
        </w:rPr>
        <w:t xml:space="preserve">në vend përgjatë tremujorit të dytë të vitit. Balancat përkatëse u rritën me rreth 6.1 dhe 7.8 pikë përqindjeje. Pas rreth 10 vitesh vlerësimesh negative, në tremujorin aktual, konsumatorët shprehen optimistë për </w:t>
      </w:r>
      <w:r w:rsidRPr="00453EC3">
        <w:rPr>
          <w:rFonts w:ascii="Times New Roman" w:hAnsi="Times New Roman" w:cs="Times New Roman"/>
          <w:i/>
          <w:color w:val="000000" w:themeColor="text1"/>
          <w:lang w:val="sq-AL"/>
        </w:rPr>
        <w:t xml:space="preserve">situatën e punësimit </w:t>
      </w:r>
      <w:r w:rsidRPr="00453EC3">
        <w:rPr>
          <w:rFonts w:ascii="Times New Roman" w:hAnsi="Times New Roman" w:cs="Times New Roman"/>
          <w:color w:val="000000" w:themeColor="text1"/>
          <w:lang w:val="sq-AL"/>
        </w:rPr>
        <w:t xml:space="preserve">në gjashtëmujorin e ardhshëm. </w:t>
      </w:r>
      <w:r w:rsidRPr="00453EC3">
        <w:rPr>
          <w:rFonts w:ascii="Times New Roman" w:hAnsi="Times New Roman" w:cs="Times New Roman"/>
          <w:i/>
          <w:color w:val="000000" w:themeColor="text1"/>
          <w:lang w:val="sq-AL"/>
        </w:rPr>
        <w:t xml:space="preserve">Niveli i papunësisë </w:t>
      </w:r>
      <w:r w:rsidRPr="00453EC3">
        <w:rPr>
          <w:rFonts w:ascii="Times New Roman" w:hAnsi="Times New Roman" w:cs="Times New Roman"/>
          <w:color w:val="000000" w:themeColor="text1"/>
          <w:lang w:val="sq-AL"/>
        </w:rPr>
        <w:t xml:space="preserve">pritet të jetë më i ulët në gjysmën e dytë të vitit 2015. </w:t>
      </w:r>
      <w:r w:rsidRPr="00453EC3">
        <w:rPr>
          <w:rFonts w:ascii="Times New Roman" w:hAnsi="Times New Roman" w:cs="Times New Roman"/>
          <w:i/>
          <w:color w:val="000000" w:themeColor="text1"/>
          <w:lang w:val="sq-AL"/>
        </w:rPr>
        <w:t>Kosto</w:t>
      </w:r>
      <w:r w:rsidR="00984A6E">
        <w:rPr>
          <w:rFonts w:ascii="Times New Roman" w:hAnsi="Times New Roman" w:cs="Times New Roman"/>
          <w:i/>
          <w:color w:val="000000" w:themeColor="text1"/>
          <w:lang w:val="sq-AL"/>
        </w:rPr>
        <w:t>ja</w:t>
      </w:r>
      <w:r w:rsidRPr="00453EC3">
        <w:rPr>
          <w:rFonts w:ascii="Times New Roman" w:hAnsi="Times New Roman" w:cs="Times New Roman"/>
          <w:i/>
          <w:color w:val="000000" w:themeColor="text1"/>
          <w:lang w:val="sq-AL"/>
        </w:rPr>
        <w:t xml:space="preserve"> e jetesës </w:t>
      </w:r>
      <w:r w:rsidRPr="00453EC3">
        <w:rPr>
          <w:rFonts w:ascii="Times New Roman" w:hAnsi="Times New Roman" w:cs="Times New Roman"/>
          <w:color w:val="000000" w:themeColor="text1"/>
          <w:lang w:val="sq-AL"/>
        </w:rPr>
        <w:t>u vlerësua në rënie</w:t>
      </w:r>
      <w:r w:rsidR="00984A6E">
        <w:rPr>
          <w:rFonts w:ascii="Times New Roman" w:hAnsi="Times New Roman" w:cs="Times New Roman"/>
          <w:color w:val="000000" w:themeColor="text1"/>
          <w:lang w:val="sq-AL"/>
        </w:rPr>
        <w:t>,</w:t>
      </w:r>
      <w:r w:rsidRPr="00453EC3">
        <w:rPr>
          <w:rFonts w:ascii="Times New Roman" w:hAnsi="Times New Roman" w:cs="Times New Roman"/>
          <w:color w:val="000000" w:themeColor="text1"/>
          <w:lang w:val="sq-AL"/>
        </w:rPr>
        <w:t xml:space="preserve"> ndërsa balanca e kursimeve shënoi </w:t>
      </w:r>
      <w:r w:rsidR="00933C94">
        <w:rPr>
          <w:rFonts w:ascii="Times New Roman" w:hAnsi="Times New Roman" w:cs="Times New Roman"/>
          <w:color w:val="000000" w:themeColor="text1"/>
          <w:lang w:val="sq-AL"/>
        </w:rPr>
        <w:t>rritje</w:t>
      </w:r>
      <w:r w:rsidRPr="00453EC3">
        <w:rPr>
          <w:rFonts w:ascii="Times New Roman" w:hAnsi="Times New Roman" w:cs="Times New Roman"/>
          <w:color w:val="000000" w:themeColor="text1"/>
          <w:lang w:val="sq-AL"/>
        </w:rPr>
        <w:t xml:space="preserve"> të ndjeshm</w:t>
      </w:r>
      <w:r w:rsidR="00933C94">
        <w:rPr>
          <w:rFonts w:ascii="Times New Roman" w:hAnsi="Times New Roman" w:cs="Times New Roman"/>
          <w:color w:val="000000" w:themeColor="text1"/>
          <w:lang w:val="sq-AL"/>
        </w:rPr>
        <w:t>e</w:t>
      </w:r>
      <w:r w:rsidRPr="00453EC3">
        <w:rPr>
          <w:rFonts w:ascii="Times New Roman" w:hAnsi="Times New Roman" w:cs="Times New Roman"/>
          <w:color w:val="000000" w:themeColor="text1"/>
          <w:lang w:val="sq-AL"/>
        </w:rPr>
        <w:t xml:space="preserve"> me rreth 12.2 pikë përqindjeje (një numër më i madh konsumatorësh vlerësojnë se tani është koh</w:t>
      </w:r>
      <w:r w:rsidR="00933C94">
        <w:rPr>
          <w:rFonts w:ascii="Times New Roman" w:hAnsi="Times New Roman" w:cs="Times New Roman"/>
          <w:color w:val="000000" w:themeColor="text1"/>
          <w:lang w:val="sq-AL"/>
        </w:rPr>
        <w:t>ë</w:t>
      </w:r>
      <w:r w:rsidRPr="00453EC3">
        <w:rPr>
          <w:rFonts w:ascii="Times New Roman" w:hAnsi="Times New Roman" w:cs="Times New Roman"/>
          <w:color w:val="000000" w:themeColor="text1"/>
          <w:lang w:val="sq-AL"/>
        </w:rPr>
        <w:t xml:space="preserve"> e mirë për të kursyer). Pritjet për ecurinë e </w:t>
      </w:r>
      <w:r w:rsidRPr="00453EC3">
        <w:rPr>
          <w:rFonts w:ascii="Times New Roman" w:hAnsi="Times New Roman" w:cs="Times New Roman"/>
          <w:i/>
          <w:color w:val="000000" w:themeColor="text1"/>
          <w:lang w:val="sq-AL"/>
        </w:rPr>
        <w:t xml:space="preserve">çmimeve pas 12 muajsh </w:t>
      </w:r>
      <w:r w:rsidRPr="00453EC3">
        <w:rPr>
          <w:rFonts w:ascii="Times New Roman" w:hAnsi="Times New Roman" w:cs="Times New Roman"/>
          <w:color w:val="000000" w:themeColor="text1"/>
          <w:lang w:val="sq-AL"/>
        </w:rPr>
        <w:t xml:space="preserve">vijojnë të jenë në rënie:  inflacioni pas një viti pritet 1.3% nga 1.4% në tremujorin e mëparshëm.    </w:t>
      </w:r>
    </w:p>
    <w:p w:rsidR="007015C1" w:rsidRPr="008E776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Pr="008E776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Pr="008E776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Pr="008E776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Pr="008E776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Pr="008E776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Pr="008E776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Pr="008E776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7015C1" w:rsidRDefault="007015C1" w:rsidP="007015C1">
      <w:pPr>
        <w:tabs>
          <w:tab w:val="left" w:pos="4320"/>
        </w:tabs>
        <w:spacing w:after="0"/>
        <w:contextualSpacing/>
        <w:jc w:val="both"/>
        <w:rPr>
          <w:rFonts w:ascii="Times New Roman" w:hAnsi="Times New Roman" w:cs="Times New Roman"/>
          <w:color w:val="000000" w:themeColor="text1"/>
          <w:sz w:val="24"/>
          <w:szCs w:val="24"/>
          <w:lang w:val="sq-AL"/>
        </w:rPr>
      </w:pPr>
    </w:p>
    <w:p w:rsidR="00C52A49" w:rsidRPr="008E7761" w:rsidRDefault="00C52A49" w:rsidP="00B65617">
      <w:pPr>
        <w:tabs>
          <w:tab w:val="left" w:pos="4320"/>
        </w:tabs>
        <w:spacing w:after="0"/>
        <w:contextualSpacing/>
        <w:jc w:val="both"/>
        <w:rPr>
          <w:rFonts w:ascii="Times New Roman" w:hAnsi="Times New Roman" w:cs="Times New Roman"/>
          <w:color w:val="000000" w:themeColor="text1"/>
          <w:sz w:val="24"/>
          <w:szCs w:val="24"/>
          <w:lang w:val="sq-AL"/>
        </w:rPr>
      </w:pPr>
    </w:p>
    <w:p w:rsidR="00C52A49" w:rsidRPr="008E7761" w:rsidRDefault="00C52A49" w:rsidP="00B65617">
      <w:pPr>
        <w:tabs>
          <w:tab w:val="left" w:pos="4320"/>
        </w:tabs>
        <w:spacing w:after="0"/>
        <w:contextualSpacing/>
        <w:jc w:val="both"/>
        <w:rPr>
          <w:rFonts w:ascii="Times New Roman" w:hAnsi="Times New Roman" w:cs="Times New Roman"/>
          <w:color w:val="000000" w:themeColor="text1"/>
          <w:sz w:val="24"/>
          <w:szCs w:val="24"/>
          <w:lang w:val="sq-AL"/>
        </w:rPr>
      </w:pPr>
    </w:p>
    <w:p w:rsidR="00C52A49" w:rsidRPr="008E7761" w:rsidRDefault="00C52A49" w:rsidP="00B65617">
      <w:pPr>
        <w:tabs>
          <w:tab w:val="left" w:pos="4320"/>
        </w:tabs>
        <w:spacing w:after="0"/>
        <w:contextualSpacing/>
        <w:jc w:val="both"/>
        <w:rPr>
          <w:rFonts w:ascii="Times New Roman" w:hAnsi="Times New Roman" w:cs="Times New Roman"/>
          <w:color w:val="000000" w:themeColor="text1"/>
          <w:sz w:val="24"/>
          <w:szCs w:val="24"/>
          <w:lang w:val="sq-AL"/>
        </w:rPr>
      </w:pPr>
    </w:p>
    <w:p w:rsidR="00C52A49" w:rsidRPr="008E7761" w:rsidRDefault="00C52A49" w:rsidP="00B65617">
      <w:pPr>
        <w:tabs>
          <w:tab w:val="left" w:pos="4320"/>
        </w:tabs>
        <w:spacing w:after="0"/>
        <w:contextualSpacing/>
        <w:jc w:val="both"/>
        <w:rPr>
          <w:rFonts w:ascii="Times New Roman" w:hAnsi="Times New Roman" w:cs="Times New Roman"/>
          <w:color w:val="000000" w:themeColor="text1"/>
          <w:sz w:val="24"/>
          <w:szCs w:val="24"/>
          <w:lang w:val="sq-AL"/>
        </w:rPr>
      </w:pPr>
    </w:p>
    <w:p w:rsidR="00C52A49" w:rsidRPr="008E7761" w:rsidRDefault="00C52A49" w:rsidP="00B65617">
      <w:pPr>
        <w:tabs>
          <w:tab w:val="left" w:pos="4320"/>
        </w:tabs>
        <w:spacing w:after="0"/>
        <w:contextualSpacing/>
        <w:jc w:val="both"/>
        <w:rPr>
          <w:rFonts w:ascii="Times New Roman" w:hAnsi="Times New Roman" w:cs="Times New Roman"/>
          <w:color w:val="000000" w:themeColor="text1"/>
          <w:sz w:val="24"/>
          <w:szCs w:val="24"/>
          <w:lang w:val="sq-AL"/>
        </w:rPr>
      </w:pPr>
    </w:p>
    <w:p w:rsidR="00B65617" w:rsidRPr="008E7761" w:rsidRDefault="00B65617" w:rsidP="00B65617">
      <w:pPr>
        <w:spacing w:after="0"/>
        <w:contextualSpacing/>
        <w:rPr>
          <w:rFonts w:ascii="Times New Roman" w:hAnsi="Times New Roman" w:cs="Times New Roman"/>
          <w:color w:val="000000" w:themeColor="text1"/>
          <w:szCs w:val="20"/>
          <w:lang w:val="sq-AL"/>
        </w:rPr>
      </w:pPr>
      <w:r w:rsidRPr="008E7761">
        <w:rPr>
          <w:rFonts w:ascii="Times New Roman" w:hAnsi="Times New Roman" w:cs="Times New Roman"/>
          <w:b/>
          <w:color w:val="000000" w:themeColor="text1"/>
          <w:szCs w:val="20"/>
          <w:lang w:val="sq-AL"/>
        </w:rPr>
        <w:lastRenderedPageBreak/>
        <w:t>Tabelë 1.</w:t>
      </w:r>
      <w:r w:rsidRPr="008E7761">
        <w:rPr>
          <w:rFonts w:ascii="Times New Roman" w:hAnsi="Times New Roman" w:cs="Times New Roman"/>
          <w:color w:val="000000" w:themeColor="text1"/>
          <w:szCs w:val="20"/>
          <w:lang w:val="sq-AL"/>
        </w:rPr>
        <w:t xml:space="preserve"> Treguesit e besimit sipas sektorëve</w:t>
      </w:r>
      <w:r w:rsidRPr="008E7761">
        <w:rPr>
          <w:rFonts w:ascii="Times New Roman" w:hAnsi="Times New Roman" w:cs="Times New Roman"/>
          <w:color w:val="000000" w:themeColor="text1"/>
          <w:szCs w:val="20"/>
          <w:vertAlign w:val="superscript"/>
          <w:lang w:val="sq-AL"/>
        </w:rPr>
        <w:t>*</w:t>
      </w:r>
    </w:p>
    <w:tbl>
      <w:tblPr>
        <w:tblW w:w="5000" w:type="pct"/>
        <w:tblLook w:val="04A0" w:firstRow="1" w:lastRow="0" w:firstColumn="1" w:lastColumn="0" w:noHBand="0" w:noVBand="1"/>
      </w:tblPr>
      <w:tblGrid>
        <w:gridCol w:w="1150"/>
        <w:gridCol w:w="653"/>
        <w:gridCol w:w="647"/>
        <w:gridCol w:w="684"/>
        <w:gridCol w:w="672"/>
        <w:gridCol w:w="626"/>
        <w:gridCol w:w="626"/>
        <w:gridCol w:w="630"/>
        <w:gridCol w:w="935"/>
        <w:gridCol w:w="1494"/>
        <w:gridCol w:w="1459"/>
      </w:tblGrid>
      <w:tr w:rsidR="000E6694" w:rsidRPr="008E7761" w:rsidTr="000E6694">
        <w:trPr>
          <w:trHeight w:val="255"/>
        </w:trPr>
        <w:tc>
          <w:tcPr>
            <w:tcW w:w="6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 </w:t>
            </w:r>
          </w:p>
        </w:tc>
        <w:tc>
          <w:tcPr>
            <w:tcW w:w="1036" w:type="pct"/>
            <w:gridSpan w:val="3"/>
            <w:tcBorders>
              <w:top w:val="single" w:sz="4" w:space="0" w:color="auto"/>
              <w:left w:val="nil"/>
              <w:bottom w:val="single" w:sz="4" w:space="0" w:color="auto"/>
              <w:right w:val="single" w:sz="4" w:space="0" w:color="auto"/>
            </w:tcBorders>
            <w:shd w:val="clear" w:color="000000" w:fill="D9D9D9"/>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Vlerat që nga T2-2002</w:t>
            </w:r>
          </w:p>
        </w:tc>
        <w:tc>
          <w:tcPr>
            <w:tcW w:w="1005" w:type="pct"/>
            <w:gridSpan w:val="3"/>
            <w:tcBorders>
              <w:top w:val="single" w:sz="4" w:space="0" w:color="auto"/>
              <w:left w:val="nil"/>
              <w:bottom w:val="single" w:sz="4" w:space="0" w:color="auto"/>
              <w:right w:val="single" w:sz="4" w:space="0" w:color="auto"/>
            </w:tcBorders>
            <w:shd w:val="clear" w:color="000000" w:fill="D9D9D9"/>
            <w:vAlign w:val="bottom"/>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2014</w:t>
            </w:r>
          </w:p>
        </w:tc>
        <w:tc>
          <w:tcPr>
            <w:tcW w:w="817" w:type="pct"/>
            <w:gridSpan w:val="2"/>
            <w:tcBorders>
              <w:top w:val="single" w:sz="4" w:space="0" w:color="auto"/>
              <w:left w:val="nil"/>
              <w:bottom w:val="single" w:sz="4" w:space="0" w:color="auto"/>
              <w:right w:val="single" w:sz="4" w:space="0" w:color="auto"/>
            </w:tcBorders>
            <w:shd w:val="clear" w:color="000000" w:fill="D9D9D9"/>
            <w:vAlign w:val="bottom"/>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2015</w:t>
            </w:r>
          </w:p>
        </w:tc>
        <w:tc>
          <w:tcPr>
            <w:tcW w:w="1542"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Situata aktuale</w:t>
            </w:r>
          </w:p>
        </w:tc>
      </w:tr>
      <w:tr w:rsidR="000E6694" w:rsidRPr="008E7761" w:rsidTr="000E6694">
        <w:trPr>
          <w:trHeight w:val="255"/>
        </w:trPr>
        <w:tc>
          <w:tcPr>
            <w:tcW w:w="600" w:type="pct"/>
            <w:tcBorders>
              <w:top w:val="nil"/>
              <w:left w:val="single" w:sz="4" w:space="0" w:color="auto"/>
              <w:bottom w:val="single" w:sz="4" w:space="0" w:color="auto"/>
              <w:right w:val="single" w:sz="4" w:space="0" w:color="auto"/>
            </w:tcBorders>
            <w:shd w:val="clear" w:color="000000" w:fill="D9D9D9"/>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 </w:t>
            </w:r>
          </w:p>
        </w:tc>
        <w:tc>
          <w:tcPr>
            <w:tcW w:w="341" w:type="pct"/>
            <w:tcBorders>
              <w:top w:val="nil"/>
              <w:left w:val="nil"/>
              <w:bottom w:val="single" w:sz="4" w:space="0" w:color="auto"/>
              <w:right w:val="single" w:sz="4" w:space="0" w:color="auto"/>
            </w:tcBorders>
            <w:shd w:val="clear" w:color="000000" w:fill="D9D9D9"/>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min.</w:t>
            </w:r>
          </w:p>
        </w:tc>
        <w:tc>
          <w:tcPr>
            <w:tcW w:w="338" w:type="pct"/>
            <w:tcBorders>
              <w:top w:val="nil"/>
              <w:left w:val="nil"/>
              <w:bottom w:val="single" w:sz="4" w:space="0" w:color="auto"/>
              <w:right w:val="single" w:sz="4" w:space="0" w:color="auto"/>
            </w:tcBorders>
            <w:shd w:val="clear" w:color="000000" w:fill="D9D9D9"/>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mes.</w:t>
            </w:r>
          </w:p>
        </w:tc>
        <w:tc>
          <w:tcPr>
            <w:tcW w:w="357" w:type="pct"/>
            <w:tcBorders>
              <w:top w:val="nil"/>
              <w:left w:val="nil"/>
              <w:bottom w:val="single" w:sz="4" w:space="0" w:color="auto"/>
              <w:right w:val="single" w:sz="4" w:space="0" w:color="auto"/>
            </w:tcBorders>
            <w:shd w:val="clear" w:color="000000" w:fill="D9D9D9"/>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max.</w:t>
            </w:r>
          </w:p>
        </w:tc>
        <w:tc>
          <w:tcPr>
            <w:tcW w:w="351" w:type="pct"/>
            <w:tcBorders>
              <w:top w:val="nil"/>
              <w:left w:val="nil"/>
              <w:bottom w:val="single" w:sz="4" w:space="0" w:color="auto"/>
              <w:right w:val="single" w:sz="4" w:space="0" w:color="auto"/>
            </w:tcBorders>
            <w:shd w:val="clear" w:color="000000" w:fill="D9D9D9"/>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T2</w:t>
            </w:r>
          </w:p>
        </w:tc>
        <w:tc>
          <w:tcPr>
            <w:tcW w:w="327" w:type="pct"/>
            <w:tcBorders>
              <w:top w:val="nil"/>
              <w:left w:val="nil"/>
              <w:bottom w:val="single" w:sz="4" w:space="0" w:color="auto"/>
              <w:right w:val="single" w:sz="4" w:space="0" w:color="auto"/>
            </w:tcBorders>
            <w:shd w:val="clear" w:color="000000" w:fill="D9D9D9"/>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T3</w:t>
            </w:r>
          </w:p>
        </w:tc>
        <w:tc>
          <w:tcPr>
            <w:tcW w:w="327" w:type="pct"/>
            <w:tcBorders>
              <w:top w:val="nil"/>
              <w:left w:val="nil"/>
              <w:bottom w:val="single" w:sz="4" w:space="0" w:color="auto"/>
              <w:right w:val="single" w:sz="4" w:space="0" w:color="auto"/>
            </w:tcBorders>
            <w:shd w:val="clear" w:color="000000" w:fill="D9D9D9"/>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T4</w:t>
            </w:r>
          </w:p>
        </w:tc>
        <w:tc>
          <w:tcPr>
            <w:tcW w:w="329" w:type="pct"/>
            <w:tcBorders>
              <w:top w:val="nil"/>
              <w:left w:val="nil"/>
              <w:bottom w:val="single" w:sz="4" w:space="0" w:color="auto"/>
              <w:right w:val="single" w:sz="4" w:space="0" w:color="auto"/>
            </w:tcBorders>
            <w:shd w:val="clear" w:color="000000" w:fill="D9D9D9"/>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T1</w:t>
            </w:r>
          </w:p>
        </w:tc>
        <w:tc>
          <w:tcPr>
            <w:tcW w:w="488" w:type="pct"/>
            <w:tcBorders>
              <w:top w:val="nil"/>
              <w:left w:val="nil"/>
              <w:bottom w:val="single" w:sz="4" w:space="0" w:color="auto"/>
              <w:right w:val="single" w:sz="4" w:space="0" w:color="auto"/>
            </w:tcBorders>
            <w:shd w:val="clear" w:color="000000" w:fill="D9D9D9"/>
            <w:vAlign w:val="bottom"/>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Pr>
                <w:rFonts w:ascii="Times New Roman" w:eastAsia="Times New Roman" w:hAnsi="Times New Roman" w:cs="Times New Roman"/>
                <w:b/>
                <w:bCs/>
                <w:color w:val="000000" w:themeColor="text1"/>
                <w:sz w:val="18"/>
                <w:szCs w:val="16"/>
                <w:lang w:val="sq-AL"/>
              </w:rPr>
              <w:t>T2</w:t>
            </w:r>
          </w:p>
        </w:tc>
        <w:tc>
          <w:tcPr>
            <w:tcW w:w="780" w:type="pct"/>
            <w:tcBorders>
              <w:top w:val="nil"/>
              <w:left w:val="single" w:sz="4" w:space="0" w:color="auto"/>
              <w:bottom w:val="single" w:sz="4" w:space="0" w:color="auto"/>
              <w:right w:val="single" w:sz="4" w:space="0" w:color="auto"/>
            </w:tcBorders>
            <w:shd w:val="clear" w:color="000000" w:fill="D9D9D9"/>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Konjukturale**</w:t>
            </w:r>
          </w:p>
        </w:tc>
        <w:tc>
          <w:tcPr>
            <w:tcW w:w="762" w:type="pct"/>
            <w:tcBorders>
              <w:top w:val="nil"/>
              <w:left w:val="nil"/>
              <w:bottom w:val="single" w:sz="4" w:space="0" w:color="auto"/>
              <w:right w:val="single" w:sz="4" w:space="0" w:color="auto"/>
            </w:tcBorders>
            <w:shd w:val="clear" w:color="000000" w:fill="D9D9D9"/>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b/>
                <w:bCs/>
                <w:color w:val="000000" w:themeColor="text1"/>
                <w:sz w:val="18"/>
                <w:szCs w:val="16"/>
                <w:lang w:val="sq-AL"/>
              </w:rPr>
            </w:pPr>
            <w:r w:rsidRPr="008E7761">
              <w:rPr>
                <w:rFonts w:ascii="Times New Roman" w:eastAsia="Times New Roman" w:hAnsi="Times New Roman" w:cs="Times New Roman"/>
                <w:b/>
                <w:bCs/>
                <w:color w:val="000000" w:themeColor="text1"/>
                <w:sz w:val="18"/>
                <w:szCs w:val="16"/>
                <w:lang w:val="sq-AL"/>
              </w:rPr>
              <w:t>Strukturore***</w:t>
            </w:r>
          </w:p>
        </w:tc>
      </w:tr>
      <w:tr w:rsidR="000E6694" w:rsidRPr="008E7761" w:rsidTr="000E6694">
        <w:trPr>
          <w:trHeight w:val="255"/>
        </w:trPr>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Industri</w:t>
            </w:r>
          </w:p>
        </w:tc>
        <w:tc>
          <w:tcPr>
            <w:tcW w:w="341"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-18.7</w:t>
            </w:r>
          </w:p>
        </w:tc>
        <w:tc>
          <w:tcPr>
            <w:tcW w:w="338"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-2.6</w:t>
            </w:r>
          </w:p>
        </w:tc>
        <w:tc>
          <w:tcPr>
            <w:tcW w:w="357"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9.0</w:t>
            </w:r>
          </w:p>
        </w:tc>
        <w:tc>
          <w:tcPr>
            <w:tcW w:w="351"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1.8</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3.4</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1.3</w:t>
            </w:r>
          </w:p>
        </w:tc>
        <w:tc>
          <w:tcPr>
            <w:tcW w:w="329"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-1.4</w:t>
            </w:r>
          </w:p>
        </w:tc>
        <w:tc>
          <w:tcPr>
            <w:tcW w:w="488" w:type="pct"/>
            <w:tcBorders>
              <w:top w:val="nil"/>
              <w:left w:val="nil"/>
              <w:bottom w:val="single" w:sz="4" w:space="0" w:color="auto"/>
              <w:right w:val="single" w:sz="4" w:space="0" w:color="auto"/>
            </w:tcBorders>
            <w:vAlign w:val="bottom"/>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3.8</w:t>
            </w:r>
          </w:p>
        </w:tc>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0E6694" w:rsidP="000E6694">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softHyphen/>
            </w:r>
            <w:r>
              <w:rPr>
                <w:rFonts w:ascii="Times New Roman" w:eastAsia="Times New Roman" w:hAnsi="Times New Roman" w:cs="Times New Roman"/>
                <w:color w:val="000000" w:themeColor="text1"/>
                <w:sz w:val="18"/>
                <w:szCs w:val="16"/>
                <w:lang w:val="sq-AL"/>
              </w:rPr>
              <w:t>↑</w:t>
            </w:r>
          </w:p>
        </w:tc>
        <w:tc>
          <w:tcPr>
            <w:tcW w:w="762"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 +</w:t>
            </w:r>
          </w:p>
        </w:tc>
      </w:tr>
      <w:tr w:rsidR="000E6694" w:rsidRPr="008E7761" w:rsidTr="000E6694">
        <w:trPr>
          <w:trHeight w:val="255"/>
        </w:trPr>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Ndërtim</w:t>
            </w:r>
          </w:p>
        </w:tc>
        <w:tc>
          <w:tcPr>
            <w:tcW w:w="341"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-37.8</w:t>
            </w:r>
          </w:p>
        </w:tc>
        <w:tc>
          <w:tcPr>
            <w:tcW w:w="338"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-10.6</w:t>
            </w:r>
          </w:p>
        </w:tc>
        <w:tc>
          <w:tcPr>
            <w:tcW w:w="357"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9.3</w:t>
            </w:r>
          </w:p>
        </w:tc>
        <w:tc>
          <w:tcPr>
            <w:tcW w:w="351"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-17.9</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-14.4</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-5.7</w:t>
            </w:r>
          </w:p>
        </w:tc>
        <w:tc>
          <w:tcPr>
            <w:tcW w:w="329"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-11.8</w:t>
            </w:r>
          </w:p>
        </w:tc>
        <w:tc>
          <w:tcPr>
            <w:tcW w:w="488" w:type="pct"/>
            <w:tcBorders>
              <w:top w:val="nil"/>
              <w:left w:val="nil"/>
              <w:bottom w:val="single" w:sz="4" w:space="0" w:color="auto"/>
              <w:right w:val="single" w:sz="4" w:space="0" w:color="auto"/>
            </w:tcBorders>
            <w:vAlign w:val="bottom"/>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-19.5</w:t>
            </w:r>
          </w:p>
        </w:tc>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softHyphen/>
              <w:t>↓</w:t>
            </w:r>
          </w:p>
        </w:tc>
        <w:tc>
          <w:tcPr>
            <w:tcW w:w="762"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w:t>
            </w:r>
          </w:p>
        </w:tc>
      </w:tr>
      <w:tr w:rsidR="000E6694" w:rsidRPr="008E7761" w:rsidTr="000E6694">
        <w:trPr>
          <w:trHeight w:val="255"/>
        </w:trPr>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Shërbime</w:t>
            </w:r>
          </w:p>
        </w:tc>
        <w:tc>
          <w:tcPr>
            <w:tcW w:w="341"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-22.7</w:t>
            </w:r>
          </w:p>
        </w:tc>
        <w:tc>
          <w:tcPr>
            <w:tcW w:w="338" w:type="pct"/>
            <w:tcBorders>
              <w:top w:val="nil"/>
              <w:left w:val="nil"/>
              <w:bottom w:val="single" w:sz="4" w:space="0" w:color="auto"/>
              <w:right w:val="single" w:sz="4" w:space="0" w:color="auto"/>
            </w:tcBorders>
            <w:shd w:val="clear" w:color="auto" w:fill="auto"/>
            <w:noWrap/>
            <w:vAlign w:val="bottom"/>
            <w:hideMark/>
          </w:tcPr>
          <w:p w:rsidR="000E6694" w:rsidRPr="008E7761" w:rsidRDefault="005D20E2"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0.9</w:t>
            </w:r>
          </w:p>
        </w:tc>
        <w:tc>
          <w:tcPr>
            <w:tcW w:w="357"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21.4</w:t>
            </w:r>
          </w:p>
        </w:tc>
        <w:tc>
          <w:tcPr>
            <w:tcW w:w="351" w:type="pct"/>
            <w:tcBorders>
              <w:top w:val="nil"/>
              <w:left w:val="nil"/>
              <w:bottom w:val="single" w:sz="4" w:space="0" w:color="auto"/>
              <w:right w:val="single" w:sz="4" w:space="0" w:color="auto"/>
            </w:tcBorders>
            <w:shd w:val="clear" w:color="auto" w:fill="auto"/>
            <w:noWrap/>
            <w:vAlign w:val="bottom"/>
          </w:tcPr>
          <w:p w:rsidR="000E6694" w:rsidRPr="008E7761" w:rsidRDefault="005D20E2"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1.5</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5D20E2"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2.3</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5D20E2"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4.0</w:t>
            </w:r>
          </w:p>
        </w:tc>
        <w:tc>
          <w:tcPr>
            <w:tcW w:w="329" w:type="pct"/>
            <w:tcBorders>
              <w:top w:val="nil"/>
              <w:left w:val="nil"/>
              <w:bottom w:val="single" w:sz="4" w:space="0" w:color="auto"/>
              <w:right w:val="single" w:sz="4" w:space="0" w:color="auto"/>
            </w:tcBorders>
            <w:shd w:val="clear" w:color="auto" w:fill="auto"/>
            <w:noWrap/>
            <w:vAlign w:val="bottom"/>
          </w:tcPr>
          <w:p w:rsidR="000E6694" w:rsidRPr="008E7761" w:rsidRDefault="005D20E2"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2.4</w:t>
            </w:r>
          </w:p>
        </w:tc>
        <w:tc>
          <w:tcPr>
            <w:tcW w:w="488" w:type="pct"/>
            <w:tcBorders>
              <w:top w:val="nil"/>
              <w:left w:val="nil"/>
              <w:bottom w:val="single" w:sz="4" w:space="0" w:color="auto"/>
              <w:right w:val="single" w:sz="4" w:space="0" w:color="auto"/>
            </w:tcBorders>
            <w:vAlign w:val="bottom"/>
          </w:tcPr>
          <w:p w:rsidR="000E6694" w:rsidRPr="008E7761" w:rsidRDefault="005D20E2"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6.1</w:t>
            </w:r>
          </w:p>
        </w:tc>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softHyphen/>
            </w:r>
            <w:r w:rsidR="005D20E2">
              <w:rPr>
                <w:rFonts w:ascii="Times New Roman" w:eastAsia="Times New Roman" w:hAnsi="Times New Roman" w:cs="Times New Roman"/>
                <w:color w:val="000000" w:themeColor="text1"/>
                <w:sz w:val="18"/>
                <w:szCs w:val="16"/>
                <w:lang w:val="sq-AL"/>
              </w:rPr>
              <w:t>↑</w:t>
            </w:r>
          </w:p>
        </w:tc>
        <w:tc>
          <w:tcPr>
            <w:tcW w:w="762"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w:t>
            </w:r>
          </w:p>
        </w:tc>
      </w:tr>
      <w:tr w:rsidR="000E6694" w:rsidRPr="008E7761" w:rsidTr="000E6694">
        <w:trPr>
          <w:trHeight w:val="255"/>
        </w:trPr>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Tregti</w:t>
            </w:r>
          </w:p>
        </w:tc>
        <w:tc>
          <w:tcPr>
            <w:tcW w:w="341"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-17.3</w:t>
            </w:r>
          </w:p>
        </w:tc>
        <w:tc>
          <w:tcPr>
            <w:tcW w:w="338" w:type="pct"/>
            <w:tcBorders>
              <w:top w:val="nil"/>
              <w:left w:val="nil"/>
              <w:bottom w:val="single" w:sz="4" w:space="0" w:color="auto"/>
              <w:right w:val="single" w:sz="4" w:space="0" w:color="auto"/>
            </w:tcBorders>
            <w:shd w:val="clear" w:color="auto" w:fill="auto"/>
            <w:noWrap/>
            <w:vAlign w:val="bottom"/>
            <w:hideMark/>
          </w:tcPr>
          <w:p w:rsidR="000E6694" w:rsidRPr="008E7761" w:rsidRDefault="005D20E2"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-1.6</w:t>
            </w:r>
          </w:p>
        </w:tc>
        <w:tc>
          <w:tcPr>
            <w:tcW w:w="357"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9.7</w:t>
            </w:r>
          </w:p>
        </w:tc>
        <w:tc>
          <w:tcPr>
            <w:tcW w:w="351" w:type="pct"/>
            <w:tcBorders>
              <w:top w:val="nil"/>
              <w:left w:val="nil"/>
              <w:bottom w:val="single" w:sz="4" w:space="0" w:color="auto"/>
              <w:right w:val="single" w:sz="4" w:space="0" w:color="auto"/>
            </w:tcBorders>
            <w:shd w:val="clear" w:color="auto" w:fill="auto"/>
            <w:noWrap/>
            <w:vAlign w:val="bottom"/>
          </w:tcPr>
          <w:p w:rsidR="000E6694" w:rsidRPr="008E7761" w:rsidRDefault="005D20E2"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6.5</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5D20E2"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2.3</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5D20E2"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3.4</w:t>
            </w:r>
          </w:p>
        </w:tc>
        <w:tc>
          <w:tcPr>
            <w:tcW w:w="329" w:type="pct"/>
            <w:tcBorders>
              <w:top w:val="nil"/>
              <w:left w:val="nil"/>
              <w:bottom w:val="single" w:sz="4" w:space="0" w:color="auto"/>
              <w:right w:val="single" w:sz="4" w:space="0" w:color="auto"/>
            </w:tcBorders>
            <w:shd w:val="clear" w:color="auto" w:fill="auto"/>
            <w:noWrap/>
            <w:vAlign w:val="bottom"/>
          </w:tcPr>
          <w:p w:rsidR="000E6694" w:rsidRPr="008E7761" w:rsidRDefault="005D20E2"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0.0</w:t>
            </w:r>
          </w:p>
        </w:tc>
        <w:tc>
          <w:tcPr>
            <w:tcW w:w="488" w:type="pct"/>
            <w:tcBorders>
              <w:top w:val="nil"/>
              <w:left w:val="nil"/>
              <w:bottom w:val="single" w:sz="4" w:space="0" w:color="auto"/>
              <w:right w:val="single" w:sz="4" w:space="0" w:color="auto"/>
            </w:tcBorders>
            <w:vAlign w:val="bottom"/>
          </w:tcPr>
          <w:p w:rsidR="000E6694" w:rsidRPr="008E7761" w:rsidRDefault="005D20E2"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-1.4</w:t>
            </w:r>
          </w:p>
        </w:tc>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softHyphen/>
              <w:t>↓</w:t>
            </w:r>
          </w:p>
        </w:tc>
        <w:tc>
          <w:tcPr>
            <w:tcW w:w="762" w:type="pct"/>
            <w:tcBorders>
              <w:top w:val="nil"/>
              <w:left w:val="nil"/>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w:t>
            </w:r>
          </w:p>
        </w:tc>
      </w:tr>
      <w:tr w:rsidR="000E6694" w:rsidRPr="008E7761" w:rsidTr="000E6694">
        <w:trPr>
          <w:trHeight w:val="255"/>
        </w:trPr>
        <w:tc>
          <w:tcPr>
            <w:tcW w:w="60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0E6694" w:rsidP="003B5407">
            <w:pPr>
              <w:spacing w:after="0" w:line="240" w:lineRule="auto"/>
              <w:contextualSpacing/>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Konsumator</w:t>
            </w:r>
          </w:p>
        </w:tc>
        <w:tc>
          <w:tcPr>
            <w:tcW w:w="341" w:type="pct"/>
            <w:tcBorders>
              <w:top w:val="nil"/>
              <w:left w:val="nil"/>
              <w:bottom w:val="single" w:sz="4" w:space="0" w:color="auto"/>
              <w:right w:val="single" w:sz="4" w:space="0" w:color="auto"/>
            </w:tcBorders>
            <w:shd w:val="clear" w:color="auto" w:fill="auto"/>
            <w:noWrap/>
            <w:vAlign w:val="bottom"/>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-20.5</w:t>
            </w:r>
          </w:p>
        </w:tc>
        <w:tc>
          <w:tcPr>
            <w:tcW w:w="338" w:type="pct"/>
            <w:tcBorders>
              <w:top w:val="nil"/>
              <w:left w:val="nil"/>
              <w:bottom w:val="single" w:sz="4" w:space="0" w:color="auto"/>
              <w:right w:val="single" w:sz="4" w:space="0" w:color="auto"/>
            </w:tcBorders>
            <w:shd w:val="clear" w:color="auto" w:fill="auto"/>
            <w:noWrap/>
            <w:vAlign w:val="bottom"/>
          </w:tcPr>
          <w:p w:rsidR="000E6694" w:rsidRPr="008E7761" w:rsidRDefault="000E6694" w:rsidP="005D20E2">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-12.</w:t>
            </w:r>
            <w:r w:rsidR="005D20E2">
              <w:rPr>
                <w:rFonts w:ascii="Times New Roman" w:eastAsia="Times New Roman" w:hAnsi="Times New Roman" w:cs="Times New Roman"/>
                <w:color w:val="000000" w:themeColor="text1"/>
                <w:sz w:val="18"/>
                <w:szCs w:val="16"/>
                <w:lang w:val="sq-AL"/>
              </w:rPr>
              <w:t>6</w:t>
            </w:r>
          </w:p>
        </w:tc>
        <w:tc>
          <w:tcPr>
            <w:tcW w:w="357" w:type="pct"/>
            <w:tcBorders>
              <w:top w:val="nil"/>
              <w:left w:val="nil"/>
              <w:bottom w:val="single" w:sz="4" w:space="0" w:color="auto"/>
              <w:right w:val="single" w:sz="4" w:space="0" w:color="auto"/>
            </w:tcBorders>
            <w:shd w:val="clear" w:color="auto" w:fill="auto"/>
            <w:noWrap/>
            <w:vAlign w:val="bottom"/>
          </w:tcPr>
          <w:p w:rsidR="000E6694" w:rsidRPr="008E7761" w:rsidRDefault="000E6694"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-6.4</w:t>
            </w:r>
          </w:p>
        </w:tc>
        <w:tc>
          <w:tcPr>
            <w:tcW w:w="351"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-14.1</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-9.1</w:t>
            </w:r>
          </w:p>
        </w:tc>
        <w:tc>
          <w:tcPr>
            <w:tcW w:w="327"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-12.9</w:t>
            </w:r>
          </w:p>
        </w:tc>
        <w:tc>
          <w:tcPr>
            <w:tcW w:w="329" w:type="pct"/>
            <w:tcBorders>
              <w:top w:val="nil"/>
              <w:left w:val="nil"/>
              <w:bottom w:val="single" w:sz="4" w:space="0" w:color="auto"/>
              <w:right w:val="single" w:sz="4" w:space="0" w:color="auto"/>
            </w:tcBorders>
            <w:shd w:val="clear" w:color="auto" w:fill="auto"/>
            <w:noWrap/>
            <w:vAlign w:val="bottom"/>
          </w:tcPr>
          <w:p w:rsidR="000E6694" w:rsidRPr="008E7761" w:rsidRDefault="000E6694" w:rsidP="00281A9F">
            <w:pPr>
              <w:spacing w:after="0" w:line="240" w:lineRule="auto"/>
              <w:contextualSpacing/>
              <w:jc w:val="center"/>
              <w:rPr>
                <w:rFonts w:ascii="Times New Roman" w:eastAsia="Times New Roman" w:hAnsi="Times New Roman" w:cs="Times New Roman"/>
                <w:color w:val="000000" w:themeColor="text1"/>
                <w:sz w:val="18"/>
                <w:szCs w:val="16"/>
                <w:lang w:val="sq-AL"/>
              </w:rPr>
            </w:pPr>
            <w:r w:rsidRPr="008E7761">
              <w:rPr>
                <w:rFonts w:ascii="Times New Roman" w:eastAsia="Times New Roman" w:hAnsi="Times New Roman" w:cs="Times New Roman"/>
                <w:color w:val="000000" w:themeColor="text1"/>
                <w:sz w:val="18"/>
                <w:szCs w:val="16"/>
                <w:lang w:val="sq-AL"/>
              </w:rPr>
              <w:t>-15.6</w:t>
            </w:r>
          </w:p>
        </w:tc>
        <w:tc>
          <w:tcPr>
            <w:tcW w:w="488" w:type="pct"/>
            <w:tcBorders>
              <w:top w:val="nil"/>
              <w:left w:val="nil"/>
              <w:bottom w:val="single" w:sz="4" w:space="0" w:color="auto"/>
              <w:right w:val="single" w:sz="4" w:space="0" w:color="auto"/>
            </w:tcBorders>
            <w:vAlign w:val="bottom"/>
          </w:tcPr>
          <w:p w:rsidR="000E6694" w:rsidRPr="008E7761" w:rsidRDefault="005D20E2"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-8.8</w:t>
            </w:r>
          </w:p>
        </w:tc>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0E6694" w:rsidRPr="008E7761" w:rsidRDefault="005D20E2"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w:t>
            </w:r>
          </w:p>
        </w:tc>
        <w:tc>
          <w:tcPr>
            <w:tcW w:w="762" w:type="pct"/>
            <w:tcBorders>
              <w:top w:val="nil"/>
              <w:left w:val="nil"/>
              <w:bottom w:val="single" w:sz="4" w:space="0" w:color="auto"/>
              <w:right w:val="single" w:sz="4" w:space="0" w:color="auto"/>
            </w:tcBorders>
            <w:shd w:val="clear" w:color="auto" w:fill="auto"/>
            <w:noWrap/>
            <w:vAlign w:val="bottom"/>
            <w:hideMark/>
          </w:tcPr>
          <w:p w:rsidR="000E6694" w:rsidRPr="008E7761" w:rsidRDefault="005D20E2" w:rsidP="003B5407">
            <w:pPr>
              <w:spacing w:after="0" w:line="240" w:lineRule="auto"/>
              <w:contextualSpacing/>
              <w:jc w:val="center"/>
              <w:rPr>
                <w:rFonts w:ascii="Times New Roman" w:eastAsia="Times New Roman" w:hAnsi="Times New Roman" w:cs="Times New Roman"/>
                <w:color w:val="000000" w:themeColor="text1"/>
                <w:sz w:val="18"/>
                <w:szCs w:val="16"/>
                <w:lang w:val="sq-AL"/>
              </w:rPr>
            </w:pPr>
            <w:r>
              <w:rPr>
                <w:rFonts w:ascii="Times New Roman" w:eastAsia="Times New Roman" w:hAnsi="Times New Roman" w:cs="Times New Roman"/>
                <w:color w:val="000000" w:themeColor="text1"/>
                <w:sz w:val="18"/>
                <w:szCs w:val="16"/>
                <w:lang w:val="sq-AL"/>
              </w:rPr>
              <w:t>+</w:t>
            </w:r>
          </w:p>
        </w:tc>
      </w:tr>
    </w:tbl>
    <w:p w:rsidR="00B65617" w:rsidRPr="008E7761" w:rsidRDefault="00B65617" w:rsidP="00B65617">
      <w:pPr>
        <w:spacing w:after="0" w:line="240" w:lineRule="auto"/>
        <w:contextualSpacing/>
        <w:rPr>
          <w:rFonts w:ascii="Times New Roman" w:hAnsi="Times New Roman" w:cs="Times New Roman"/>
          <w:color w:val="000000" w:themeColor="text1"/>
          <w:sz w:val="20"/>
          <w:szCs w:val="18"/>
          <w:lang w:val="sq-AL"/>
        </w:rPr>
      </w:pPr>
      <w:r w:rsidRPr="008E7761">
        <w:rPr>
          <w:rFonts w:ascii="Times New Roman" w:hAnsi="Times New Roman" w:cs="Times New Roman"/>
          <w:color w:val="000000" w:themeColor="text1"/>
          <w:sz w:val="20"/>
          <w:szCs w:val="18"/>
          <w:lang w:val="sq-AL"/>
        </w:rPr>
        <w:t>Burimi: Vrojtimi i besimit të konsumatorit, Banka e Shqipërisë.</w:t>
      </w:r>
    </w:p>
    <w:p w:rsidR="00B65617" w:rsidRPr="008E7761" w:rsidRDefault="00B65617" w:rsidP="00B65617">
      <w:pPr>
        <w:spacing w:after="0" w:line="240" w:lineRule="auto"/>
        <w:contextualSpacing/>
        <w:jc w:val="both"/>
        <w:rPr>
          <w:rFonts w:ascii="Times New Roman" w:hAnsi="Times New Roman" w:cs="Times New Roman"/>
          <w:i/>
          <w:color w:val="000000" w:themeColor="text1"/>
          <w:sz w:val="18"/>
          <w:szCs w:val="16"/>
          <w:lang w:val="sq-AL"/>
        </w:rPr>
      </w:pPr>
      <w:r w:rsidRPr="008E7761">
        <w:rPr>
          <w:rFonts w:ascii="Times New Roman" w:hAnsi="Times New Roman" w:cs="Times New Roman"/>
          <w:i/>
          <w:color w:val="000000" w:themeColor="text1"/>
          <w:sz w:val="18"/>
          <w:szCs w:val="16"/>
          <w:lang w:val="sq-AL"/>
        </w:rPr>
        <w:t>*) Me përjashtim të treguesit të konsumatorit, treguesit janë llogaritur nga balanca të rregulluara për sezonalitet.</w:t>
      </w:r>
    </w:p>
    <w:p w:rsidR="00B65617" w:rsidRPr="008E7761" w:rsidRDefault="00B65617" w:rsidP="00B65617">
      <w:pPr>
        <w:spacing w:after="0" w:line="240" w:lineRule="auto"/>
        <w:contextualSpacing/>
        <w:jc w:val="both"/>
        <w:rPr>
          <w:rFonts w:ascii="Times New Roman" w:hAnsi="Times New Roman" w:cs="Times New Roman"/>
          <w:i/>
          <w:color w:val="000000" w:themeColor="text1"/>
          <w:sz w:val="18"/>
          <w:szCs w:val="16"/>
          <w:lang w:val="sq-AL"/>
        </w:rPr>
      </w:pPr>
      <w:r w:rsidRPr="008E7761">
        <w:rPr>
          <w:rFonts w:ascii="Times New Roman" w:hAnsi="Times New Roman" w:cs="Times New Roman"/>
          <w:i/>
          <w:color w:val="000000" w:themeColor="text1"/>
          <w:sz w:val="18"/>
          <w:szCs w:val="16"/>
          <w:lang w:val="sq-AL"/>
        </w:rPr>
        <w:t>**) Situata krahasuar me tremujorin e mëparshëm.</w:t>
      </w:r>
    </w:p>
    <w:p w:rsidR="00B65617" w:rsidRPr="008E7761" w:rsidRDefault="00B65617" w:rsidP="00B65617">
      <w:pPr>
        <w:spacing w:after="0" w:line="240" w:lineRule="auto"/>
        <w:contextualSpacing/>
        <w:jc w:val="both"/>
        <w:rPr>
          <w:rFonts w:ascii="Times New Roman" w:hAnsi="Times New Roman" w:cs="Times New Roman"/>
          <w:i/>
          <w:color w:val="000000" w:themeColor="text1"/>
          <w:sz w:val="18"/>
          <w:szCs w:val="16"/>
          <w:lang w:val="sq-AL"/>
        </w:rPr>
      </w:pPr>
      <w:r w:rsidRPr="008E7761">
        <w:rPr>
          <w:rFonts w:ascii="Times New Roman" w:hAnsi="Times New Roman" w:cs="Times New Roman"/>
          <w:i/>
          <w:color w:val="000000" w:themeColor="text1"/>
          <w:sz w:val="18"/>
          <w:szCs w:val="16"/>
          <w:lang w:val="sq-AL"/>
        </w:rPr>
        <w:t>***) Situata për secilin tregues konsiderohet shumë e kënaqshme (+ +)</w:t>
      </w:r>
      <w:r w:rsidR="00984A6E">
        <w:rPr>
          <w:rFonts w:ascii="Times New Roman" w:hAnsi="Times New Roman" w:cs="Times New Roman"/>
          <w:i/>
          <w:color w:val="000000" w:themeColor="text1"/>
          <w:sz w:val="18"/>
          <w:szCs w:val="16"/>
          <w:lang w:val="sq-AL"/>
        </w:rPr>
        <w:t>,</w:t>
      </w:r>
      <w:r w:rsidRPr="008E7761">
        <w:rPr>
          <w:rFonts w:ascii="Times New Roman" w:hAnsi="Times New Roman" w:cs="Times New Roman"/>
          <w:i/>
          <w:color w:val="000000" w:themeColor="text1"/>
          <w:sz w:val="18"/>
          <w:szCs w:val="16"/>
          <w:lang w:val="sq-AL"/>
        </w:rPr>
        <w:t xml:space="preserve"> kur treguesi është më shumë se 1 devijim standard më i lartë se mesatarja; situata konsiderohet e kënaqshme (+)</w:t>
      </w:r>
      <w:r w:rsidR="00984A6E">
        <w:rPr>
          <w:rFonts w:ascii="Times New Roman" w:hAnsi="Times New Roman" w:cs="Times New Roman"/>
          <w:i/>
          <w:color w:val="000000" w:themeColor="text1"/>
          <w:sz w:val="18"/>
          <w:szCs w:val="16"/>
          <w:lang w:val="sq-AL"/>
        </w:rPr>
        <w:t>,</w:t>
      </w:r>
      <w:r w:rsidRPr="008E7761">
        <w:rPr>
          <w:rFonts w:ascii="Times New Roman" w:hAnsi="Times New Roman" w:cs="Times New Roman"/>
          <w:i/>
          <w:color w:val="000000" w:themeColor="text1"/>
          <w:sz w:val="18"/>
          <w:szCs w:val="16"/>
          <w:lang w:val="sq-AL"/>
        </w:rPr>
        <w:t xml:space="preserve"> kur treguesi është më pak se 1 devijim standard më i lartë se mesatarja; situata konsiderohet e pakënaqshme (-)</w:t>
      </w:r>
      <w:r w:rsidR="00984A6E">
        <w:rPr>
          <w:rFonts w:ascii="Times New Roman" w:hAnsi="Times New Roman" w:cs="Times New Roman"/>
          <w:i/>
          <w:color w:val="000000" w:themeColor="text1"/>
          <w:sz w:val="18"/>
          <w:szCs w:val="16"/>
          <w:lang w:val="sq-AL"/>
        </w:rPr>
        <w:t>,</w:t>
      </w:r>
      <w:r w:rsidRPr="008E7761">
        <w:rPr>
          <w:rFonts w:ascii="Times New Roman" w:hAnsi="Times New Roman" w:cs="Times New Roman"/>
          <w:i/>
          <w:color w:val="000000" w:themeColor="text1"/>
          <w:sz w:val="18"/>
          <w:szCs w:val="16"/>
          <w:lang w:val="sq-AL"/>
        </w:rPr>
        <w:t xml:space="preserve"> kur treguesi ësht</w:t>
      </w:r>
      <w:bookmarkStart w:id="0" w:name="_GoBack"/>
      <w:bookmarkEnd w:id="0"/>
      <w:r w:rsidRPr="008E7761">
        <w:rPr>
          <w:rFonts w:ascii="Times New Roman" w:hAnsi="Times New Roman" w:cs="Times New Roman"/>
          <w:i/>
          <w:color w:val="000000" w:themeColor="text1"/>
          <w:sz w:val="18"/>
          <w:szCs w:val="16"/>
          <w:lang w:val="sq-AL"/>
        </w:rPr>
        <w:t>ë më pak se 1 devijim standard më i ulët se mesatarja; dhe situata konsiderohet shumë e pakënaqshme (--)</w:t>
      </w:r>
      <w:r w:rsidR="00984A6E">
        <w:rPr>
          <w:rFonts w:ascii="Times New Roman" w:hAnsi="Times New Roman" w:cs="Times New Roman"/>
          <w:i/>
          <w:color w:val="000000" w:themeColor="text1"/>
          <w:sz w:val="18"/>
          <w:szCs w:val="16"/>
          <w:lang w:val="sq-AL"/>
        </w:rPr>
        <w:t>,</w:t>
      </w:r>
      <w:r w:rsidRPr="008E7761">
        <w:rPr>
          <w:rFonts w:ascii="Times New Roman" w:hAnsi="Times New Roman" w:cs="Times New Roman"/>
          <w:i/>
          <w:color w:val="000000" w:themeColor="text1"/>
          <w:sz w:val="18"/>
          <w:szCs w:val="16"/>
          <w:lang w:val="sq-AL"/>
        </w:rPr>
        <w:t xml:space="preserve"> kur treguesi është më shumë se 1 devijim standard më i ulët se mesatarja. </w:t>
      </w:r>
    </w:p>
    <w:p w:rsidR="00B65617" w:rsidRPr="008E7761" w:rsidRDefault="00B65617" w:rsidP="00B65617">
      <w:pPr>
        <w:spacing w:after="0" w:line="240" w:lineRule="auto"/>
        <w:contextualSpacing/>
        <w:jc w:val="both"/>
        <w:rPr>
          <w:rFonts w:ascii="Times New Roman" w:hAnsi="Times New Roman" w:cs="Times New Roman"/>
          <w:i/>
          <w:color w:val="000000" w:themeColor="text1"/>
          <w:sz w:val="18"/>
          <w:szCs w:val="16"/>
          <w:lang w:val="sq-AL"/>
        </w:rPr>
      </w:pPr>
    </w:p>
    <w:p w:rsidR="00B65617" w:rsidRPr="008E7761" w:rsidRDefault="00B65617" w:rsidP="00B65617">
      <w:pPr>
        <w:spacing w:after="0" w:line="240" w:lineRule="auto"/>
        <w:contextualSpacing/>
        <w:rPr>
          <w:rFonts w:ascii="Times New Roman" w:hAnsi="Times New Roman" w:cs="Times New Roman"/>
          <w:i/>
          <w:color w:val="000000" w:themeColor="text1"/>
          <w:sz w:val="18"/>
          <w:szCs w:val="16"/>
          <w:lang w:val="sq-AL"/>
        </w:rPr>
      </w:pPr>
    </w:p>
    <w:p w:rsidR="00B65617" w:rsidRPr="008E7761" w:rsidRDefault="00B65617" w:rsidP="00B65617">
      <w:pPr>
        <w:spacing w:after="0" w:line="264" w:lineRule="auto"/>
        <w:contextualSpacing/>
        <w:jc w:val="both"/>
        <w:rPr>
          <w:rFonts w:ascii="Times New Roman" w:hAnsi="Times New Roman" w:cs="Times New Roman"/>
          <w:color w:val="000000" w:themeColor="text1"/>
          <w:szCs w:val="18"/>
          <w:lang w:val="sq-AL"/>
        </w:rPr>
      </w:pPr>
      <w:r w:rsidRPr="008E7761">
        <w:rPr>
          <w:rFonts w:ascii="Times New Roman" w:hAnsi="Times New Roman" w:cs="Times New Roman"/>
          <w:b/>
          <w:color w:val="000000" w:themeColor="text1"/>
          <w:szCs w:val="18"/>
          <w:lang w:val="sq-AL"/>
        </w:rPr>
        <w:t>Tabelë 2</w:t>
      </w:r>
      <w:r w:rsidRPr="008E7761">
        <w:rPr>
          <w:rFonts w:ascii="Times New Roman" w:hAnsi="Times New Roman" w:cs="Times New Roman"/>
          <w:color w:val="000000" w:themeColor="text1"/>
          <w:szCs w:val="18"/>
          <w:lang w:val="sq-AL"/>
        </w:rPr>
        <w:t>. Balancat kryesore të sektorëve të ekonomisë (në pikë përqindje)*</w:t>
      </w:r>
    </w:p>
    <w:tbl>
      <w:tblPr>
        <w:tblW w:w="5000" w:type="pct"/>
        <w:tblLook w:val="04A0" w:firstRow="1" w:lastRow="0" w:firstColumn="1" w:lastColumn="0" w:noHBand="0" w:noVBand="1"/>
      </w:tblPr>
      <w:tblGrid>
        <w:gridCol w:w="2406"/>
        <w:gridCol w:w="1188"/>
        <w:gridCol w:w="1187"/>
        <w:gridCol w:w="1187"/>
        <w:gridCol w:w="1187"/>
        <w:gridCol w:w="1318"/>
        <w:gridCol w:w="1103"/>
      </w:tblGrid>
      <w:tr w:rsidR="00AD2FD1" w:rsidRPr="008E7761" w:rsidTr="00AD2FD1">
        <w:trPr>
          <w:trHeight w:val="260"/>
        </w:trPr>
        <w:tc>
          <w:tcPr>
            <w:tcW w:w="125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D2FD1" w:rsidRPr="008E7761" w:rsidRDefault="00AD2FD1"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 </w:t>
            </w:r>
          </w:p>
        </w:tc>
        <w:tc>
          <w:tcPr>
            <w:tcW w:w="2480" w:type="pct"/>
            <w:gridSpan w:val="4"/>
            <w:tcBorders>
              <w:top w:val="single" w:sz="4" w:space="0" w:color="auto"/>
              <w:left w:val="nil"/>
              <w:bottom w:val="single" w:sz="4" w:space="0" w:color="auto"/>
              <w:right w:val="single" w:sz="4" w:space="0" w:color="auto"/>
            </w:tcBorders>
            <w:shd w:val="clear" w:color="000000" w:fill="BFBFBF"/>
            <w:noWrap/>
            <w:vAlign w:val="bottom"/>
            <w:hideMark/>
          </w:tcPr>
          <w:p w:rsidR="00AD2FD1" w:rsidRPr="008E7761" w:rsidRDefault="00AD2FD1" w:rsidP="00453EC3">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2014</w:t>
            </w:r>
          </w:p>
        </w:tc>
        <w:tc>
          <w:tcPr>
            <w:tcW w:w="1264" w:type="pct"/>
            <w:gridSpan w:val="2"/>
            <w:tcBorders>
              <w:top w:val="single" w:sz="4" w:space="0" w:color="auto"/>
              <w:left w:val="nil"/>
              <w:bottom w:val="single" w:sz="4" w:space="0" w:color="auto"/>
              <w:right w:val="single" w:sz="4" w:space="0" w:color="000000"/>
            </w:tcBorders>
            <w:shd w:val="clear" w:color="000000" w:fill="BFBFBF"/>
            <w:vAlign w:val="bottom"/>
          </w:tcPr>
          <w:p w:rsidR="00AD2FD1" w:rsidRPr="008E7761" w:rsidRDefault="00AD2FD1" w:rsidP="003B5407">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2015</w:t>
            </w:r>
          </w:p>
        </w:tc>
      </w:tr>
      <w:tr w:rsidR="00AD2FD1" w:rsidRPr="008E7761" w:rsidTr="00AD2FD1">
        <w:trPr>
          <w:trHeight w:val="260"/>
        </w:trPr>
        <w:tc>
          <w:tcPr>
            <w:tcW w:w="1256" w:type="pct"/>
            <w:tcBorders>
              <w:top w:val="nil"/>
              <w:left w:val="single" w:sz="4" w:space="0" w:color="auto"/>
              <w:bottom w:val="single" w:sz="4" w:space="0" w:color="auto"/>
              <w:right w:val="single" w:sz="4" w:space="0" w:color="auto"/>
            </w:tcBorders>
            <w:shd w:val="clear" w:color="000000" w:fill="BFBFBF"/>
            <w:noWrap/>
            <w:vAlign w:val="bottom"/>
            <w:hideMark/>
          </w:tcPr>
          <w:p w:rsidR="00AD2FD1" w:rsidRPr="008E7761" w:rsidRDefault="00AD2FD1"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 </w:t>
            </w:r>
          </w:p>
        </w:tc>
        <w:tc>
          <w:tcPr>
            <w:tcW w:w="620" w:type="pct"/>
            <w:tcBorders>
              <w:top w:val="nil"/>
              <w:left w:val="nil"/>
              <w:bottom w:val="single" w:sz="4" w:space="0" w:color="auto"/>
              <w:right w:val="single" w:sz="4" w:space="0" w:color="auto"/>
            </w:tcBorders>
            <w:shd w:val="clear" w:color="000000" w:fill="BFBFBF"/>
            <w:noWrap/>
            <w:vAlign w:val="bottom"/>
            <w:hideMark/>
          </w:tcPr>
          <w:p w:rsidR="00AD2FD1" w:rsidRPr="008E7761" w:rsidRDefault="00AD2FD1" w:rsidP="008622D3">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T1</w:t>
            </w:r>
          </w:p>
        </w:tc>
        <w:tc>
          <w:tcPr>
            <w:tcW w:w="620" w:type="pct"/>
            <w:tcBorders>
              <w:top w:val="nil"/>
              <w:left w:val="nil"/>
              <w:bottom w:val="single" w:sz="4" w:space="0" w:color="auto"/>
              <w:right w:val="single" w:sz="4" w:space="0" w:color="auto"/>
            </w:tcBorders>
            <w:shd w:val="clear" w:color="000000" w:fill="BFBFBF"/>
            <w:noWrap/>
            <w:vAlign w:val="bottom"/>
          </w:tcPr>
          <w:p w:rsidR="00AD2FD1" w:rsidRPr="008E7761" w:rsidRDefault="00AD2FD1" w:rsidP="008622D3">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T2</w:t>
            </w:r>
          </w:p>
        </w:tc>
        <w:tc>
          <w:tcPr>
            <w:tcW w:w="620" w:type="pct"/>
            <w:tcBorders>
              <w:top w:val="nil"/>
              <w:left w:val="nil"/>
              <w:bottom w:val="single" w:sz="4" w:space="0" w:color="auto"/>
              <w:right w:val="single" w:sz="4" w:space="0" w:color="auto"/>
            </w:tcBorders>
            <w:shd w:val="clear" w:color="000000" w:fill="BFBFBF"/>
            <w:noWrap/>
            <w:vAlign w:val="bottom"/>
          </w:tcPr>
          <w:p w:rsidR="00AD2FD1" w:rsidRPr="008E7761" w:rsidRDefault="00AD2FD1" w:rsidP="008622D3">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T3</w:t>
            </w:r>
          </w:p>
        </w:tc>
        <w:tc>
          <w:tcPr>
            <w:tcW w:w="620" w:type="pct"/>
            <w:tcBorders>
              <w:top w:val="nil"/>
              <w:left w:val="nil"/>
              <w:bottom w:val="single" w:sz="4" w:space="0" w:color="auto"/>
              <w:right w:val="single" w:sz="4" w:space="0" w:color="auto"/>
            </w:tcBorders>
            <w:shd w:val="clear" w:color="000000" w:fill="BFBFBF"/>
            <w:noWrap/>
            <w:vAlign w:val="bottom"/>
          </w:tcPr>
          <w:p w:rsidR="00AD2FD1" w:rsidRPr="008E7761" w:rsidRDefault="00AD2FD1" w:rsidP="008622D3">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T4</w:t>
            </w:r>
          </w:p>
        </w:tc>
        <w:tc>
          <w:tcPr>
            <w:tcW w:w="688" w:type="pct"/>
            <w:tcBorders>
              <w:top w:val="nil"/>
              <w:left w:val="nil"/>
              <w:bottom w:val="single" w:sz="4" w:space="0" w:color="auto"/>
              <w:right w:val="single" w:sz="4" w:space="0" w:color="auto"/>
            </w:tcBorders>
            <w:shd w:val="clear" w:color="000000" w:fill="BFBFBF"/>
            <w:noWrap/>
            <w:vAlign w:val="bottom"/>
          </w:tcPr>
          <w:p w:rsidR="00AD2FD1" w:rsidRPr="008E7761" w:rsidRDefault="00AD2FD1" w:rsidP="008622D3">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T1</w:t>
            </w:r>
          </w:p>
        </w:tc>
        <w:tc>
          <w:tcPr>
            <w:tcW w:w="576" w:type="pct"/>
            <w:tcBorders>
              <w:top w:val="nil"/>
              <w:left w:val="nil"/>
              <w:bottom w:val="single" w:sz="4" w:space="0" w:color="auto"/>
              <w:right w:val="single" w:sz="4" w:space="0" w:color="auto"/>
            </w:tcBorders>
            <w:shd w:val="clear" w:color="000000" w:fill="BFBFBF"/>
            <w:noWrap/>
            <w:vAlign w:val="bottom"/>
          </w:tcPr>
          <w:p w:rsidR="00AD2FD1" w:rsidRPr="008E7761" w:rsidRDefault="00AD2FD1" w:rsidP="003B5407">
            <w:pPr>
              <w:spacing w:after="0" w:line="240" w:lineRule="auto"/>
              <w:contextualSpacing/>
              <w:jc w:val="center"/>
              <w:rPr>
                <w:rFonts w:ascii="Times New Roman" w:eastAsia="Times New Roman" w:hAnsi="Times New Roman" w:cs="Times New Roman"/>
                <w:b/>
                <w:bCs/>
                <w:color w:val="000000" w:themeColor="text1"/>
                <w:sz w:val="20"/>
                <w:szCs w:val="18"/>
                <w:lang w:val="sq-AL"/>
              </w:rPr>
            </w:pPr>
            <w:r>
              <w:rPr>
                <w:rFonts w:ascii="Times New Roman" w:eastAsia="Times New Roman" w:hAnsi="Times New Roman" w:cs="Times New Roman"/>
                <w:b/>
                <w:bCs/>
                <w:color w:val="000000" w:themeColor="text1"/>
                <w:sz w:val="20"/>
                <w:szCs w:val="18"/>
                <w:lang w:val="sq-AL"/>
              </w:rPr>
              <w:t>T2</w:t>
            </w:r>
          </w:p>
        </w:tc>
      </w:tr>
      <w:tr w:rsidR="00AD2FD1" w:rsidRPr="008E7761" w:rsidTr="005A6D39">
        <w:trPr>
          <w:trHeight w:val="26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D2FD1" w:rsidRPr="008E7761" w:rsidRDefault="00AD2FD1" w:rsidP="003B5407">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Kërkesa</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b/>
                <w:color w:val="000000" w:themeColor="text1"/>
                <w:sz w:val="20"/>
                <w:szCs w:val="18"/>
                <w:lang w:val="sq-AL"/>
              </w:rPr>
            </w:pPr>
            <w:r w:rsidRPr="008E7761">
              <w:rPr>
                <w:rFonts w:ascii="Times New Roman" w:eastAsia="Times New Roman" w:hAnsi="Times New Roman" w:cs="Times New Roman"/>
                <w:b/>
                <w:color w:val="000000" w:themeColor="text1"/>
                <w:sz w:val="20"/>
                <w:szCs w:val="18"/>
                <w:lang w:val="sq-AL"/>
              </w:rPr>
              <w:t xml:space="preserve">Total </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-8.6</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-3.4</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-0.9</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0.0</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-6.3</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-4.7</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Industri</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-3.5</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3.7</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4.5</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-0.1</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-7.2</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5.5</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 xml:space="preserve">Ndërtim </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-26.4</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-22.6</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-17.9</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-6.6</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-17.5</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-26.5</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Shërbime</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-2.1</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2.8</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2.9</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5.0</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5.2</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7.0</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Tregti</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-2.2</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2.4</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6.9</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1.9</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-5.6</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-4.8</w:t>
            </w:r>
          </w:p>
        </w:tc>
      </w:tr>
      <w:tr w:rsidR="00AD2FD1" w:rsidRPr="009A0A15" w:rsidTr="005A6D39">
        <w:trPr>
          <w:trHeight w:val="290"/>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D2FD1" w:rsidRPr="008E7761" w:rsidRDefault="00AD2FD1" w:rsidP="003B5407">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Gjendja e përgjithshme e biznesit</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b/>
                <w:color w:val="000000" w:themeColor="text1"/>
                <w:sz w:val="20"/>
                <w:szCs w:val="18"/>
                <w:lang w:val="sq-AL"/>
              </w:rPr>
            </w:pPr>
            <w:r w:rsidRPr="008E7761">
              <w:rPr>
                <w:rFonts w:ascii="Times New Roman" w:eastAsia="Times New Roman" w:hAnsi="Times New Roman" w:cs="Times New Roman"/>
                <w:b/>
                <w:color w:val="000000" w:themeColor="text1"/>
                <w:sz w:val="20"/>
                <w:szCs w:val="18"/>
                <w:lang w:val="sq-AL"/>
              </w:rPr>
              <w:t xml:space="preserve">Total </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-7.5</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2.5</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4.7</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2.8</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-12.0</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2.3</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Industri</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-26.9</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-21.5</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-11.7</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-4.1</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-11.9</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-19.9</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 xml:space="preserve">Ndërtim </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-2.1</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1.3</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2.1</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0.6</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-0.9</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5.7</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Shërbime</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-1.7</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6.2</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-1.3</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-4.8</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-9.7</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367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-4.8</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Tregti</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1C40F7">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-9.5</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1C40F7">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-2.9</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1C40F7">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-1.6</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1C40F7">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-1.4</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1C40F7">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-8.6</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1C40F7">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-4.2</w:t>
            </w:r>
          </w:p>
        </w:tc>
      </w:tr>
      <w:tr w:rsidR="00F171B4" w:rsidRPr="008E7761" w:rsidTr="005A6D39">
        <w:trPr>
          <w:trHeight w:val="260"/>
        </w:trPr>
        <w:tc>
          <w:tcPr>
            <w:tcW w:w="5000" w:type="pct"/>
            <w:gridSpan w:val="7"/>
            <w:tcBorders>
              <w:top w:val="nil"/>
              <w:left w:val="single" w:sz="4" w:space="0" w:color="auto"/>
              <w:bottom w:val="single" w:sz="4" w:space="0" w:color="auto"/>
              <w:right w:val="single" w:sz="4" w:space="0" w:color="auto"/>
            </w:tcBorders>
            <w:shd w:val="clear" w:color="000000" w:fill="D9D9D9"/>
            <w:noWrap/>
            <w:vAlign w:val="bottom"/>
            <w:hideMark/>
          </w:tcPr>
          <w:p w:rsidR="00F171B4" w:rsidRPr="008E7761" w:rsidRDefault="00F171B4" w:rsidP="003B5407">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Prodhimi</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b/>
                <w:color w:val="000000" w:themeColor="text1"/>
                <w:sz w:val="20"/>
                <w:szCs w:val="18"/>
                <w:lang w:val="sq-AL"/>
              </w:rPr>
            </w:pPr>
            <w:r w:rsidRPr="008E7761">
              <w:rPr>
                <w:rFonts w:ascii="Times New Roman" w:eastAsia="Times New Roman" w:hAnsi="Times New Roman" w:cs="Times New Roman"/>
                <w:b/>
                <w:color w:val="000000" w:themeColor="text1"/>
                <w:sz w:val="20"/>
                <w:szCs w:val="18"/>
                <w:lang w:val="sq-AL"/>
              </w:rPr>
              <w:t xml:space="preserve">Total </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-11.6</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-5.0</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-3.3</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-0.7</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-8.7</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b/>
                <w:color w:val="000000" w:themeColor="text1"/>
                <w:sz w:val="20"/>
                <w:szCs w:val="18"/>
                <w:lang w:val="sq-AL"/>
              </w:rPr>
            </w:pPr>
            <w:r w:rsidRPr="00F171B4">
              <w:rPr>
                <w:rFonts w:ascii="Times New Roman" w:eastAsia="Times New Roman" w:hAnsi="Times New Roman" w:cs="Times New Roman"/>
                <w:b/>
                <w:color w:val="000000" w:themeColor="text1"/>
                <w:sz w:val="20"/>
                <w:szCs w:val="18"/>
                <w:lang w:val="sq-AL"/>
              </w:rPr>
              <w:t>-7.9</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Industri</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-0.8</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7.9</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7.9</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3.4</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-3.7</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6.7</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 xml:space="preserve">Ndërtim </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-22.4</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-18.0</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-14.5</w:t>
            </w:r>
          </w:p>
        </w:tc>
        <w:tc>
          <w:tcPr>
            <w:tcW w:w="620"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-4.7</w:t>
            </w:r>
          </w:p>
        </w:tc>
        <w:tc>
          <w:tcPr>
            <w:tcW w:w="688"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-13.6</w:t>
            </w:r>
          </w:p>
        </w:tc>
        <w:tc>
          <w:tcPr>
            <w:tcW w:w="576" w:type="pct"/>
            <w:tcBorders>
              <w:top w:val="nil"/>
              <w:left w:val="nil"/>
              <w:bottom w:val="single" w:sz="4" w:space="0" w:color="auto"/>
              <w:right w:val="single" w:sz="4" w:space="0" w:color="auto"/>
            </w:tcBorders>
            <w:shd w:val="clear" w:color="auto" w:fill="auto"/>
            <w:noWrap/>
            <w:vAlign w:val="bottom"/>
          </w:tcPr>
          <w:p w:rsidR="00F171B4" w:rsidRPr="00F171B4" w:rsidRDefault="00F171B4" w:rsidP="00F171B4">
            <w:pPr>
              <w:spacing w:after="0" w:line="240" w:lineRule="auto"/>
              <w:contextualSpacing/>
              <w:jc w:val="center"/>
              <w:rPr>
                <w:rFonts w:ascii="Times New Roman" w:eastAsia="Times New Roman" w:hAnsi="Times New Roman" w:cs="Times New Roman"/>
                <w:color w:val="000000" w:themeColor="text1"/>
                <w:sz w:val="20"/>
                <w:szCs w:val="18"/>
                <w:lang w:val="sq-AL"/>
              </w:rPr>
            </w:pPr>
            <w:r w:rsidRPr="00F171B4">
              <w:rPr>
                <w:rFonts w:ascii="Times New Roman" w:eastAsia="Times New Roman" w:hAnsi="Times New Roman" w:cs="Times New Roman"/>
                <w:color w:val="000000" w:themeColor="text1"/>
                <w:sz w:val="20"/>
                <w:szCs w:val="18"/>
                <w:lang w:val="sq-AL"/>
              </w:rPr>
              <w:t>-22.4</w:t>
            </w:r>
          </w:p>
        </w:tc>
      </w:tr>
      <w:tr w:rsidR="00F171B4" w:rsidRPr="008E7761" w:rsidTr="005A6D39">
        <w:trPr>
          <w:trHeight w:val="20"/>
        </w:trPr>
        <w:tc>
          <w:tcPr>
            <w:tcW w:w="5000" w:type="pct"/>
            <w:gridSpan w:val="7"/>
            <w:tcBorders>
              <w:top w:val="nil"/>
              <w:left w:val="single" w:sz="4" w:space="0" w:color="auto"/>
              <w:bottom w:val="single" w:sz="4" w:space="0" w:color="auto"/>
              <w:right w:val="single" w:sz="4" w:space="0" w:color="auto"/>
            </w:tcBorders>
            <w:shd w:val="clear" w:color="000000" w:fill="D9D9D9"/>
            <w:noWrap/>
            <w:vAlign w:val="bottom"/>
            <w:hideMark/>
          </w:tcPr>
          <w:p w:rsidR="00F171B4" w:rsidRPr="008E7761" w:rsidRDefault="00F171B4" w:rsidP="003B5407">
            <w:pPr>
              <w:spacing w:after="0" w:line="240" w:lineRule="auto"/>
              <w:contextualSpacing/>
              <w:jc w:val="center"/>
              <w:rPr>
                <w:rFonts w:ascii="Times New Roman" w:eastAsia="Times New Roman" w:hAnsi="Times New Roman" w:cs="Times New Roman"/>
                <w:b/>
                <w:bCs/>
                <w:color w:val="000000" w:themeColor="text1"/>
                <w:sz w:val="20"/>
                <w:szCs w:val="18"/>
                <w:lang w:val="sq-AL"/>
              </w:rPr>
            </w:pPr>
            <w:r w:rsidRPr="008E7761">
              <w:rPr>
                <w:rFonts w:ascii="Times New Roman" w:eastAsia="Times New Roman" w:hAnsi="Times New Roman" w:cs="Times New Roman"/>
                <w:b/>
                <w:bCs/>
                <w:color w:val="000000" w:themeColor="text1"/>
                <w:sz w:val="20"/>
                <w:szCs w:val="18"/>
                <w:lang w:val="sq-AL"/>
              </w:rPr>
              <w:t>Konsumatorët</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Situata financiare</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-13.5</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7.2</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-4.0</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-9.0</w:t>
            </w:r>
          </w:p>
        </w:tc>
        <w:tc>
          <w:tcPr>
            <w:tcW w:w="688"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-13.5</w:t>
            </w:r>
          </w:p>
        </w:tc>
        <w:tc>
          <w:tcPr>
            <w:tcW w:w="576" w:type="pct"/>
            <w:tcBorders>
              <w:top w:val="nil"/>
              <w:left w:val="nil"/>
              <w:bottom w:val="single" w:sz="4" w:space="0" w:color="auto"/>
              <w:right w:val="single" w:sz="4" w:space="0" w:color="auto"/>
            </w:tcBorders>
            <w:shd w:val="clear" w:color="auto" w:fill="auto"/>
            <w:noWrap/>
            <w:vAlign w:val="bottom"/>
          </w:tcPr>
          <w:p w:rsidR="00F171B4" w:rsidRPr="008E7761" w:rsidRDefault="002D4925" w:rsidP="003B5407">
            <w:pPr>
              <w:spacing w:after="0" w:line="240" w:lineRule="auto"/>
              <w:contextualSpacing/>
              <w:jc w:val="center"/>
              <w:rPr>
                <w:rFonts w:ascii="Times New Roman" w:eastAsia="Times New Roman" w:hAnsi="Times New Roman" w:cs="Times New Roman"/>
                <w:color w:val="000000" w:themeColor="text1"/>
                <w:sz w:val="20"/>
                <w:szCs w:val="18"/>
                <w:lang w:val="sq-AL"/>
              </w:rPr>
            </w:pPr>
            <w:r>
              <w:rPr>
                <w:rFonts w:ascii="Times New Roman" w:eastAsia="Times New Roman" w:hAnsi="Times New Roman" w:cs="Times New Roman"/>
                <w:color w:val="000000" w:themeColor="text1"/>
                <w:sz w:val="20"/>
                <w:szCs w:val="18"/>
                <w:lang w:val="sq-AL"/>
              </w:rPr>
              <w:t>-7.4</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Çmimet pas 1 viti, në %</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1.5</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1.3</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1.6</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1.8</w:t>
            </w:r>
          </w:p>
        </w:tc>
        <w:tc>
          <w:tcPr>
            <w:tcW w:w="688"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1.4</w:t>
            </w:r>
          </w:p>
        </w:tc>
        <w:tc>
          <w:tcPr>
            <w:tcW w:w="576" w:type="pct"/>
            <w:tcBorders>
              <w:top w:val="nil"/>
              <w:left w:val="nil"/>
              <w:bottom w:val="single" w:sz="4" w:space="0" w:color="auto"/>
              <w:right w:val="single" w:sz="4" w:space="0" w:color="auto"/>
            </w:tcBorders>
            <w:shd w:val="clear" w:color="auto" w:fill="auto"/>
            <w:noWrap/>
            <w:vAlign w:val="bottom"/>
          </w:tcPr>
          <w:p w:rsidR="00F171B4" w:rsidRPr="008E7761" w:rsidRDefault="002D4925" w:rsidP="003B5407">
            <w:pPr>
              <w:spacing w:after="0" w:line="240" w:lineRule="auto"/>
              <w:contextualSpacing/>
              <w:jc w:val="center"/>
              <w:rPr>
                <w:rFonts w:ascii="Times New Roman" w:eastAsia="Times New Roman" w:hAnsi="Times New Roman" w:cs="Times New Roman"/>
                <w:color w:val="000000" w:themeColor="text1"/>
                <w:sz w:val="20"/>
                <w:szCs w:val="18"/>
                <w:lang w:val="sq-AL"/>
              </w:rPr>
            </w:pPr>
            <w:r>
              <w:rPr>
                <w:rFonts w:ascii="Times New Roman" w:eastAsia="Times New Roman" w:hAnsi="Times New Roman" w:cs="Times New Roman"/>
                <w:color w:val="000000" w:themeColor="text1"/>
                <w:sz w:val="20"/>
                <w:szCs w:val="18"/>
                <w:lang w:val="sq-AL"/>
              </w:rPr>
              <w:t>1.3</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Blerje të mëdha</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-59.4</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-58.0</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-46.7</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-53.9</w:t>
            </w:r>
          </w:p>
        </w:tc>
        <w:tc>
          <w:tcPr>
            <w:tcW w:w="688"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-63.1</w:t>
            </w:r>
          </w:p>
        </w:tc>
        <w:tc>
          <w:tcPr>
            <w:tcW w:w="576" w:type="pct"/>
            <w:tcBorders>
              <w:top w:val="nil"/>
              <w:left w:val="nil"/>
              <w:bottom w:val="single" w:sz="4" w:space="0" w:color="auto"/>
              <w:right w:val="single" w:sz="4" w:space="0" w:color="auto"/>
            </w:tcBorders>
            <w:shd w:val="clear" w:color="auto" w:fill="auto"/>
            <w:noWrap/>
            <w:vAlign w:val="bottom"/>
          </w:tcPr>
          <w:p w:rsidR="00F171B4" w:rsidRPr="008E7761" w:rsidRDefault="002D4925" w:rsidP="003B5407">
            <w:pPr>
              <w:spacing w:after="0" w:line="240" w:lineRule="auto"/>
              <w:contextualSpacing/>
              <w:jc w:val="center"/>
              <w:rPr>
                <w:rFonts w:ascii="Times New Roman" w:eastAsia="Times New Roman" w:hAnsi="Times New Roman" w:cs="Times New Roman"/>
                <w:color w:val="000000" w:themeColor="text1"/>
                <w:sz w:val="20"/>
                <w:szCs w:val="18"/>
                <w:lang w:val="sq-AL"/>
              </w:rPr>
            </w:pPr>
            <w:r>
              <w:rPr>
                <w:rFonts w:ascii="Times New Roman" w:eastAsia="Times New Roman" w:hAnsi="Times New Roman" w:cs="Times New Roman"/>
                <w:color w:val="000000" w:themeColor="text1"/>
                <w:sz w:val="20"/>
                <w:szCs w:val="18"/>
                <w:lang w:val="sq-AL"/>
              </w:rPr>
              <w:t>-49.2</w:t>
            </w:r>
          </w:p>
        </w:tc>
      </w:tr>
      <w:tr w:rsidR="00F171B4" w:rsidRPr="008E7761" w:rsidTr="00AD2FD1">
        <w:trPr>
          <w:trHeight w:val="260"/>
        </w:trPr>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F171B4" w:rsidRPr="008E7761" w:rsidRDefault="00F171B4" w:rsidP="003B5407">
            <w:pPr>
              <w:spacing w:after="0" w:line="240" w:lineRule="auto"/>
              <w:contextualSpacing/>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Situata e kursimit</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-39.3</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-41.0</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-36.7</w:t>
            </w:r>
          </w:p>
        </w:tc>
        <w:tc>
          <w:tcPr>
            <w:tcW w:w="620"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-46.6</w:t>
            </w:r>
          </w:p>
        </w:tc>
        <w:tc>
          <w:tcPr>
            <w:tcW w:w="688" w:type="pct"/>
            <w:tcBorders>
              <w:top w:val="nil"/>
              <w:left w:val="nil"/>
              <w:bottom w:val="single" w:sz="4" w:space="0" w:color="auto"/>
              <w:right w:val="single" w:sz="4" w:space="0" w:color="auto"/>
            </w:tcBorders>
            <w:shd w:val="clear" w:color="auto" w:fill="auto"/>
            <w:noWrap/>
            <w:vAlign w:val="bottom"/>
          </w:tcPr>
          <w:p w:rsidR="00F171B4" w:rsidRPr="008E7761" w:rsidRDefault="00F171B4" w:rsidP="008B2215">
            <w:pPr>
              <w:spacing w:after="0" w:line="240" w:lineRule="auto"/>
              <w:contextualSpacing/>
              <w:jc w:val="center"/>
              <w:rPr>
                <w:rFonts w:ascii="Times New Roman" w:eastAsia="Times New Roman" w:hAnsi="Times New Roman" w:cs="Times New Roman"/>
                <w:color w:val="000000" w:themeColor="text1"/>
                <w:sz w:val="20"/>
                <w:szCs w:val="18"/>
                <w:lang w:val="sq-AL"/>
              </w:rPr>
            </w:pPr>
            <w:r w:rsidRPr="008E7761">
              <w:rPr>
                <w:rFonts w:ascii="Times New Roman" w:eastAsia="Times New Roman" w:hAnsi="Times New Roman" w:cs="Times New Roman"/>
                <w:color w:val="000000" w:themeColor="text1"/>
                <w:sz w:val="20"/>
                <w:szCs w:val="18"/>
                <w:lang w:val="sq-AL"/>
              </w:rPr>
              <w:t>-47.3</w:t>
            </w:r>
          </w:p>
        </w:tc>
        <w:tc>
          <w:tcPr>
            <w:tcW w:w="576" w:type="pct"/>
            <w:tcBorders>
              <w:top w:val="nil"/>
              <w:left w:val="nil"/>
              <w:bottom w:val="single" w:sz="4" w:space="0" w:color="auto"/>
              <w:right w:val="single" w:sz="4" w:space="0" w:color="auto"/>
            </w:tcBorders>
            <w:shd w:val="clear" w:color="auto" w:fill="auto"/>
            <w:noWrap/>
            <w:vAlign w:val="bottom"/>
          </w:tcPr>
          <w:p w:rsidR="00F171B4" w:rsidRPr="008E7761" w:rsidRDefault="002D4925" w:rsidP="003B5407">
            <w:pPr>
              <w:spacing w:after="0" w:line="240" w:lineRule="auto"/>
              <w:contextualSpacing/>
              <w:jc w:val="center"/>
              <w:rPr>
                <w:rFonts w:ascii="Times New Roman" w:eastAsia="Times New Roman" w:hAnsi="Times New Roman" w:cs="Times New Roman"/>
                <w:color w:val="000000" w:themeColor="text1"/>
                <w:sz w:val="20"/>
                <w:szCs w:val="18"/>
                <w:lang w:val="sq-AL"/>
              </w:rPr>
            </w:pPr>
            <w:r>
              <w:rPr>
                <w:rFonts w:ascii="Times New Roman" w:eastAsia="Times New Roman" w:hAnsi="Times New Roman" w:cs="Times New Roman"/>
                <w:color w:val="000000" w:themeColor="text1"/>
                <w:sz w:val="20"/>
                <w:szCs w:val="18"/>
                <w:lang w:val="sq-AL"/>
              </w:rPr>
              <w:t>-35.1</w:t>
            </w:r>
          </w:p>
        </w:tc>
      </w:tr>
    </w:tbl>
    <w:p w:rsidR="00B65617" w:rsidRPr="008E7761" w:rsidRDefault="00B65617" w:rsidP="00B65617">
      <w:pPr>
        <w:spacing w:after="0" w:line="240" w:lineRule="auto"/>
        <w:contextualSpacing/>
        <w:jc w:val="both"/>
        <w:rPr>
          <w:rFonts w:ascii="Times New Roman" w:hAnsi="Times New Roman" w:cs="Times New Roman"/>
          <w:color w:val="000000" w:themeColor="text1"/>
          <w:sz w:val="20"/>
          <w:szCs w:val="18"/>
          <w:lang w:val="sq-AL"/>
        </w:rPr>
      </w:pPr>
      <w:r w:rsidRPr="008E7761">
        <w:rPr>
          <w:rFonts w:ascii="Times New Roman" w:hAnsi="Times New Roman" w:cs="Times New Roman"/>
          <w:color w:val="000000" w:themeColor="text1"/>
          <w:sz w:val="20"/>
          <w:szCs w:val="18"/>
          <w:lang w:val="sq-AL"/>
        </w:rPr>
        <w:t>Burimi: Vrojtimi i besimit të konsumatorit, Banka e Shqipërisë.</w:t>
      </w:r>
    </w:p>
    <w:p w:rsidR="00B65617" w:rsidRPr="008E7761" w:rsidRDefault="00B65617" w:rsidP="00B65617">
      <w:pPr>
        <w:spacing w:after="0" w:line="240" w:lineRule="auto"/>
        <w:contextualSpacing/>
        <w:jc w:val="both"/>
        <w:rPr>
          <w:rFonts w:ascii="Times New Roman" w:hAnsi="Times New Roman" w:cs="Times New Roman"/>
          <w:i/>
          <w:color w:val="000000" w:themeColor="text1"/>
          <w:sz w:val="18"/>
          <w:szCs w:val="16"/>
          <w:lang w:val="sq-AL"/>
        </w:rPr>
      </w:pPr>
      <w:r w:rsidRPr="008E7761">
        <w:rPr>
          <w:rFonts w:ascii="Times New Roman" w:hAnsi="Times New Roman" w:cs="Times New Roman"/>
          <w:i/>
          <w:color w:val="000000" w:themeColor="text1"/>
          <w:sz w:val="18"/>
          <w:szCs w:val="16"/>
          <w:lang w:val="sq-AL"/>
        </w:rPr>
        <w:t>*) Me përjashtim të sektorit të konsumatorit, balancat janë të rregulluara për sezonalitet.</w:t>
      </w:r>
    </w:p>
    <w:p w:rsidR="00B65617" w:rsidRPr="008E7761" w:rsidRDefault="00B65617" w:rsidP="00B65617">
      <w:pPr>
        <w:spacing w:after="0" w:line="240" w:lineRule="auto"/>
        <w:contextualSpacing/>
        <w:jc w:val="both"/>
        <w:rPr>
          <w:rFonts w:ascii="Times New Roman" w:hAnsi="Times New Roman" w:cs="Times New Roman"/>
          <w:i/>
          <w:color w:val="000000" w:themeColor="text1"/>
          <w:sz w:val="16"/>
          <w:szCs w:val="16"/>
          <w:lang w:val="sq-AL"/>
        </w:rPr>
      </w:pPr>
    </w:p>
    <w:p w:rsidR="00B65617" w:rsidRPr="008E7761" w:rsidRDefault="00B65617" w:rsidP="00B65617">
      <w:pPr>
        <w:spacing w:after="0" w:line="240" w:lineRule="auto"/>
        <w:contextualSpacing/>
        <w:jc w:val="both"/>
        <w:rPr>
          <w:rFonts w:ascii="Times New Roman" w:hAnsi="Times New Roman" w:cs="Times New Roman"/>
          <w:i/>
          <w:color w:val="000000" w:themeColor="text1"/>
          <w:sz w:val="16"/>
          <w:szCs w:val="16"/>
          <w:lang w:val="sq-AL"/>
        </w:rPr>
      </w:pPr>
    </w:p>
    <w:p w:rsidR="00B65617" w:rsidRPr="008E7761" w:rsidRDefault="00B65617" w:rsidP="00B65617">
      <w:pPr>
        <w:spacing w:after="0" w:line="240" w:lineRule="auto"/>
        <w:contextualSpacing/>
        <w:jc w:val="both"/>
        <w:rPr>
          <w:rFonts w:ascii="Times New Roman" w:hAnsi="Times New Roman" w:cs="Times New Roman"/>
          <w:i/>
          <w:color w:val="000000" w:themeColor="text1"/>
          <w:sz w:val="16"/>
          <w:szCs w:val="16"/>
          <w:lang w:val="sq-AL"/>
        </w:rPr>
      </w:pPr>
    </w:p>
    <w:p w:rsidR="00005C95" w:rsidRPr="008E7761" w:rsidRDefault="00005C95" w:rsidP="00B65617">
      <w:pPr>
        <w:spacing w:after="0" w:line="240" w:lineRule="auto"/>
        <w:contextualSpacing/>
        <w:jc w:val="both"/>
        <w:rPr>
          <w:rFonts w:ascii="Times New Roman" w:hAnsi="Times New Roman" w:cs="Times New Roman"/>
          <w:i/>
          <w:color w:val="000000" w:themeColor="text1"/>
          <w:sz w:val="16"/>
          <w:szCs w:val="16"/>
          <w:lang w:val="sq-AL"/>
        </w:rPr>
      </w:pPr>
    </w:p>
    <w:p w:rsidR="00B65617" w:rsidRPr="008E7761" w:rsidRDefault="00B65617" w:rsidP="00B65617">
      <w:pPr>
        <w:spacing w:after="0" w:line="240" w:lineRule="auto"/>
        <w:contextualSpacing/>
        <w:jc w:val="both"/>
        <w:rPr>
          <w:rFonts w:ascii="Times New Roman" w:hAnsi="Times New Roman" w:cs="Times New Roman"/>
          <w:i/>
          <w:color w:val="000000" w:themeColor="text1"/>
          <w:sz w:val="16"/>
          <w:szCs w:val="16"/>
          <w:lang w:val="sq-AL"/>
        </w:rPr>
      </w:pPr>
    </w:p>
    <w:p w:rsidR="00B65617" w:rsidRPr="008E7761" w:rsidRDefault="00B65617" w:rsidP="00B65617">
      <w:pPr>
        <w:spacing w:after="0" w:line="240" w:lineRule="auto"/>
        <w:contextualSpacing/>
        <w:jc w:val="both"/>
        <w:rPr>
          <w:rFonts w:ascii="Times New Roman" w:hAnsi="Times New Roman" w:cs="Times New Roman"/>
          <w:i/>
          <w:color w:val="000000" w:themeColor="text1"/>
          <w:sz w:val="16"/>
          <w:szCs w:val="16"/>
          <w:lang w:val="sq-AL"/>
        </w:rPr>
      </w:pPr>
    </w:p>
    <w:p w:rsidR="00B65617" w:rsidRPr="008E7761" w:rsidRDefault="00B65617" w:rsidP="00B65617">
      <w:pPr>
        <w:spacing w:after="0" w:line="240" w:lineRule="auto"/>
        <w:contextualSpacing/>
        <w:jc w:val="both"/>
        <w:rPr>
          <w:rFonts w:ascii="Times New Roman" w:hAnsi="Times New Roman" w:cs="Times New Roman"/>
          <w:i/>
          <w:color w:val="000000" w:themeColor="text1"/>
          <w:sz w:val="16"/>
          <w:szCs w:val="16"/>
          <w:lang w:val="sq-AL"/>
        </w:rPr>
      </w:pPr>
    </w:p>
    <w:p w:rsidR="00B65617" w:rsidRPr="008E7761" w:rsidRDefault="00B65617" w:rsidP="00B65617">
      <w:pPr>
        <w:spacing w:after="0" w:line="240" w:lineRule="auto"/>
        <w:contextualSpacing/>
        <w:jc w:val="both"/>
        <w:rPr>
          <w:rFonts w:ascii="Times New Roman" w:hAnsi="Times New Roman" w:cs="Times New Roman"/>
          <w:i/>
          <w:color w:val="000000" w:themeColor="text1"/>
          <w:sz w:val="16"/>
          <w:szCs w:val="16"/>
          <w:lang w:val="sq-AL"/>
        </w:rPr>
      </w:pPr>
    </w:p>
    <w:p w:rsidR="00D22C7D" w:rsidRPr="008E7761" w:rsidRDefault="00D22C7D" w:rsidP="00B65617">
      <w:pPr>
        <w:spacing w:after="0" w:line="240" w:lineRule="auto"/>
        <w:contextualSpacing/>
        <w:jc w:val="both"/>
        <w:rPr>
          <w:rFonts w:ascii="Times New Roman" w:hAnsi="Times New Roman" w:cs="Times New Roman"/>
          <w:i/>
          <w:color w:val="000000" w:themeColor="text1"/>
          <w:sz w:val="16"/>
          <w:szCs w:val="16"/>
          <w:lang w:val="sq-AL"/>
        </w:rPr>
      </w:pPr>
    </w:p>
    <w:p w:rsidR="00B65617" w:rsidRPr="008E7761" w:rsidRDefault="00B65617" w:rsidP="00B65617">
      <w:pPr>
        <w:spacing w:after="0" w:line="240" w:lineRule="auto"/>
        <w:contextualSpacing/>
        <w:jc w:val="both"/>
        <w:rPr>
          <w:rFonts w:ascii="Times New Roman" w:hAnsi="Times New Roman" w:cs="Times New Roman"/>
          <w:i/>
          <w:color w:val="000000" w:themeColor="text1"/>
          <w:sz w:val="16"/>
          <w:szCs w:val="16"/>
          <w:lang w:val="sq-AL"/>
        </w:rPr>
      </w:pPr>
    </w:p>
    <w:p w:rsidR="00B65617" w:rsidRPr="008E7761" w:rsidRDefault="00B65617" w:rsidP="007101C3">
      <w:pPr>
        <w:pStyle w:val="ListParagraph"/>
        <w:numPr>
          <w:ilvl w:val="0"/>
          <w:numId w:val="3"/>
        </w:numPr>
        <w:tabs>
          <w:tab w:val="left" w:pos="1260"/>
        </w:tabs>
        <w:spacing w:after="0" w:line="240" w:lineRule="auto"/>
        <w:ind w:firstLine="540"/>
        <w:jc w:val="both"/>
        <w:rPr>
          <w:rFonts w:ascii="Times New Roman" w:hAnsi="Times New Roman" w:cs="Times New Roman"/>
          <w:color w:val="000000" w:themeColor="text1"/>
          <w:szCs w:val="24"/>
          <w:lang w:val="sq-AL"/>
        </w:rPr>
      </w:pPr>
      <w:r w:rsidRPr="008E7761">
        <w:rPr>
          <w:rFonts w:ascii="Times New Roman" w:hAnsi="Times New Roman" w:cs="Times New Roman"/>
          <w:color w:val="000000" w:themeColor="text1"/>
          <w:szCs w:val="24"/>
          <w:lang w:val="sq-AL"/>
        </w:rPr>
        <w:lastRenderedPageBreak/>
        <w:t>Balancat kryesore të vrojtimit të konsumatorit</w:t>
      </w:r>
    </w:p>
    <w:p w:rsidR="00B65617" w:rsidRPr="008E7761" w:rsidRDefault="008055C1" w:rsidP="00B65617">
      <w:pPr>
        <w:spacing w:after="0" w:line="240" w:lineRule="auto"/>
        <w:contextualSpacing/>
        <w:rPr>
          <w:rFonts w:ascii="Times New Roman" w:hAnsi="Times New Roman" w:cs="Times New Roman"/>
          <w:color w:val="000000" w:themeColor="text1"/>
          <w:sz w:val="20"/>
          <w:szCs w:val="16"/>
          <w:lang w:val="sq-AL"/>
        </w:rPr>
      </w:pPr>
      <w:r w:rsidRPr="008055C1">
        <w:rPr>
          <w:noProof/>
          <w:lang w:val="sq-AL" w:eastAsia="sq-AL"/>
        </w:rPr>
        <w:drawing>
          <wp:inline distT="0" distB="0" distL="0" distR="0" wp14:anchorId="33A21A6C" wp14:editId="6CDC7261">
            <wp:extent cx="5943600" cy="5435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5435853"/>
                    </a:xfrm>
                    <a:prstGeom prst="rect">
                      <a:avLst/>
                    </a:prstGeom>
                    <a:noFill/>
                    <a:ln>
                      <a:noFill/>
                    </a:ln>
                  </pic:spPr>
                </pic:pic>
              </a:graphicData>
            </a:graphic>
          </wp:inline>
        </w:drawing>
      </w:r>
    </w:p>
    <w:p w:rsidR="00B65617" w:rsidRPr="008E7761" w:rsidRDefault="00B65617" w:rsidP="00B65617">
      <w:pPr>
        <w:spacing w:after="0" w:line="240" w:lineRule="auto"/>
        <w:contextualSpacing/>
        <w:rPr>
          <w:rFonts w:ascii="Times New Roman" w:hAnsi="Times New Roman" w:cs="Times New Roman"/>
          <w:color w:val="000000" w:themeColor="text1"/>
          <w:sz w:val="20"/>
          <w:szCs w:val="16"/>
          <w:lang w:val="sq-AL"/>
        </w:rPr>
      </w:pPr>
      <w:r w:rsidRPr="008E7761">
        <w:rPr>
          <w:rFonts w:ascii="Times New Roman" w:hAnsi="Times New Roman" w:cs="Times New Roman"/>
          <w:color w:val="000000" w:themeColor="text1"/>
          <w:sz w:val="20"/>
          <w:szCs w:val="16"/>
          <w:lang w:val="sq-AL"/>
        </w:rPr>
        <w:t>Burimi: Vrojtimi i besimit të konsumatorëve, Banka e Shqipërisë.</w:t>
      </w: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B65617">
      <w:pPr>
        <w:spacing w:after="0" w:line="240" w:lineRule="auto"/>
        <w:contextualSpacing/>
        <w:rPr>
          <w:rFonts w:ascii="Times New Roman" w:hAnsi="Times New Roman" w:cs="Times New Roman"/>
          <w:color w:val="000000" w:themeColor="text1"/>
          <w:szCs w:val="16"/>
          <w:lang w:val="sq-AL"/>
        </w:rPr>
      </w:pPr>
    </w:p>
    <w:p w:rsidR="00B65617" w:rsidRPr="008E7761" w:rsidRDefault="00B65617" w:rsidP="007101C3">
      <w:pPr>
        <w:pStyle w:val="ListParagraph"/>
        <w:numPr>
          <w:ilvl w:val="0"/>
          <w:numId w:val="3"/>
        </w:numPr>
        <w:tabs>
          <w:tab w:val="left" w:pos="1260"/>
        </w:tabs>
        <w:spacing w:after="0" w:line="240" w:lineRule="auto"/>
        <w:ind w:firstLine="540"/>
        <w:jc w:val="both"/>
        <w:rPr>
          <w:rFonts w:ascii="Times New Roman" w:hAnsi="Times New Roman" w:cs="Times New Roman"/>
          <w:color w:val="000000" w:themeColor="text1"/>
          <w:szCs w:val="24"/>
          <w:lang w:val="sq-AL"/>
        </w:rPr>
      </w:pPr>
      <w:r w:rsidRPr="008E7761">
        <w:rPr>
          <w:rFonts w:ascii="Times New Roman" w:hAnsi="Times New Roman" w:cs="Times New Roman"/>
          <w:color w:val="000000" w:themeColor="text1"/>
          <w:szCs w:val="24"/>
          <w:lang w:val="sq-AL"/>
        </w:rPr>
        <w:lastRenderedPageBreak/>
        <w:t>Balancat kryesore të vrojtimit të bizneseve, të agreguara në nivel ekonomie</w:t>
      </w:r>
    </w:p>
    <w:p w:rsidR="00B65617" w:rsidRPr="008E7761" w:rsidRDefault="007015C1" w:rsidP="00B65617">
      <w:pPr>
        <w:spacing w:after="0"/>
        <w:contextualSpacing/>
        <w:rPr>
          <w:rFonts w:ascii="Times New Roman" w:hAnsi="Times New Roman" w:cs="Times New Roman"/>
          <w:color w:val="000000" w:themeColor="text1"/>
          <w:szCs w:val="16"/>
          <w:lang w:val="sq-AL"/>
        </w:rPr>
      </w:pPr>
      <w:r w:rsidRPr="007015C1">
        <w:rPr>
          <w:noProof/>
          <w:lang w:val="sq-AL" w:eastAsia="sq-AL"/>
        </w:rPr>
        <w:drawing>
          <wp:inline distT="0" distB="0" distL="0" distR="0" wp14:anchorId="022F84D5" wp14:editId="74078776">
            <wp:extent cx="5943600" cy="571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5716345"/>
                    </a:xfrm>
                    <a:prstGeom prst="rect">
                      <a:avLst/>
                    </a:prstGeom>
                    <a:noFill/>
                    <a:ln>
                      <a:noFill/>
                    </a:ln>
                  </pic:spPr>
                </pic:pic>
              </a:graphicData>
            </a:graphic>
          </wp:inline>
        </w:drawing>
      </w:r>
    </w:p>
    <w:p w:rsidR="00B65617" w:rsidRPr="008E7761" w:rsidRDefault="00B65617" w:rsidP="00B65617">
      <w:pPr>
        <w:spacing w:after="0"/>
        <w:contextualSpacing/>
        <w:rPr>
          <w:rFonts w:ascii="Times New Roman" w:hAnsi="Times New Roman" w:cs="Times New Roman"/>
          <w:color w:val="000000" w:themeColor="text1"/>
          <w:sz w:val="18"/>
          <w:szCs w:val="16"/>
          <w:lang w:val="sq-AL"/>
        </w:rPr>
      </w:pPr>
      <w:r w:rsidRPr="008E7761">
        <w:rPr>
          <w:rFonts w:ascii="Times New Roman" w:hAnsi="Times New Roman" w:cs="Times New Roman"/>
          <w:color w:val="000000" w:themeColor="text1"/>
          <w:sz w:val="18"/>
          <w:szCs w:val="16"/>
          <w:lang w:val="sq-AL"/>
        </w:rPr>
        <w:t>Burimi: Vrojtimi i besimit të biznesit, Banka e Shqipërisë.</w:t>
      </w:r>
    </w:p>
    <w:p w:rsidR="00B65617" w:rsidRPr="008E7761" w:rsidRDefault="00B65617" w:rsidP="00B65617">
      <w:pPr>
        <w:spacing w:after="0"/>
        <w:contextualSpacing/>
        <w:jc w:val="both"/>
        <w:rPr>
          <w:rFonts w:ascii="Times New Roman" w:hAnsi="Times New Roman" w:cs="Times New Roman"/>
          <w:b/>
          <w:color w:val="000000" w:themeColor="text1"/>
          <w:szCs w:val="16"/>
          <w:lang w:val="sq-AL"/>
        </w:rPr>
      </w:pPr>
    </w:p>
    <w:p w:rsidR="00B65617" w:rsidRPr="008E7761" w:rsidRDefault="00B65617" w:rsidP="00B65617">
      <w:pPr>
        <w:spacing w:after="0"/>
        <w:contextualSpacing/>
        <w:jc w:val="both"/>
        <w:rPr>
          <w:rFonts w:ascii="Times New Roman" w:hAnsi="Times New Roman" w:cs="Times New Roman"/>
          <w:b/>
          <w:color w:val="000000" w:themeColor="text1"/>
          <w:szCs w:val="16"/>
          <w:lang w:val="sq-AL"/>
        </w:rPr>
      </w:pPr>
    </w:p>
    <w:p w:rsidR="00B65617" w:rsidRPr="008E7761" w:rsidRDefault="00B65617" w:rsidP="00B65617">
      <w:pPr>
        <w:spacing w:after="0"/>
        <w:contextualSpacing/>
        <w:jc w:val="both"/>
        <w:rPr>
          <w:rFonts w:ascii="Times New Roman" w:hAnsi="Times New Roman" w:cs="Times New Roman"/>
          <w:b/>
          <w:color w:val="000000" w:themeColor="text1"/>
          <w:szCs w:val="16"/>
          <w:lang w:val="sq-AL"/>
        </w:rPr>
      </w:pPr>
    </w:p>
    <w:p w:rsidR="00B65617" w:rsidRPr="008E7761" w:rsidRDefault="00B65617" w:rsidP="00B65617">
      <w:pPr>
        <w:spacing w:after="0"/>
        <w:contextualSpacing/>
        <w:jc w:val="both"/>
        <w:rPr>
          <w:rFonts w:ascii="Times New Roman" w:hAnsi="Times New Roman" w:cs="Times New Roman"/>
          <w:b/>
          <w:color w:val="000000" w:themeColor="text1"/>
          <w:szCs w:val="16"/>
          <w:lang w:val="sq-AL"/>
        </w:rPr>
      </w:pPr>
    </w:p>
    <w:p w:rsidR="00B65617" w:rsidRPr="008E7761" w:rsidRDefault="00B65617" w:rsidP="00B65617">
      <w:pPr>
        <w:spacing w:after="0"/>
        <w:contextualSpacing/>
        <w:jc w:val="both"/>
        <w:rPr>
          <w:rFonts w:ascii="Times New Roman" w:hAnsi="Times New Roman" w:cs="Times New Roman"/>
          <w:b/>
          <w:color w:val="000000" w:themeColor="text1"/>
          <w:szCs w:val="16"/>
          <w:lang w:val="sq-AL"/>
        </w:rPr>
      </w:pPr>
    </w:p>
    <w:p w:rsidR="00B65617" w:rsidRPr="008E7761" w:rsidRDefault="00B65617" w:rsidP="00B65617">
      <w:pPr>
        <w:spacing w:after="0"/>
        <w:contextualSpacing/>
        <w:jc w:val="both"/>
        <w:rPr>
          <w:rFonts w:ascii="Times New Roman" w:hAnsi="Times New Roman" w:cs="Times New Roman"/>
          <w:b/>
          <w:color w:val="000000" w:themeColor="text1"/>
          <w:szCs w:val="16"/>
          <w:lang w:val="sq-AL"/>
        </w:rPr>
      </w:pPr>
    </w:p>
    <w:p w:rsidR="00B65617" w:rsidRDefault="00B65617" w:rsidP="00B65617">
      <w:pPr>
        <w:spacing w:after="0"/>
        <w:contextualSpacing/>
        <w:jc w:val="both"/>
        <w:rPr>
          <w:rFonts w:ascii="Times New Roman" w:hAnsi="Times New Roman" w:cs="Times New Roman"/>
          <w:b/>
          <w:color w:val="000000" w:themeColor="text1"/>
          <w:szCs w:val="16"/>
          <w:lang w:val="sq-AL"/>
        </w:rPr>
      </w:pPr>
    </w:p>
    <w:p w:rsidR="00F171B4" w:rsidRDefault="00F171B4" w:rsidP="00B65617">
      <w:pPr>
        <w:spacing w:after="0"/>
        <w:contextualSpacing/>
        <w:jc w:val="both"/>
        <w:rPr>
          <w:rFonts w:ascii="Times New Roman" w:hAnsi="Times New Roman" w:cs="Times New Roman"/>
          <w:b/>
          <w:color w:val="000000" w:themeColor="text1"/>
          <w:szCs w:val="16"/>
          <w:lang w:val="sq-AL"/>
        </w:rPr>
      </w:pPr>
    </w:p>
    <w:p w:rsidR="00720201" w:rsidRDefault="00720201" w:rsidP="00B65617">
      <w:pPr>
        <w:spacing w:after="0"/>
        <w:contextualSpacing/>
        <w:jc w:val="both"/>
        <w:rPr>
          <w:rFonts w:ascii="Times New Roman" w:hAnsi="Times New Roman" w:cs="Times New Roman"/>
          <w:b/>
          <w:color w:val="000000" w:themeColor="text1"/>
          <w:szCs w:val="16"/>
          <w:lang w:val="sq-AL"/>
        </w:rPr>
      </w:pPr>
    </w:p>
    <w:p w:rsidR="00720201" w:rsidRPr="008E7761" w:rsidRDefault="00720201" w:rsidP="00B65617">
      <w:pPr>
        <w:spacing w:after="0"/>
        <w:contextualSpacing/>
        <w:jc w:val="both"/>
        <w:rPr>
          <w:rFonts w:ascii="Times New Roman" w:hAnsi="Times New Roman" w:cs="Times New Roman"/>
          <w:b/>
          <w:color w:val="000000" w:themeColor="text1"/>
          <w:szCs w:val="16"/>
          <w:lang w:val="sq-AL"/>
        </w:rPr>
      </w:pPr>
    </w:p>
    <w:p w:rsidR="00B65617" w:rsidRPr="008E7761" w:rsidRDefault="00B65617" w:rsidP="00B65617">
      <w:pPr>
        <w:spacing w:after="0"/>
        <w:contextualSpacing/>
        <w:jc w:val="both"/>
        <w:rPr>
          <w:rFonts w:ascii="Times New Roman" w:hAnsi="Times New Roman" w:cs="Times New Roman"/>
          <w:b/>
          <w:color w:val="000000" w:themeColor="text1"/>
          <w:szCs w:val="16"/>
          <w:lang w:val="sq-AL"/>
        </w:rPr>
      </w:pPr>
    </w:p>
    <w:p w:rsidR="00B65617" w:rsidRPr="008E7761" w:rsidRDefault="00B65617" w:rsidP="00B65617">
      <w:pPr>
        <w:contextualSpacing/>
        <w:jc w:val="both"/>
        <w:rPr>
          <w:rFonts w:ascii="Times New Roman" w:hAnsi="Times New Roman" w:cs="Times New Roman"/>
          <w:b/>
          <w:color w:val="000000" w:themeColor="text1"/>
          <w:sz w:val="28"/>
          <w:szCs w:val="16"/>
          <w:lang w:val="sq-AL"/>
        </w:rPr>
      </w:pPr>
      <w:r w:rsidRPr="008E7761">
        <w:rPr>
          <w:rFonts w:ascii="Times New Roman" w:hAnsi="Times New Roman" w:cs="Times New Roman"/>
          <w:b/>
          <w:color w:val="000000" w:themeColor="text1"/>
          <w:sz w:val="28"/>
          <w:szCs w:val="16"/>
          <w:lang w:val="sq-AL"/>
        </w:rPr>
        <w:lastRenderedPageBreak/>
        <w:t>Aneks</w:t>
      </w:r>
    </w:p>
    <w:p w:rsidR="00B65617" w:rsidRPr="008E7761" w:rsidRDefault="00B65617" w:rsidP="00B65617">
      <w:pPr>
        <w:contextualSpacing/>
        <w:jc w:val="both"/>
        <w:rPr>
          <w:rFonts w:ascii="Times New Roman" w:hAnsi="Times New Roman" w:cs="Times New Roman"/>
          <w:b/>
          <w:color w:val="000000" w:themeColor="text1"/>
          <w:szCs w:val="16"/>
          <w:lang w:val="sq-AL"/>
        </w:rPr>
      </w:pPr>
    </w:p>
    <w:p w:rsidR="00B65617" w:rsidRPr="008E7761" w:rsidRDefault="00B65617" w:rsidP="00B65617">
      <w:pPr>
        <w:contextualSpacing/>
        <w:jc w:val="both"/>
        <w:rPr>
          <w:rFonts w:ascii="Times New Roman" w:hAnsi="Times New Roman" w:cs="Times New Roman"/>
          <w:b/>
          <w:color w:val="000000" w:themeColor="text1"/>
          <w:sz w:val="24"/>
          <w:szCs w:val="16"/>
          <w:lang w:val="sq-AL"/>
        </w:rPr>
      </w:pPr>
      <w:r w:rsidRPr="008E7761">
        <w:rPr>
          <w:rFonts w:ascii="Times New Roman" w:hAnsi="Times New Roman" w:cs="Times New Roman"/>
          <w:b/>
          <w:color w:val="000000" w:themeColor="text1"/>
          <w:sz w:val="24"/>
          <w:szCs w:val="16"/>
          <w:lang w:val="sq-AL"/>
        </w:rPr>
        <w:t>Shpjegime metodologjike</w:t>
      </w:r>
    </w:p>
    <w:p w:rsidR="00B65617" w:rsidRPr="008E7761" w:rsidRDefault="00B65617" w:rsidP="00B65617">
      <w:pPr>
        <w:contextualSpacing/>
        <w:jc w:val="both"/>
        <w:rPr>
          <w:rFonts w:ascii="Times New Roman" w:hAnsi="Times New Roman" w:cs="Times New Roman"/>
          <w:color w:val="000000" w:themeColor="text1"/>
          <w:szCs w:val="16"/>
          <w:lang w:val="sq-AL"/>
        </w:rPr>
      </w:pPr>
    </w:p>
    <w:p w:rsidR="00B65617" w:rsidRPr="008E7761" w:rsidRDefault="00B65617" w:rsidP="00005C95">
      <w:pPr>
        <w:contextualSpacing/>
        <w:jc w:val="both"/>
        <w:rPr>
          <w:rFonts w:ascii="Times New Roman" w:hAnsi="Times New Roman" w:cs="Times New Roman"/>
          <w:color w:val="000000" w:themeColor="text1"/>
          <w:szCs w:val="16"/>
          <w:lang w:val="sq-AL"/>
        </w:rPr>
      </w:pPr>
      <w:r w:rsidRPr="008E7761">
        <w:rPr>
          <w:rFonts w:ascii="Times New Roman" w:hAnsi="Times New Roman" w:cs="Times New Roman"/>
          <w:color w:val="000000" w:themeColor="text1"/>
          <w:szCs w:val="16"/>
          <w:lang w:val="sq-AL"/>
        </w:rPr>
        <w:t>-</w:t>
      </w:r>
      <w:r w:rsidRPr="008E7761">
        <w:rPr>
          <w:rFonts w:ascii="Times New Roman" w:hAnsi="Times New Roman" w:cs="Times New Roman"/>
          <w:b/>
          <w:bCs/>
          <w:color w:val="000000" w:themeColor="text1"/>
          <w:szCs w:val="16"/>
          <w:lang w:val="sq-AL"/>
        </w:rPr>
        <w:t>Balanca</w:t>
      </w:r>
      <w:r w:rsidRPr="008E7761">
        <w:rPr>
          <w:rFonts w:ascii="Times New Roman" w:hAnsi="Times New Roman" w:cs="Times New Roman"/>
          <w:color w:val="000000" w:themeColor="text1"/>
          <w:szCs w:val="16"/>
          <w:lang w:val="sq-AL"/>
        </w:rPr>
        <w:t xml:space="preserve"> është treguesi që përdoret më shpesh për agregimin e të dhënave cilësore nga vrojtimet. Ajo llogaritet si diferencë midis përqindjes së përgjigjeve pozitive dhe përqindjes së përgjigjeve negative. Balanca shprehet në pikë përqindje.</w:t>
      </w:r>
    </w:p>
    <w:p w:rsidR="00005C95" w:rsidRPr="008E7761" w:rsidRDefault="00005C95" w:rsidP="00005C95">
      <w:pPr>
        <w:contextualSpacing/>
        <w:jc w:val="both"/>
        <w:rPr>
          <w:rFonts w:ascii="Times New Roman" w:hAnsi="Times New Roman" w:cs="Times New Roman"/>
          <w:color w:val="000000" w:themeColor="text1"/>
          <w:szCs w:val="16"/>
          <w:lang w:val="sq-AL"/>
        </w:rPr>
      </w:pPr>
    </w:p>
    <w:p w:rsidR="00B65617" w:rsidRPr="008E7761" w:rsidRDefault="00B65617" w:rsidP="00005C95">
      <w:pPr>
        <w:contextualSpacing/>
        <w:jc w:val="both"/>
        <w:rPr>
          <w:rFonts w:ascii="Times New Roman" w:hAnsi="Times New Roman" w:cs="Times New Roman"/>
          <w:color w:val="000000" w:themeColor="text1"/>
          <w:szCs w:val="16"/>
          <w:lang w:val="sq-AL"/>
        </w:rPr>
      </w:pPr>
      <w:r w:rsidRPr="008E7761">
        <w:rPr>
          <w:rFonts w:ascii="Times New Roman" w:hAnsi="Times New Roman" w:cs="Times New Roman"/>
          <w:color w:val="000000" w:themeColor="text1"/>
          <w:szCs w:val="16"/>
          <w:lang w:val="sq-AL"/>
        </w:rPr>
        <w:t>-</w:t>
      </w:r>
      <w:r w:rsidRPr="008E7761">
        <w:rPr>
          <w:rFonts w:ascii="Times New Roman" w:hAnsi="Times New Roman" w:cs="Times New Roman"/>
          <w:b/>
          <w:bCs/>
          <w:color w:val="000000" w:themeColor="text1"/>
          <w:szCs w:val="16"/>
          <w:lang w:val="sq-AL"/>
        </w:rPr>
        <w:t>Treguesi i Besimit</w:t>
      </w:r>
      <w:r w:rsidRPr="008E7761">
        <w:rPr>
          <w:rFonts w:ascii="Times New Roman" w:hAnsi="Times New Roman" w:cs="Times New Roman"/>
          <w:color w:val="000000" w:themeColor="text1"/>
          <w:szCs w:val="16"/>
          <w:lang w:val="sq-AL"/>
        </w:rPr>
        <w:t xml:space="preserve"> (TB) ndërtohet për çdo sektor dhe llogaritet si mesatare e thjeshtë e balancave të rregulluara sezonalisht, të treguesve të cilët kanë korrelacionin më të lartë me serinë e referencës (serinë e të dhënave reale të ekonomisë).</w:t>
      </w:r>
    </w:p>
    <w:p w:rsidR="00005C95" w:rsidRPr="008E7761" w:rsidRDefault="00005C95" w:rsidP="00005C95">
      <w:pPr>
        <w:contextualSpacing/>
        <w:jc w:val="both"/>
        <w:rPr>
          <w:rFonts w:ascii="Times New Roman" w:hAnsi="Times New Roman" w:cs="Times New Roman"/>
          <w:color w:val="000000" w:themeColor="text1"/>
          <w:szCs w:val="16"/>
          <w:lang w:val="sq-AL"/>
        </w:rPr>
      </w:pPr>
    </w:p>
    <w:p w:rsidR="00B65617" w:rsidRPr="008E7761" w:rsidRDefault="00B65617" w:rsidP="00005C95">
      <w:pPr>
        <w:contextualSpacing/>
        <w:jc w:val="both"/>
        <w:rPr>
          <w:rFonts w:ascii="Times New Roman" w:hAnsi="Times New Roman" w:cs="Times New Roman"/>
          <w:color w:val="000000" w:themeColor="text1"/>
          <w:sz w:val="24"/>
          <w:szCs w:val="24"/>
          <w:lang w:val="sq-AL"/>
        </w:rPr>
      </w:pPr>
      <w:r w:rsidRPr="008E7761">
        <w:rPr>
          <w:rFonts w:ascii="Times New Roman" w:hAnsi="Times New Roman" w:cs="Times New Roman"/>
          <w:b/>
          <w:bCs/>
          <w:color w:val="000000" w:themeColor="text1"/>
          <w:szCs w:val="16"/>
          <w:lang w:val="sq-AL"/>
        </w:rPr>
        <w:t xml:space="preserve">-Treguesi i Ndjesisë Ekonomike </w:t>
      </w:r>
      <w:r w:rsidRPr="008E7761">
        <w:rPr>
          <w:rFonts w:ascii="Times New Roman" w:hAnsi="Times New Roman" w:cs="Times New Roman"/>
          <w:color w:val="000000" w:themeColor="text1"/>
          <w:szCs w:val="16"/>
          <w:lang w:val="sq-AL"/>
        </w:rPr>
        <w:t>(TNE) përmbledh të gjitha balancat (13) e përdorura për llogaritjen e treguesve të besimit për të katër sektorët, të peshuara sipas aktivitetit ekonomik. Ai shpreh me anë të një treguesi të vetëm, ndjesitë për aktivitetin ekonomik në vend, të dy prej grupeve kryesore ekonomike: biznesit dhe konsumatorëve.</w:t>
      </w:r>
    </w:p>
    <w:p w:rsidR="00B65617" w:rsidRPr="008E7761" w:rsidRDefault="00B65617" w:rsidP="00B65617">
      <w:pPr>
        <w:rPr>
          <w:rFonts w:ascii="Times New Roman" w:hAnsi="Times New Roman" w:cs="Times New Roman"/>
          <w:color w:val="000000" w:themeColor="text1"/>
          <w:lang w:val="sq-AL"/>
        </w:rPr>
      </w:pPr>
    </w:p>
    <w:p w:rsidR="00B65617" w:rsidRPr="008E7761" w:rsidRDefault="00B65617" w:rsidP="00B65617">
      <w:pPr>
        <w:rPr>
          <w:rFonts w:ascii="Times New Roman" w:hAnsi="Times New Roman" w:cs="Times New Roman"/>
          <w:color w:val="000000" w:themeColor="text1"/>
          <w:lang w:val="sq-AL"/>
        </w:rPr>
      </w:pPr>
    </w:p>
    <w:p w:rsidR="005D7230" w:rsidRPr="008E7761" w:rsidRDefault="005D7230" w:rsidP="00B65617">
      <w:pPr>
        <w:rPr>
          <w:rFonts w:ascii="Times New Roman" w:hAnsi="Times New Roman" w:cs="Times New Roman"/>
          <w:color w:val="000000" w:themeColor="text1"/>
          <w:lang w:val="sq-AL"/>
        </w:rPr>
      </w:pPr>
    </w:p>
    <w:sectPr w:rsidR="005D7230" w:rsidRPr="008E7761" w:rsidSect="001D7B2C">
      <w:footerReference w:type="default" r:id="rId1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6A" w:rsidRDefault="0001596A" w:rsidP="001D7B2C">
      <w:pPr>
        <w:spacing w:after="0" w:line="240" w:lineRule="auto"/>
      </w:pPr>
      <w:r>
        <w:separator/>
      </w:r>
    </w:p>
  </w:endnote>
  <w:endnote w:type="continuationSeparator" w:id="0">
    <w:p w:rsidR="0001596A" w:rsidRDefault="0001596A" w:rsidP="001D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52722"/>
      <w:docPartObj>
        <w:docPartGallery w:val="Page Numbers (Bottom of Page)"/>
        <w:docPartUnique/>
      </w:docPartObj>
    </w:sdtPr>
    <w:sdtEndPr>
      <w:rPr>
        <w:noProof/>
      </w:rPr>
    </w:sdtEndPr>
    <w:sdtContent>
      <w:p w:rsidR="00005C95" w:rsidRDefault="00082118">
        <w:pPr>
          <w:pStyle w:val="Footer"/>
          <w:jc w:val="center"/>
        </w:pPr>
        <w:r>
          <w:fldChar w:fldCharType="begin"/>
        </w:r>
        <w:r w:rsidR="00005C95">
          <w:instrText>PAGE   \* MERGEFORMAT</w:instrText>
        </w:r>
        <w:r>
          <w:fldChar w:fldCharType="separate"/>
        </w:r>
        <w:r w:rsidR="009A0A15" w:rsidRPr="009A0A15">
          <w:rPr>
            <w:noProof/>
            <w:lang w:val="sq-AL"/>
          </w:rPr>
          <w:t>3</w:t>
        </w:r>
        <w:r>
          <w:rPr>
            <w:noProof/>
          </w:rPr>
          <w:fldChar w:fldCharType="end"/>
        </w:r>
      </w:p>
    </w:sdtContent>
  </w:sdt>
  <w:p w:rsidR="00005C95" w:rsidRDefault="0000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6A" w:rsidRDefault="0001596A" w:rsidP="001D7B2C">
      <w:pPr>
        <w:spacing w:after="0" w:line="240" w:lineRule="auto"/>
      </w:pPr>
      <w:r>
        <w:separator/>
      </w:r>
    </w:p>
  </w:footnote>
  <w:footnote w:type="continuationSeparator" w:id="0">
    <w:p w:rsidR="0001596A" w:rsidRDefault="0001596A" w:rsidP="001D7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839"/>
    <w:multiLevelType w:val="hybridMultilevel"/>
    <w:tmpl w:val="655E1EC2"/>
    <w:lvl w:ilvl="0" w:tplc="54DCCB8C">
      <w:start w:val="1"/>
      <w:numFmt w:val="decimal"/>
      <w:lvlText w:val="Grafik %1."/>
      <w:lvlJc w:val="righ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E21845"/>
    <w:multiLevelType w:val="hybridMultilevel"/>
    <w:tmpl w:val="655E1EC2"/>
    <w:lvl w:ilvl="0" w:tplc="54DCCB8C">
      <w:start w:val="1"/>
      <w:numFmt w:val="decimal"/>
      <w:lvlText w:val="Grafik %1."/>
      <w:lvlJc w:val="righ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E5063F"/>
    <w:multiLevelType w:val="hybridMultilevel"/>
    <w:tmpl w:val="E91EE984"/>
    <w:lvl w:ilvl="0" w:tplc="E3782CA4">
      <w:start w:val="1"/>
      <w:numFmt w:val="decimal"/>
      <w:lvlText w:val="Grafik %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A4"/>
    <w:rsid w:val="00001815"/>
    <w:rsid w:val="0000494E"/>
    <w:rsid w:val="00005C95"/>
    <w:rsid w:val="00007C02"/>
    <w:rsid w:val="000132EE"/>
    <w:rsid w:val="0001596A"/>
    <w:rsid w:val="00021E8F"/>
    <w:rsid w:val="00022B56"/>
    <w:rsid w:val="00023201"/>
    <w:rsid w:val="0002326E"/>
    <w:rsid w:val="000252A8"/>
    <w:rsid w:val="000262F0"/>
    <w:rsid w:val="00026952"/>
    <w:rsid w:val="000351C5"/>
    <w:rsid w:val="0003551C"/>
    <w:rsid w:val="000356A0"/>
    <w:rsid w:val="00035E3F"/>
    <w:rsid w:val="00041408"/>
    <w:rsid w:val="00042692"/>
    <w:rsid w:val="000450A5"/>
    <w:rsid w:val="00045752"/>
    <w:rsid w:val="00051915"/>
    <w:rsid w:val="00052A60"/>
    <w:rsid w:val="000559FC"/>
    <w:rsid w:val="00057CA2"/>
    <w:rsid w:val="00061301"/>
    <w:rsid w:val="00063AE8"/>
    <w:rsid w:val="00066AE8"/>
    <w:rsid w:val="000673FD"/>
    <w:rsid w:val="00072953"/>
    <w:rsid w:val="00072E95"/>
    <w:rsid w:val="00073671"/>
    <w:rsid w:val="000804EE"/>
    <w:rsid w:val="00082118"/>
    <w:rsid w:val="00085186"/>
    <w:rsid w:val="000868C1"/>
    <w:rsid w:val="0009447E"/>
    <w:rsid w:val="00095E3D"/>
    <w:rsid w:val="000A0A4B"/>
    <w:rsid w:val="000A34AA"/>
    <w:rsid w:val="000A60B7"/>
    <w:rsid w:val="000A7FB4"/>
    <w:rsid w:val="000B107C"/>
    <w:rsid w:val="000C078D"/>
    <w:rsid w:val="000C3DB1"/>
    <w:rsid w:val="000C4B21"/>
    <w:rsid w:val="000C608A"/>
    <w:rsid w:val="000C76F7"/>
    <w:rsid w:val="000E2D94"/>
    <w:rsid w:val="000E6694"/>
    <w:rsid w:val="000F33EB"/>
    <w:rsid w:val="000F5333"/>
    <w:rsid w:val="000F5F3E"/>
    <w:rsid w:val="000F609A"/>
    <w:rsid w:val="000F6375"/>
    <w:rsid w:val="00100DC1"/>
    <w:rsid w:val="00107DF6"/>
    <w:rsid w:val="00114CED"/>
    <w:rsid w:val="00115976"/>
    <w:rsid w:val="00115C80"/>
    <w:rsid w:val="00115FA5"/>
    <w:rsid w:val="00117A59"/>
    <w:rsid w:val="00122D0C"/>
    <w:rsid w:val="001250C4"/>
    <w:rsid w:val="00127823"/>
    <w:rsid w:val="00130355"/>
    <w:rsid w:val="00136ECD"/>
    <w:rsid w:val="0014162A"/>
    <w:rsid w:val="00144A94"/>
    <w:rsid w:val="0014609A"/>
    <w:rsid w:val="001514B0"/>
    <w:rsid w:val="00156426"/>
    <w:rsid w:val="0016231B"/>
    <w:rsid w:val="00163F95"/>
    <w:rsid w:val="00166A25"/>
    <w:rsid w:val="00166C79"/>
    <w:rsid w:val="00171776"/>
    <w:rsid w:val="00175E61"/>
    <w:rsid w:val="0017640F"/>
    <w:rsid w:val="00177517"/>
    <w:rsid w:val="00183AFE"/>
    <w:rsid w:val="00187DE6"/>
    <w:rsid w:val="0019004D"/>
    <w:rsid w:val="001922FD"/>
    <w:rsid w:val="0019546F"/>
    <w:rsid w:val="00196932"/>
    <w:rsid w:val="00197486"/>
    <w:rsid w:val="001A149B"/>
    <w:rsid w:val="001A1E04"/>
    <w:rsid w:val="001A20BD"/>
    <w:rsid w:val="001A3DA8"/>
    <w:rsid w:val="001A3F17"/>
    <w:rsid w:val="001A615A"/>
    <w:rsid w:val="001B26C7"/>
    <w:rsid w:val="001B3930"/>
    <w:rsid w:val="001B523B"/>
    <w:rsid w:val="001B7F66"/>
    <w:rsid w:val="001D2846"/>
    <w:rsid w:val="001D7B2C"/>
    <w:rsid w:val="001E1363"/>
    <w:rsid w:val="001E7351"/>
    <w:rsid w:val="001F378B"/>
    <w:rsid w:val="001F4AB4"/>
    <w:rsid w:val="001F5033"/>
    <w:rsid w:val="001F5089"/>
    <w:rsid w:val="002046F3"/>
    <w:rsid w:val="00204B80"/>
    <w:rsid w:val="0020573C"/>
    <w:rsid w:val="002067BC"/>
    <w:rsid w:val="002125EC"/>
    <w:rsid w:val="002174D3"/>
    <w:rsid w:val="002175AC"/>
    <w:rsid w:val="00221495"/>
    <w:rsid w:val="00222AE2"/>
    <w:rsid w:val="00225CE3"/>
    <w:rsid w:val="00226D42"/>
    <w:rsid w:val="002323CA"/>
    <w:rsid w:val="0023301D"/>
    <w:rsid w:val="00233891"/>
    <w:rsid w:val="002361BB"/>
    <w:rsid w:val="002368D4"/>
    <w:rsid w:val="00236987"/>
    <w:rsid w:val="00252372"/>
    <w:rsid w:val="0026084C"/>
    <w:rsid w:val="00265EEE"/>
    <w:rsid w:val="002671B6"/>
    <w:rsid w:val="00271DCA"/>
    <w:rsid w:val="002729AF"/>
    <w:rsid w:val="00272AC2"/>
    <w:rsid w:val="002747C1"/>
    <w:rsid w:val="00276898"/>
    <w:rsid w:val="00277495"/>
    <w:rsid w:val="0028003B"/>
    <w:rsid w:val="0028137D"/>
    <w:rsid w:val="00283A79"/>
    <w:rsid w:val="00292E2C"/>
    <w:rsid w:val="0029461A"/>
    <w:rsid w:val="002A0AAF"/>
    <w:rsid w:val="002A1F71"/>
    <w:rsid w:val="002A289A"/>
    <w:rsid w:val="002A513E"/>
    <w:rsid w:val="002B110A"/>
    <w:rsid w:val="002B22B8"/>
    <w:rsid w:val="002B27B2"/>
    <w:rsid w:val="002B2F84"/>
    <w:rsid w:val="002C0341"/>
    <w:rsid w:val="002C28F7"/>
    <w:rsid w:val="002C665F"/>
    <w:rsid w:val="002D4925"/>
    <w:rsid w:val="002D51BC"/>
    <w:rsid w:val="002D530C"/>
    <w:rsid w:val="002D63A9"/>
    <w:rsid w:val="002E03B9"/>
    <w:rsid w:val="002E0D1D"/>
    <w:rsid w:val="002E1764"/>
    <w:rsid w:val="002E19A9"/>
    <w:rsid w:val="002E7597"/>
    <w:rsid w:val="002F1ECA"/>
    <w:rsid w:val="002F6EEC"/>
    <w:rsid w:val="00303188"/>
    <w:rsid w:val="003068A1"/>
    <w:rsid w:val="00310C95"/>
    <w:rsid w:val="00313851"/>
    <w:rsid w:val="00313C26"/>
    <w:rsid w:val="00315B12"/>
    <w:rsid w:val="003244CA"/>
    <w:rsid w:val="00342869"/>
    <w:rsid w:val="00347150"/>
    <w:rsid w:val="003507C8"/>
    <w:rsid w:val="00354814"/>
    <w:rsid w:val="003578E1"/>
    <w:rsid w:val="00357F81"/>
    <w:rsid w:val="00362AA9"/>
    <w:rsid w:val="00370344"/>
    <w:rsid w:val="00373381"/>
    <w:rsid w:val="00374BC2"/>
    <w:rsid w:val="00375671"/>
    <w:rsid w:val="00375A51"/>
    <w:rsid w:val="0038108B"/>
    <w:rsid w:val="00387C82"/>
    <w:rsid w:val="00393F6F"/>
    <w:rsid w:val="0039495B"/>
    <w:rsid w:val="003A2E6F"/>
    <w:rsid w:val="003A533D"/>
    <w:rsid w:val="003B1029"/>
    <w:rsid w:val="003B28FA"/>
    <w:rsid w:val="003B5407"/>
    <w:rsid w:val="003B7076"/>
    <w:rsid w:val="003C0BDA"/>
    <w:rsid w:val="003C7857"/>
    <w:rsid w:val="003C7B66"/>
    <w:rsid w:val="003D7B32"/>
    <w:rsid w:val="003E194D"/>
    <w:rsid w:val="003E39B8"/>
    <w:rsid w:val="003E631F"/>
    <w:rsid w:val="003E7D94"/>
    <w:rsid w:val="003F1244"/>
    <w:rsid w:val="003F6A6C"/>
    <w:rsid w:val="00406DB5"/>
    <w:rsid w:val="00412D4E"/>
    <w:rsid w:val="00413DEC"/>
    <w:rsid w:val="00424E3A"/>
    <w:rsid w:val="00426540"/>
    <w:rsid w:val="00436345"/>
    <w:rsid w:val="00440895"/>
    <w:rsid w:val="00441AAD"/>
    <w:rsid w:val="00443398"/>
    <w:rsid w:val="004442D3"/>
    <w:rsid w:val="00444A9E"/>
    <w:rsid w:val="00444C55"/>
    <w:rsid w:val="004547C2"/>
    <w:rsid w:val="00455242"/>
    <w:rsid w:val="00455AF7"/>
    <w:rsid w:val="00456258"/>
    <w:rsid w:val="004575D0"/>
    <w:rsid w:val="00464590"/>
    <w:rsid w:val="004659FD"/>
    <w:rsid w:val="004766F9"/>
    <w:rsid w:val="0048264F"/>
    <w:rsid w:val="00484D56"/>
    <w:rsid w:val="004918F1"/>
    <w:rsid w:val="00494409"/>
    <w:rsid w:val="00494CDB"/>
    <w:rsid w:val="00495BFC"/>
    <w:rsid w:val="00495FE1"/>
    <w:rsid w:val="004A16B4"/>
    <w:rsid w:val="004A52FF"/>
    <w:rsid w:val="004B3CFA"/>
    <w:rsid w:val="004B4DF3"/>
    <w:rsid w:val="004B5A00"/>
    <w:rsid w:val="004B6262"/>
    <w:rsid w:val="004C0F39"/>
    <w:rsid w:val="004C1460"/>
    <w:rsid w:val="004C39AC"/>
    <w:rsid w:val="004D40FC"/>
    <w:rsid w:val="004E53CA"/>
    <w:rsid w:val="004E5FBB"/>
    <w:rsid w:val="004E6D4F"/>
    <w:rsid w:val="004F0F61"/>
    <w:rsid w:val="004F41C5"/>
    <w:rsid w:val="004F55F5"/>
    <w:rsid w:val="004F5CBE"/>
    <w:rsid w:val="004F624E"/>
    <w:rsid w:val="004F6DE0"/>
    <w:rsid w:val="00500266"/>
    <w:rsid w:val="0050224C"/>
    <w:rsid w:val="00503D64"/>
    <w:rsid w:val="00507B44"/>
    <w:rsid w:val="0051533A"/>
    <w:rsid w:val="005164E2"/>
    <w:rsid w:val="00522617"/>
    <w:rsid w:val="00524EA9"/>
    <w:rsid w:val="00525C39"/>
    <w:rsid w:val="00531884"/>
    <w:rsid w:val="005333DC"/>
    <w:rsid w:val="005360C7"/>
    <w:rsid w:val="005373E4"/>
    <w:rsid w:val="00540209"/>
    <w:rsid w:val="005402E2"/>
    <w:rsid w:val="005406E3"/>
    <w:rsid w:val="00540CDB"/>
    <w:rsid w:val="00556948"/>
    <w:rsid w:val="00560A4C"/>
    <w:rsid w:val="00562158"/>
    <w:rsid w:val="005639DA"/>
    <w:rsid w:val="00565DAA"/>
    <w:rsid w:val="005666F5"/>
    <w:rsid w:val="00575417"/>
    <w:rsid w:val="0058002E"/>
    <w:rsid w:val="00580A85"/>
    <w:rsid w:val="00581522"/>
    <w:rsid w:val="00581D53"/>
    <w:rsid w:val="005910F9"/>
    <w:rsid w:val="005916FE"/>
    <w:rsid w:val="00597937"/>
    <w:rsid w:val="005A5A40"/>
    <w:rsid w:val="005A5C2E"/>
    <w:rsid w:val="005A6D39"/>
    <w:rsid w:val="005B6A33"/>
    <w:rsid w:val="005C1108"/>
    <w:rsid w:val="005C36D6"/>
    <w:rsid w:val="005C4BE2"/>
    <w:rsid w:val="005C774A"/>
    <w:rsid w:val="005D20E2"/>
    <w:rsid w:val="005D40A8"/>
    <w:rsid w:val="005D7230"/>
    <w:rsid w:val="005E025A"/>
    <w:rsid w:val="005E0916"/>
    <w:rsid w:val="005E1EB0"/>
    <w:rsid w:val="005E2B52"/>
    <w:rsid w:val="005E70BB"/>
    <w:rsid w:val="005E75AB"/>
    <w:rsid w:val="005F1662"/>
    <w:rsid w:val="005F56FF"/>
    <w:rsid w:val="006015CB"/>
    <w:rsid w:val="006025EB"/>
    <w:rsid w:val="00602E6D"/>
    <w:rsid w:val="006115FD"/>
    <w:rsid w:val="006132E1"/>
    <w:rsid w:val="00615A3A"/>
    <w:rsid w:val="0062549F"/>
    <w:rsid w:val="006258E4"/>
    <w:rsid w:val="00627265"/>
    <w:rsid w:val="006314CE"/>
    <w:rsid w:val="00634810"/>
    <w:rsid w:val="00634ABB"/>
    <w:rsid w:val="006368DB"/>
    <w:rsid w:val="0064275E"/>
    <w:rsid w:val="0065491B"/>
    <w:rsid w:val="00661874"/>
    <w:rsid w:val="00666D24"/>
    <w:rsid w:val="00671AE2"/>
    <w:rsid w:val="00677762"/>
    <w:rsid w:val="0067783A"/>
    <w:rsid w:val="00683777"/>
    <w:rsid w:val="00685FDE"/>
    <w:rsid w:val="00686774"/>
    <w:rsid w:val="006A5776"/>
    <w:rsid w:val="006A61C2"/>
    <w:rsid w:val="006B181A"/>
    <w:rsid w:val="006B3E8D"/>
    <w:rsid w:val="006C4CDC"/>
    <w:rsid w:val="006C6919"/>
    <w:rsid w:val="006D160A"/>
    <w:rsid w:val="006D1E66"/>
    <w:rsid w:val="006D1F46"/>
    <w:rsid w:val="006D241D"/>
    <w:rsid w:val="006D2455"/>
    <w:rsid w:val="006D41A1"/>
    <w:rsid w:val="006D4EB8"/>
    <w:rsid w:val="006D6ABF"/>
    <w:rsid w:val="006D6B1B"/>
    <w:rsid w:val="006D7AAA"/>
    <w:rsid w:val="006E25BA"/>
    <w:rsid w:val="006E2730"/>
    <w:rsid w:val="006E6C5D"/>
    <w:rsid w:val="006F1100"/>
    <w:rsid w:val="006F2C5D"/>
    <w:rsid w:val="006F6A8B"/>
    <w:rsid w:val="00700ADB"/>
    <w:rsid w:val="007015C1"/>
    <w:rsid w:val="00706D01"/>
    <w:rsid w:val="007101C3"/>
    <w:rsid w:val="00712051"/>
    <w:rsid w:val="00714974"/>
    <w:rsid w:val="00720201"/>
    <w:rsid w:val="00725C53"/>
    <w:rsid w:val="007278F6"/>
    <w:rsid w:val="00727A87"/>
    <w:rsid w:val="0073130F"/>
    <w:rsid w:val="007348EB"/>
    <w:rsid w:val="00735F32"/>
    <w:rsid w:val="0073602E"/>
    <w:rsid w:val="00736C49"/>
    <w:rsid w:val="00741561"/>
    <w:rsid w:val="00751541"/>
    <w:rsid w:val="0075508F"/>
    <w:rsid w:val="00755132"/>
    <w:rsid w:val="00760989"/>
    <w:rsid w:val="00762069"/>
    <w:rsid w:val="0076274C"/>
    <w:rsid w:val="0076395C"/>
    <w:rsid w:val="00764913"/>
    <w:rsid w:val="00770477"/>
    <w:rsid w:val="007710D5"/>
    <w:rsid w:val="00780907"/>
    <w:rsid w:val="00781EDC"/>
    <w:rsid w:val="00781F27"/>
    <w:rsid w:val="007841F9"/>
    <w:rsid w:val="0078453C"/>
    <w:rsid w:val="0078767E"/>
    <w:rsid w:val="00796E24"/>
    <w:rsid w:val="007A28F6"/>
    <w:rsid w:val="007A7AAC"/>
    <w:rsid w:val="007B0BC9"/>
    <w:rsid w:val="007B13A3"/>
    <w:rsid w:val="007B76BB"/>
    <w:rsid w:val="007C1FE9"/>
    <w:rsid w:val="007C25BB"/>
    <w:rsid w:val="007C34BE"/>
    <w:rsid w:val="007C4CCF"/>
    <w:rsid w:val="007C74FF"/>
    <w:rsid w:val="007D4445"/>
    <w:rsid w:val="007D477F"/>
    <w:rsid w:val="007D488D"/>
    <w:rsid w:val="007D6F01"/>
    <w:rsid w:val="007E4EB3"/>
    <w:rsid w:val="007E5458"/>
    <w:rsid w:val="007F2D0F"/>
    <w:rsid w:val="007F307D"/>
    <w:rsid w:val="007F37FB"/>
    <w:rsid w:val="007F6F72"/>
    <w:rsid w:val="008036A6"/>
    <w:rsid w:val="008055C1"/>
    <w:rsid w:val="008071D0"/>
    <w:rsid w:val="00820604"/>
    <w:rsid w:val="008210DA"/>
    <w:rsid w:val="0082129B"/>
    <w:rsid w:val="00821CFA"/>
    <w:rsid w:val="00824E71"/>
    <w:rsid w:val="00837237"/>
    <w:rsid w:val="008409FC"/>
    <w:rsid w:val="00842D2E"/>
    <w:rsid w:val="00847ECC"/>
    <w:rsid w:val="00852099"/>
    <w:rsid w:val="0085521A"/>
    <w:rsid w:val="0085696E"/>
    <w:rsid w:val="00873F5F"/>
    <w:rsid w:val="00874BF4"/>
    <w:rsid w:val="0087654B"/>
    <w:rsid w:val="008801EB"/>
    <w:rsid w:val="008830FA"/>
    <w:rsid w:val="00884B19"/>
    <w:rsid w:val="00884EB9"/>
    <w:rsid w:val="00885F58"/>
    <w:rsid w:val="00887E2E"/>
    <w:rsid w:val="00893933"/>
    <w:rsid w:val="008A75D9"/>
    <w:rsid w:val="008C5067"/>
    <w:rsid w:val="008C7A11"/>
    <w:rsid w:val="008C7DC4"/>
    <w:rsid w:val="008D235C"/>
    <w:rsid w:val="008D25B3"/>
    <w:rsid w:val="008D32FD"/>
    <w:rsid w:val="008D4CDC"/>
    <w:rsid w:val="008D5BDE"/>
    <w:rsid w:val="008D6CCD"/>
    <w:rsid w:val="008D71CF"/>
    <w:rsid w:val="008D7794"/>
    <w:rsid w:val="008E275B"/>
    <w:rsid w:val="008E4CF3"/>
    <w:rsid w:val="008E7761"/>
    <w:rsid w:val="008F1A18"/>
    <w:rsid w:val="008F1B5F"/>
    <w:rsid w:val="008F7580"/>
    <w:rsid w:val="00901D8C"/>
    <w:rsid w:val="00917786"/>
    <w:rsid w:val="00917C6C"/>
    <w:rsid w:val="00921DAE"/>
    <w:rsid w:val="00923025"/>
    <w:rsid w:val="0092332C"/>
    <w:rsid w:val="00933C94"/>
    <w:rsid w:val="0093521A"/>
    <w:rsid w:val="0094097C"/>
    <w:rsid w:val="009414D6"/>
    <w:rsid w:val="00941E28"/>
    <w:rsid w:val="009432AF"/>
    <w:rsid w:val="009467A9"/>
    <w:rsid w:val="00954969"/>
    <w:rsid w:val="0095641C"/>
    <w:rsid w:val="009578F3"/>
    <w:rsid w:val="00957A03"/>
    <w:rsid w:val="00960979"/>
    <w:rsid w:val="009622FB"/>
    <w:rsid w:val="00962A77"/>
    <w:rsid w:val="00962F3C"/>
    <w:rsid w:val="009668DB"/>
    <w:rsid w:val="00970C17"/>
    <w:rsid w:val="009715F4"/>
    <w:rsid w:val="00972395"/>
    <w:rsid w:val="009804E8"/>
    <w:rsid w:val="00982AF9"/>
    <w:rsid w:val="00984A6E"/>
    <w:rsid w:val="0098754C"/>
    <w:rsid w:val="009917BE"/>
    <w:rsid w:val="00997A5F"/>
    <w:rsid w:val="009A0A15"/>
    <w:rsid w:val="009A75C0"/>
    <w:rsid w:val="009B5CEA"/>
    <w:rsid w:val="009B5D79"/>
    <w:rsid w:val="009B6C0B"/>
    <w:rsid w:val="009C3F04"/>
    <w:rsid w:val="009C6F08"/>
    <w:rsid w:val="009D1CCC"/>
    <w:rsid w:val="009D3473"/>
    <w:rsid w:val="009F041E"/>
    <w:rsid w:val="009F7936"/>
    <w:rsid w:val="00A00938"/>
    <w:rsid w:val="00A02F1F"/>
    <w:rsid w:val="00A056AE"/>
    <w:rsid w:val="00A05D1F"/>
    <w:rsid w:val="00A07A99"/>
    <w:rsid w:val="00A13BBB"/>
    <w:rsid w:val="00A14AA5"/>
    <w:rsid w:val="00A20DBC"/>
    <w:rsid w:val="00A23420"/>
    <w:rsid w:val="00A241FA"/>
    <w:rsid w:val="00A24701"/>
    <w:rsid w:val="00A25999"/>
    <w:rsid w:val="00A26D9A"/>
    <w:rsid w:val="00A3110A"/>
    <w:rsid w:val="00A341A9"/>
    <w:rsid w:val="00A408FE"/>
    <w:rsid w:val="00A41713"/>
    <w:rsid w:val="00A46533"/>
    <w:rsid w:val="00A51FA1"/>
    <w:rsid w:val="00A52637"/>
    <w:rsid w:val="00A535C6"/>
    <w:rsid w:val="00A53EFE"/>
    <w:rsid w:val="00A572ED"/>
    <w:rsid w:val="00A63FB0"/>
    <w:rsid w:val="00A64B77"/>
    <w:rsid w:val="00A6591B"/>
    <w:rsid w:val="00A72352"/>
    <w:rsid w:val="00A73C3F"/>
    <w:rsid w:val="00A7584A"/>
    <w:rsid w:val="00A80DE6"/>
    <w:rsid w:val="00A82682"/>
    <w:rsid w:val="00A90AF2"/>
    <w:rsid w:val="00AA4F3F"/>
    <w:rsid w:val="00AA673D"/>
    <w:rsid w:val="00AB05C8"/>
    <w:rsid w:val="00AB1698"/>
    <w:rsid w:val="00AB4983"/>
    <w:rsid w:val="00AB5841"/>
    <w:rsid w:val="00AC0A7F"/>
    <w:rsid w:val="00AC28DD"/>
    <w:rsid w:val="00AC2DD3"/>
    <w:rsid w:val="00AD2FD1"/>
    <w:rsid w:val="00AD4765"/>
    <w:rsid w:val="00AD65A4"/>
    <w:rsid w:val="00AD6633"/>
    <w:rsid w:val="00AE1A6E"/>
    <w:rsid w:val="00AF57AA"/>
    <w:rsid w:val="00B02C37"/>
    <w:rsid w:val="00B04F12"/>
    <w:rsid w:val="00B07550"/>
    <w:rsid w:val="00B101DE"/>
    <w:rsid w:val="00B14821"/>
    <w:rsid w:val="00B14FF1"/>
    <w:rsid w:val="00B161FE"/>
    <w:rsid w:val="00B1620F"/>
    <w:rsid w:val="00B17C84"/>
    <w:rsid w:val="00B20867"/>
    <w:rsid w:val="00B209A0"/>
    <w:rsid w:val="00B24A61"/>
    <w:rsid w:val="00B25F52"/>
    <w:rsid w:val="00B33255"/>
    <w:rsid w:val="00B35ECF"/>
    <w:rsid w:val="00B4242B"/>
    <w:rsid w:val="00B437F6"/>
    <w:rsid w:val="00B447AD"/>
    <w:rsid w:val="00B53F7F"/>
    <w:rsid w:val="00B627B3"/>
    <w:rsid w:val="00B63DE0"/>
    <w:rsid w:val="00B65617"/>
    <w:rsid w:val="00B67EC7"/>
    <w:rsid w:val="00B7171D"/>
    <w:rsid w:val="00B72939"/>
    <w:rsid w:val="00B753F0"/>
    <w:rsid w:val="00B841A4"/>
    <w:rsid w:val="00B87298"/>
    <w:rsid w:val="00B8769A"/>
    <w:rsid w:val="00B87831"/>
    <w:rsid w:val="00B91FD4"/>
    <w:rsid w:val="00B9278B"/>
    <w:rsid w:val="00B933FE"/>
    <w:rsid w:val="00B95213"/>
    <w:rsid w:val="00B972E4"/>
    <w:rsid w:val="00B97B25"/>
    <w:rsid w:val="00BA2B7A"/>
    <w:rsid w:val="00BA31DD"/>
    <w:rsid w:val="00BA41A4"/>
    <w:rsid w:val="00BA56E6"/>
    <w:rsid w:val="00BB0C9E"/>
    <w:rsid w:val="00BC1E8A"/>
    <w:rsid w:val="00BC6534"/>
    <w:rsid w:val="00BC7146"/>
    <w:rsid w:val="00BC7295"/>
    <w:rsid w:val="00BD3F3A"/>
    <w:rsid w:val="00BE018C"/>
    <w:rsid w:val="00BE19DD"/>
    <w:rsid w:val="00BE3E87"/>
    <w:rsid w:val="00BE44F3"/>
    <w:rsid w:val="00BF0A43"/>
    <w:rsid w:val="00BF394F"/>
    <w:rsid w:val="00BF3BA6"/>
    <w:rsid w:val="00BF40E2"/>
    <w:rsid w:val="00BF79F6"/>
    <w:rsid w:val="00C12395"/>
    <w:rsid w:val="00C13D99"/>
    <w:rsid w:val="00C1669B"/>
    <w:rsid w:val="00C255F0"/>
    <w:rsid w:val="00C261C4"/>
    <w:rsid w:val="00C309CD"/>
    <w:rsid w:val="00C30CB9"/>
    <w:rsid w:val="00C31DFB"/>
    <w:rsid w:val="00C451EE"/>
    <w:rsid w:val="00C518E6"/>
    <w:rsid w:val="00C52A49"/>
    <w:rsid w:val="00C55375"/>
    <w:rsid w:val="00C639C6"/>
    <w:rsid w:val="00C64942"/>
    <w:rsid w:val="00C64F9A"/>
    <w:rsid w:val="00C74CF8"/>
    <w:rsid w:val="00C812E0"/>
    <w:rsid w:val="00C8214B"/>
    <w:rsid w:val="00C94F4D"/>
    <w:rsid w:val="00C955EA"/>
    <w:rsid w:val="00CA0310"/>
    <w:rsid w:val="00CA18FF"/>
    <w:rsid w:val="00CA42AC"/>
    <w:rsid w:val="00CA7072"/>
    <w:rsid w:val="00CA78B6"/>
    <w:rsid w:val="00CB0FA4"/>
    <w:rsid w:val="00CB706B"/>
    <w:rsid w:val="00CD003E"/>
    <w:rsid w:val="00CD184C"/>
    <w:rsid w:val="00CD43F8"/>
    <w:rsid w:val="00CD6971"/>
    <w:rsid w:val="00CE22C3"/>
    <w:rsid w:val="00CE60CD"/>
    <w:rsid w:val="00CF0C64"/>
    <w:rsid w:val="00CF4623"/>
    <w:rsid w:val="00CF637A"/>
    <w:rsid w:val="00D04DD1"/>
    <w:rsid w:val="00D1202B"/>
    <w:rsid w:val="00D171DF"/>
    <w:rsid w:val="00D22C7D"/>
    <w:rsid w:val="00D252BD"/>
    <w:rsid w:val="00D312F9"/>
    <w:rsid w:val="00D532E9"/>
    <w:rsid w:val="00D53C96"/>
    <w:rsid w:val="00D54023"/>
    <w:rsid w:val="00D55479"/>
    <w:rsid w:val="00D60456"/>
    <w:rsid w:val="00D60B8C"/>
    <w:rsid w:val="00D711FB"/>
    <w:rsid w:val="00D72833"/>
    <w:rsid w:val="00D77DF6"/>
    <w:rsid w:val="00D77F2B"/>
    <w:rsid w:val="00D81861"/>
    <w:rsid w:val="00D84A4C"/>
    <w:rsid w:val="00D85222"/>
    <w:rsid w:val="00D8734D"/>
    <w:rsid w:val="00D93D38"/>
    <w:rsid w:val="00D9570C"/>
    <w:rsid w:val="00DA08CD"/>
    <w:rsid w:val="00DB5BD4"/>
    <w:rsid w:val="00DB77D5"/>
    <w:rsid w:val="00DC09D0"/>
    <w:rsid w:val="00DC3405"/>
    <w:rsid w:val="00DC4551"/>
    <w:rsid w:val="00DC5FE2"/>
    <w:rsid w:val="00DC64B8"/>
    <w:rsid w:val="00DC6C60"/>
    <w:rsid w:val="00DD073F"/>
    <w:rsid w:val="00DD0BD3"/>
    <w:rsid w:val="00DE275C"/>
    <w:rsid w:val="00DE350C"/>
    <w:rsid w:val="00DE4797"/>
    <w:rsid w:val="00DE568B"/>
    <w:rsid w:val="00DE5861"/>
    <w:rsid w:val="00DE625E"/>
    <w:rsid w:val="00DE669B"/>
    <w:rsid w:val="00DE707E"/>
    <w:rsid w:val="00DF1572"/>
    <w:rsid w:val="00DF1835"/>
    <w:rsid w:val="00DF252E"/>
    <w:rsid w:val="00DF4E5D"/>
    <w:rsid w:val="00DF51C6"/>
    <w:rsid w:val="00DF7974"/>
    <w:rsid w:val="00E03E61"/>
    <w:rsid w:val="00E126D5"/>
    <w:rsid w:val="00E16662"/>
    <w:rsid w:val="00E20F99"/>
    <w:rsid w:val="00E241B1"/>
    <w:rsid w:val="00E25831"/>
    <w:rsid w:val="00E25879"/>
    <w:rsid w:val="00E2658D"/>
    <w:rsid w:val="00E27A94"/>
    <w:rsid w:val="00E30A63"/>
    <w:rsid w:val="00E34E2D"/>
    <w:rsid w:val="00E35799"/>
    <w:rsid w:val="00E357D4"/>
    <w:rsid w:val="00E47332"/>
    <w:rsid w:val="00E5277D"/>
    <w:rsid w:val="00E53BF6"/>
    <w:rsid w:val="00E60EA6"/>
    <w:rsid w:val="00E617AB"/>
    <w:rsid w:val="00E618F5"/>
    <w:rsid w:val="00E62928"/>
    <w:rsid w:val="00E6562E"/>
    <w:rsid w:val="00E769E3"/>
    <w:rsid w:val="00E774A7"/>
    <w:rsid w:val="00E844EF"/>
    <w:rsid w:val="00E92A09"/>
    <w:rsid w:val="00E93CC9"/>
    <w:rsid w:val="00E95C54"/>
    <w:rsid w:val="00EA2178"/>
    <w:rsid w:val="00EA332D"/>
    <w:rsid w:val="00EA3537"/>
    <w:rsid w:val="00EA4F5A"/>
    <w:rsid w:val="00EA5DB2"/>
    <w:rsid w:val="00EA73E2"/>
    <w:rsid w:val="00EA7EEB"/>
    <w:rsid w:val="00EB2F94"/>
    <w:rsid w:val="00EB5A8C"/>
    <w:rsid w:val="00EB6E10"/>
    <w:rsid w:val="00EB70CB"/>
    <w:rsid w:val="00EC5758"/>
    <w:rsid w:val="00ED11CA"/>
    <w:rsid w:val="00ED16F1"/>
    <w:rsid w:val="00ED1F72"/>
    <w:rsid w:val="00ED3D69"/>
    <w:rsid w:val="00EE143A"/>
    <w:rsid w:val="00EF1114"/>
    <w:rsid w:val="00EF4F07"/>
    <w:rsid w:val="00F03576"/>
    <w:rsid w:val="00F07B96"/>
    <w:rsid w:val="00F100E7"/>
    <w:rsid w:val="00F14CE9"/>
    <w:rsid w:val="00F15633"/>
    <w:rsid w:val="00F171B4"/>
    <w:rsid w:val="00F177C1"/>
    <w:rsid w:val="00F17D0F"/>
    <w:rsid w:val="00F202E2"/>
    <w:rsid w:val="00F230E0"/>
    <w:rsid w:val="00F2467E"/>
    <w:rsid w:val="00F3232E"/>
    <w:rsid w:val="00F32894"/>
    <w:rsid w:val="00F3653A"/>
    <w:rsid w:val="00F36B8E"/>
    <w:rsid w:val="00F40E8E"/>
    <w:rsid w:val="00F425B4"/>
    <w:rsid w:val="00F4297E"/>
    <w:rsid w:val="00F44844"/>
    <w:rsid w:val="00F44BC4"/>
    <w:rsid w:val="00F44ED8"/>
    <w:rsid w:val="00F462C9"/>
    <w:rsid w:val="00F51371"/>
    <w:rsid w:val="00F5592A"/>
    <w:rsid w:val="00F61842"/>
    <w:rsid w:val="00F65063"/>
    <w:rsid w:val="00F70B70"/>
    <w:rsid w:val="00F735E7"/>
    <w:rsid w:val="00F820BB"/>
    <w:rsid w:val="00F8233E"/>
    <w:rsid w:val="00F87646"/>
    <w:rsid w:val="00F927A2"/>
    <w:rsid w:val="00FA10B7"/>
    <w:rsid w:val="00FA22C4"/>
    <w:rsid w:val="00FB0F31"/>
    <w:rsid w:val="00FB161A"/>
    <w:rsid w:val="00FB1BA1"/>
    <w:rsid w:val="00FB2D7B"/>
    <w:rsid w:val="00FB3945"/>
    <w:rsid w:val="00FB716B"/>
    <w:rsid w:val="00FC0247"/>
    <w:rsid w:val="00FC24EB"/>
    <w:rsid w:val="00FC3021"/>
    <w:rsid w:val="00FD4134"/>
    <w:rsid w:val="00FD7AF2"/>
    <w:rsid w:val="00FD7EB4"/>
    <w:rsid w:val="00FE6ADB"/>
    <w:rsid w:val="00FE7D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99"/>
    <w:rPr>
      <w:rFonts w:ascii="Tahoma" w:hAnsi="Tahoma" w:cs="Tahoma"/>
      <w:sz w:val="16"/>
      <w:szCs w:val="16"/>
    </w:rPr>
  </w:style>
  <w:style w:type="paragraph" w:styleId="Header">
    <w:name w:val="header"/>
    <w:basedOn w:val="Normal"/>
    <w:link w:val="HeaderChar"/>
    <w:uiPriority w:val="99"/>
    <w:unhideWhenUsed/>
    <w:rsid w:val="001D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2C"/>
  </w:style>
  <w:style w:type="paragraph" w:styleId="Footer">
    <w:name w:val="footer"/>
    <w:basedOn w:val="Normal"/>
    <w:link w:val="FooterChar"/>
    <w:uiPriority w:val="99"/>
    <w:unhideWhenUsed/>
    <w:rsid w:val="001D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2C"/>
  </w:style>
  <w:style w:type="table" w:styleId="TableGrid">
    <w:name w:val="Table Grid"/>
    <w:basedOn w:val="TableNormal"/>
    <w:uiPriority w:val="59"/>
    <w:rsid w:val="005D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A4C"/>
    <w:pPr>
      <w:ind w:left="720"/>
      <w:contextualSpacing/>
    </w:pPr>
  </w:style>
  <w:style w:type="character" w:styleId="CommentReference">
    <w:name w:val="annotation reference"/>
    <w:basedOn w:val="DefaultParagraphFont"/>
    <w:uiPriority w:val="99"/>
    <w:semiHidden/>
    <w:unhideWhenUsed/>
    <w:rsid w:val="0017640F"/>
    <w:rPr>
      <w:sz w:val="16"/>
      <w:szCs w:val="16"/>
    </w:rPr>
  </w:style>
  <w:style w:type="paragraph" w:styleId="CommentText">
    <w:name w:val="annotation text"/>
    <w:basedOn w:val="Normal"/>
    <w:link w:val="CommentTextChar"/>
    <w:uiPriority w:val="99"/>
    <w:semiHidden/>
    <w:unhideWhenUsed/>
    <w:rsid w:val="0017640F"/>
    <w:pPr>
      <w:spacing w:line="240" w:lineRule="auto"/>
    </w:pPr>
    <w:rPr>
      <w:sz w:val="20"/>
      <w:szCs w:val="20"/>
    </w:rPr>
  </w:style>
  <w:style w:type="character" w:customStyle="1" w:styleId="CommentTextChar">
    <w:name w:val="Comment Text Char"/>
    <w:basedOn w:val="DefaultParagraphFont"/>
    <w:link w:val="CommentText"/>
    <w:uiPriority w:val="99"/>
    <w:semiHidden/>
    <w:rsid w:val="0017640F"/>
    <w:rPr>
      <w:sz w:val="20"/>
      <w:szCs w:val="20"/>
    </w:rPr>
  </w:style>
  <w:style w:type="paragraph" w:styleId="CommentSubject">
    <w:name w:val="annotation subject"/>
    <w:basedOn w:val="CommentText"/>
    <w:next w:val="CommentText"/>
    <w:link w:val="CommentSubjectChar"/>
    <w:uiPriority w:val="99"/>
    <w:semiHidden/>
    <w:unhideWhenUsed/>
    <w:rsid w:val="0017640F"/>
    <w:rPr>
      <w:b/>
      <w:bCs/>
    </w:rPr>
  </w:style>
  <w:style w:type="character" w:customStyle="1" w:styleId="CommentSubjectChar">
    <w:name w:val="Comment Subject Char"/>
    <w:basedOn w:val="CommentTextChar"/>
    <w:link w:val="CommentSubject"/>
    <w:uiPriority w:val="99"/>
    <w:semiHidden/>
    <w:rsid w:val="0017640F"/>
    <w:rPr>
      <w:b/>
      <w:bCs/>
      <w:sz w:val="20"/>
      <w:szCs w:val="20"/>
    </w:rPr>
  </w:style>
  <w:style w:type="paragraph" w:styleId="FootnoteText">
    <w:name w:val="footnote text"/>
    <w:basedOn w:val="Normal"/>
    <w:link w:val="FootnoteTextChar"/>
    <w:uiPriority w:val="99"/>
    <w:semiHidden/>
    <w:unhideWhenUsed/>
    <w:rsid w:val="008D7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794"/>
    <w:rPr>
      <w:sz w:val="20"/>
      <w:szCs w:val="20"/>
    </w:rPr>
  </w:style>
  <w:style w:type="character" w:styleId="FootnoteReference">
    <w:name w:val="footnote reference"/>
    <w:basedOn w:val="DefaultParagraphFont"/>
    <w:uiPriority w:val="99"/>
    <w:semiHidden/>
    <w:unhideWhenUsed/>
    <w:rsid w:val="008D77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99"/>
    <w:rPr>
      <w:rFonts w:ascii="Tahoma" w:hAnsi="Tahoma" w:cs="Tahoma"/>
      <w:sz w:val="16"/>
      <w:szCs w:val="16"/>
    </w:rPr>
  </w:style>
  <w:style w:type="paragraph" w:styleId="Header">
    <w:name w:val="header"/>
    <w:basedOn w:val="Normal"/>
    <w:link w:val="HeaderChar"/>
    <w:uiPriority w:val="99"/>
    <w:unhideWhenUsed/>
    <w:rsid w:val="001D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B2C"/>
  </w:style>
  <w:style w:type="paragraph" w:styleId="Footer">
    <w:name w:val="footer"/>
    <w:basedOn w:val="Normal"/>
    <w:link w:val="FooterChar"/>
    <w:uiPriority w:val="99"/>
    <w:unhideWhenUsed/>
    <w:rsid w:val="001D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B2C"/>
  </w:style>
  <w:style w:type="table" w:styleId="TableGrid">
    <w:name w:val="Table Grid"/>
    <w:basedOn w:val="TableNormal"/>
    <w:uiPriority w:val="59"/>
    <w:rsid w:val="005D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A4C"/>
    <w:pPr>
      <w:ind w:left="720"/>
      <w:contextualSpacing/>
    </w:pPr>
  </w:style>
  <w:style w:type="character" w:styleId="CommentReference">
    <w:name w:val="annotation reference"/>
    <w:basedOn w:val="DefaultParagraphFont"/>
    <w:uiPriority w:val="99"/>
    <w:semiHidden/>
    <w:unhideWhenUsed/>
    <w:rsid w:val="0017640F"/>
    <w:rPr>
      <w:sz w:val="16"/>
      <w:szCs w:val="16"/>
    </w:rPr>
  </w:style>
  <w:style w:type="paragraph" w:styleId="CommentText">
    <w:name w:val="annotation text"/>
    <w:basedOn w:val="Normal"/>
    <w:link w:val="CommentTextChar"/>
    <w:uiPriority w:val="99"/>
    <w:semiHidden/>
    <w:unhideWhenUsed/>
    <w:rsid w:val="0017640F"/>
    <w:pPr>
      <w:spacing w:line="240" w:lineRule="auto"/>
    </w:pPr>
    <w:rPr>
      <w:sz w:val="20"/>
      <w:szCs w:val="20"/>
    </w:rPr>
  </w:style>
  <w:style w:type="character" w:customStyle="1" w:styleId="CommentTextChar">
    <w:name w:val="Comment Text Char"/>
    <w:basedOn w:val="DefaultParagraphFont"/>
    <w:link w:val="CommentText"/>
    <w:uiPriority w:val="99"/>
    <w:semiHidden/>
    <w:rsid w:val="0017640F"/>
    <w:rPr>
      <w:sz w:val="20"/>
      <w:szCs w:val="20"/>
    </w:rPr>
  </w:style>
  <w:style w:type="paragraph" w:styleId="CommentSubject">
    <w:name w:val="annotation subject"/>
    <w:basedOn w:val="CommentText"/>
    <w:next w:val="CommentText"/>
    <w:link w:val="CommentSubjectChar"/>
    <w:uiPriority w:val="99"/>
    <w:semiHidden/>
    <w:unhideWhenUsed/>
    <w:rsid w:val="0017640F"/>
    <w:rPr>
      <w:b/>
      <w:bCs/>
    </w:rPr>
  </w:style>
  <w:style w:type="character" w:customStyle="1" w:styleId="CommentSubjectChar">
    <w:name w:val="Comment Subject Char"/>
    <w:basedOn w:val="CommentTextChar"/>
    <w:link w:val="CommentSubject"/>
    <w:uiPriority w:val="99"/>
    <w:semiHidden/>
    <w:rsid w:val="0017640F"/>
    <w:rPr>
      <w:b/>
      <w:bCs/>
      <w:sz w:val="20"/>
      <w:szCs w:val="20"/>
    </w:rPr>
  </w:style>
  <w:style w:type="paragraph" w:styleId="FootnoteText">
    <w:name w:val="footnote text"/>
    <w:basedOn w:val="Normal"/>
    <w:link w:val="FootnoteTextChar"/>
    <w:uiPriority w:val="99"/>
    <w:semiHidden/>
    <w:unhideWhenUsed/>
    <w:rsid w:val="008D7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794"/>
    <w:rPr>
      <w:sz w:val="20"/>
      <w:szCs w:val="20"/>
    </w:rPr>
  </w:style>
  <w:style w:type="character" w:styleId="FootnoteReference">
    <w:name w:val="footnote reference"/>
    <w:basedOn w:val="DefaultParagraphFont"/>
    <w:uiPriority w:val="99"/>
    <w:semiHidden/>
    <w:unhideWhenUsed/>
    <w:rsid w:val="008D7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4962">
      <w:bodyDiv w:val="1"/>
      <w:marLeft w:val="0"/>
      <w:marRight w:val="0"/>
      <w:marTop w:val="0"/>
      <w:marBottom w:val="0"/>
      <w:divBdr>
        <w:top w:val="none" w:sz="0" w:space="0" w:color="auto"/>
        <w:left w:val="none" w:sz="0" w:space="0" w:color="auto"/>
        <w:bottom w:val="none" w:sz="0" w:space="0" w:color="auto"/>
        <w:right w:val="none" w:sz="0" w:space="0" w:color="auto"/>
      </w:divBdr>
    </w:div>
    <w:div w:id="501509085">
      <w:bodyDiv w:val="1"/>
      <w:marLeft w:val="0"/>
      <w:marRight w:val="0"/>
      <w:marTop w:val="0"/>
      <w:marBottom w:val="0"/>
      <w:divBdr>
        <w:top w:val="none" w:sz="0" w:space="0" w:color="auto"/>
        <w:left w:val="none" w:sz="0" w:space="0" w:color="auto"/>
        <w:bottom w:val="none" w:sz="0" w:space="0" w:color="auto"/>
        <w:right w:val="none" w:sz="0" w:space="0" w:color="auto"/>
      </w:divBdr>
    </w:div>
    <w:div w:id="604773610">
      <w:bodyDiv w:val="1"/>
      <w:marLeft w:val="0"/>
      <w:marRight w:val="0"/>
      <w:marTop w:val="0"/>
      <w:marBottom w:val="0"/>
      <w:divBdr>
        <w:top w:val="none" w:sz="0" w:space="0" w:color="auto"/>
        <w:left w:val="none" w:sz="0" w:space="0" w:color="auto"/>
        <w:bottom w:val="none" w:sz="0" w:space="0" w:color="auto"/>
        <w:right w:val="none" w:sz="0" w:space="0" w:color="auto"/>
      </w:divBdr>
    </w:div>
    <w:div w:id="865411068">
      <w:bodyDiv w:val="1"/>
      <w:marLeft w:val="0"/>
      <w:marRight w:val="0"/>
      <w:marTop w:val="0"/>
      <w:marBottom w:val="0"/>
      <w:divBdr>
        <w:top w:val="none" w:sz="0" w:space="0" w:color="auto"/>
        <w:left w:val="none" w:sz="0" w:space="0" w:color="auto"/>
        <w:bottom w:val="none" w:sz="0" w:space="0" w:color="auto"/>
        <w:right w:val="none" w:sz="0" w:space="0" w:color="auto"/>
      </w:divBdr>
    </w:div>
    <w:div w:id="1004437173">
      <w:bodyDiv w:val="1"/>
      <w:marLeft w:val="0"/>
      <w:marRight w:val="0"/>
      <w:marTop w:val="0"/>
      <w:marBottom w:val="0"/>
      <w:divBdr>
        <w:top w:val="none" w:sz="0" w:space="0" w:color="auto"/>
        <w:left w:val="none" w:sz="0" w:space="0" w:color="auto"/>
        <w:bottom w:val="none" w:sz="0" w:space="0" w:color="auto"/>
        <w:right w:val="none" w:sz="0" w:space="0" w:color="auto"/>
      </w:divBdr>
    </w:div>
    <w:div w:id="1326787942">
      <w:bodyDiv w:val="1"/>
      <w:marLeft w:val="0"/>
      <w:marRight w:val="0"/>
      <w:marTop w:val="0"/>
      <w:marBottom w:val="0"/>
      <w:divBdr>
        <w:top w:val="none" w:sz="0" w:space="0" w:color="auto"/>
        <w:left w:val="none" w:sz="0" w:space="0" w:color="auto"/>
        <w:bottom w:val="none" w:sz="0" w:space="0" w:color="auto"/>
        <w:right w:val="none" w:sz="0" w:space="0" w:color="auto"/>
      </w:divBdr>
    </w:div>
    <w:div w:id="1363093043">
      <w:bodyDiv w:val="1"/>
      <w:marLeft w:val="0"/>
      <w:marRight w:val="0"/>
      <w:marTop w:val="0"/>
      <w:marBottom w:val="0"/>
      <w:divBdr>
        <w:top w:val="none" w:sz="0" w:space="0" w:color="auto"/>
        <w:left w:val="none" w:sz="0" w:space="0" w:color="auto"/>
        <w:bottom w:val="none" w:sz="0" w:space="0" w:color="auto"/>
        <w:right w:val="none" w:sz="0" w:space="0" w:color="auto"/>
      </w:divBdr>
    </w:div>
    <w:div w:id="1545553973">
      <w:bodyDiv w:val="1"/>
      <w:marLeft w:val="0"/>
      <w:marRight w:val="0"/>
      <w:marTop w:val="0"/>
      <w:marBottom w:val="0"/>
      <w:divBdr>
        <w:top w:val="none" w:sz="0" w:space="0" w:color="auto"/>
        <w:left w:val="none" w:sz="0" w:space="0" w:color="auto"/>
        <w:bottom w:val="none" w:sz="0" w:space="0" w:color="auto"/>
        <w:right w:val="none" w:sz="0" w:space="0" w:color="auto"/>
      </w:divBdr>
      <w:divsChild>
        <w:div w:id="108280849">
          <w:marLeft w:val="0"/>
          <w:marRight w:val="0"/>
          <w:marTop w:val="0"/>
          <w:marBottom w:val="0"/>
          <w:divBdr>
            <w:top w:val="none" w:sz="0" w:space="0" w:color="auto"/>
            <w:left w:val="none" w:sz="0" w:space="0" w:color="auto"/>
            <w:bottom w:val="none" w:sz="0" w:space="0" w:color="auto"/>
            <w:right w:val="none" w:sz="0" w:space="0" w:color="auto"/>
          </w:divBdr>
        </w:div>
        <w:div w:id="692457929">
          <w:marLeft w:val="0"/>
          <w:marRight w:val="0"/>
          <w:marTop w:val="0"/>
          <w:marBottom w:val="0"/>
          <w:divBdr>
            <w:top w:val="none" w:sz="0" w:space="0" w:color="auto"/>
            <w:left w:val="none" w:sz="0" w:space="0" w:color="auto"/>
            <w:bottom w:val="none" w:sz="0" w:space="0" w:color="auto"/>
            <w:right w:val="none" w:sz="0" w:space="0" w:color="auto"/>
          </w:divBdr>
        </w:div>
        <w:div w:id="1744638077">
          <w:marLeft w:val="0"/>
          <w:marRight w:val="0"/>
          <w:marTop w:val="0"/>
          <w:marBottom w:val="0"/>
          <w:divBdr>
            <w:top w:val="none" w:sz="0" w:space="0" w:color="auto"/>
            <w:left w:val="none" w:sz="0" w:space="0" w:color="auto"/>
            <w:bottom w:val="none" w:sz="0" w:space="0" w:color="auto"/>
            <w:right w:val="none" w:sz="0" w:space="0" w:color="auto"/>
          </w:divBdr>
        </w:div>
        <w:div w:id="1955138076">
          <w:marLeft w:val="0"/>
          <w:marRight w:val="0"/>
          <w:marTop w:val="0"/>
          <w:marBottom w:val="0"/>
          <w:divBdr>
            <w:top w:val="none" w:sz="0" w:space="0" w:color="auto"/>
            <w:left w:val="none" w:sz="0" w:space="0" w:color="auto"/>
            <w:bottom w:val="none" w:sz="0" w:space="0" w:color="auto"/>
            <w:right w:val="none" w:sz="0" w:space="0" w:color="auto"/>
          </w:divBdr>
        </w:div>
      </w:divsChild>
    </w:div>
    <w:div w:id="1547832122">
      <w:bodyDiv w:val="1"/>
      <w:marLeft w:val="0"/>
      <w:marRight w:val="0"/>
      <w:marTop w:val="0"/>
      <w:marBottom w:val="0"/>
      <w:divBdr>
        <w:top w:val="none" w:sz="0" w:space="0" w:color="auto"/>
        <w:left w:val="none" w:sz="0" w:space="0" w:color="auto"/>
        <w:bottom w:val="none" w:sz="0" w:space="0" w:color="auto"/>
        <w:right w:val="none" w:sz="0" w:space="0" w:color="auto"/>
      </w:divBdr>
    </w:div>
    <w:div w:id="1628464070">
      <w:bodyDiv w:val="1"/>
      <w:marLeft w:val="0"/>
      <w:marRight w:val="0"/>
      <w:marTop w:val="0"/>
      <w:marBottom w:val="0"/>
      <w:divBdr>
        <w:top w:val="none" w:sz="0" w:space="0" w:color="auto"/>
        <w:left w:val="none" w:sz="0" w:space="0" w:color="auto"/>
        <w:bottom w:val="none" w:sz="0" w:space="0" w:color="auto"/>
        <w:right w:val="none" w:sz="0" w:space="0" w:color="auto"/>
      </w:divBdr>
    </w:div>
    <w:div w:id="1823354750">
      <w:bodyDiv w:val="1"/>
      <w:marLeft w:val="0"/>
      <w:marRight w:val="0"/>
      <w:marTop w:val="0"/>
      <w:marBottom w:val="0"/>
      <w:divBdr>
        <w:top w:val="none" w:sz="0" w:space="0" w:color="auto"/>
        <w:left w:val="none" w:sz="0" w:space="0" w:color="auto"/>
        <w:bottom w:val="none" w:sz="0" w:space="0" w:color="auto"/>
        <w:right w:val="none" w:sz="0" w:space="0" w:color="auto"/>
      </w:divBdr>
    </w:div>
    <w:div w:id="20446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EB90-C37B-426C-8757-A30430B1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1611</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Hewlett-Packard Company</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Merita Boka</dc:creator>
  <cp:lastModifiedBy>Arlinda Koleniço</cp:lastModifiedBy>
  <cp:revision>3</cp:revision>
  <cp:lastPrinted>2015-07-09T06:47:00Z</cp:lastPrinted>
  <dcterms:created xsi:type="dcterms:W3CDTF">2015-07-13T10:46:00Z</dcterms:created>
  <dcterms:modified xsi:type="dcterms:W3CDTF">2015-07-13T12:35:00Z</dcterms:modified>
</cp:coreProperties>
</file>