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shd w:val="clear" w:color="auto" w:fill="F7CAAC" w:themeFill="accent2" w:themeFillTint="66"/>
        <w:tblLook w:val="04A0" w:firstRow="1" w:lastRow="0" w:firstColumn="1" w:lastColumn="0" w:noHBand="0" w:noVBand="1"/>
      </w:tblPr>
      <w:tblGrid>
        <w:gridCol w:w="8351"/>
      </w:tblGrid>
      <w:tr w:rsidR="0055533F" w14:paraId="4A963986" w14:textId="77777777" w:rsidTr="00F07017">
        <w:trPr>
          <w:trHeight w:val="1979"/>
          <w:jc w:val="center"/>
        </w:trPr>
        <w:tc>
          <w:tcPr>
            <w:tcW w:w="8351" w:type="dxa"/>
            <w:shd w:val="clear" w:color="auto" w:fill="C5E0B3" w:themeFill="accent6" w:themeFillTint="66"/>
          </w:tcPr>
          <w:p w14:paraId="3A8A5C2A" w14:textId="77777777" w:rsidR="00E63ABD" w:rsidRDefault="00E63ABD" w:rsidP="00301553">
            <w:pPr>
              <w:spacing w:before="120" w:after="120"/>
              <w:jc w:val="center"/>
              <w:rPr>
                <w:rFonts w:ascii="Times New Roman" w:eastAsia="Times New Roman" w:hAnsi="Times New Roman" w:cs="Times New Roman"/>
                <w:color w:val="000000"/>
                <w:sz w:val="28"/>
                <w:szCs w:val="28"/>
              </w:rPr>
            </w:pPr>
            <w:r w:rsidRPr="00E63ABD">
              <w:rPr>
                <w:rFonts w:ascii="Times New Roman" w:eastAsia="Times New Roman" w:hAnsi="Times New Roman" w:cs="Times New Roman"/>
                <w:color w:val="000000"/>
                <w:sz w:val="28"/>
                <w:szCs w:val="28"/>
              </w:rPr>
              <w:t>Balance of Payments</w:t>
            </w:r>
            <w:r w:rsidRPr="00110BDE">
              <w:rPr>
                <w:rFonts w:ascii="Times New Roman" w:eastAsia="Times New Roman" w:hAnsi="Times New Roman" w:cs="Times New Roman"/>
                <w:color w:val="000000"/>
                <w:sz w:val="28"/>
                <w:szCs w:val="28"/>
              </w:rPr>
              <w:t xml:space="preserve"> </w:t>
            </w:r>
          </w:p>
          <w:p w14:paraId="699DA354" w14:textId="7A556ED8" w:rsidR="0055533F" w:rsidRDefault="0055533F" w:rsidP="00301553">
            <w:pPr>
              <w:spacing w:before="120" w:after="120"/>
              <w:jc w:val="center"/>
              <w:rPr>
                <w:rFonts w:ascii="Times New Roman" w:eastAsia="Times New Roman" w:hAnsi="Times New Roman" w:cs="Times New Roman"/>
                <w:color w:val="000000"/>
                <w:sz w:val="28"/>
                <w:szCs w:val="28"/>
              </w:rPr>
            </w:pPr>
            <w:r w:rsidRPr="00110BDE">
              <w:rPr>
                <w:rFonts w:ascii="Times New Roman" w:eastAsia="Times New Roman" w:hAnsi="Times New Roman" w:cs="Times New Roman"/>
                <w:color w:val="000000"/>
                <w:sz w:val="28"/>
                <w:szCs w:val="28"/>
              </w:rPr>
              <w:t xml:space="preserve">Reference Metadata </w:t>
            </w:r>
            <w:r>
              <w:rPr>
                <w:rFonts w:ascii="Times New Roman" w:eastAsia="Times New Roman" w:hAnsi="Times New Roman" w:cs="Times New Roman"/>
                <w:color w:val="000000"/>
                <w:sz w:val="28"/>
                <w:szCs w:val="28"/>
              </w:rPr>
              <w:t>in Euro SDMX Metadata Structure</w:t>
            </w:r>
          </w:p>
          <w:p w14:paraId="5F8FBDD5" w14:textId="77777777" w:rsidR="0055533F" w:rsidRDefault="0055533F" w:rsidP="00301553">
            <w:pPr>
              <w:spacing w:before="120" w:after="120"/>
              <w:jc w:val="center"/>
              <w:rPr>
                <w:rFonts w:ascii="Verdana" w:eastAsia="Times New Roman" w:hAnsi="Verdana" w:cs="Times New Roman"/>
                <w:color w:val="000000"/>
                <w:sz w:val="21"/>
                <w:szCs w:val="21"/>
              </w:rPr>
            </w:pPr>
            <w:r w:rsidRPr="00110BDE">
              <w:rPr>
                <w:rFonts w:ascii="Times New Roman" w:eastAsia="Times New Roman" w:hAnsi="Times New Roman" w:cs="Times New Roman"/>
                <w:color w:val="000000"/>
                <w:sz w:val="28"/>
                <w:szCs w:val="28"/>
              </w:rPr>
              <w:t>(ESMS)</w:t>
            </w:r>
          </w:p>
          <w:p w14:paraId="287278EF" w14:textId="0F46E541" w:rsidR="0055533F" w:rsidRPr="00066D17" w:rsidRDefault="00E63ABD" w:rsidP="00301553">
            <w:pPr>
              <w:jc w:val="center"/>
              <w:rPr>
                <w:rFonts w:ascii="Times New Roman" w:eastAsia="Times New Roman" w:hAnsi="Times New Roman" w:cs="Times New Roman"/>
                <w:bCs/>
                <w:color w:val="000000"/>
                <w:sz w:val="36"/>
              </w:rPr>
            </w:pPr>
            <w:r>
              <w:rPr>
                <w:rFonts w:ascii="Times New Roman" w:eastAsia="Times New Roman" w:hAnsi="Times New Roman" w:cs="Times New Roman"/>
                <w:bCs/>
                <w:color w:val="000000"/>
                <w:sz w:val="36"/>
              </w:rPr>
              <w:t>Bank of Albania</w:t>
            </w:r>
          </w:p>
        </w:tc>
      </w:tr>
    </w:tbl>
    <w:p w14:paraId="00299536" w14:textId="77777777" w:rsidR="0055533F" w:rsidRDefault="0055533F" w:rsidP="0055533F"/>
    <w:p w14:paraId="49964B92" w14:textId="77777777" w:rsidR="007A5872" w:rsidRDefault="007A5872" w:rsidP="0055533F"/>
    <w:sdt>
      <w:sdtPr>
        <w:rPr>
          <w:rFonts w:ascii="Times New Roman" w:eastAsiaTheme="minorHAnsi" w:hAnsi="Times New Roman" w:cs="Times New Roman"/>
          <w:b w:val="0"/>
          <w:bCs w:val="0"/>
          <w:color w:val="auto"/>
          <w:sz w:val="24"/>
          <w:szCs w:val="24"/>
          <w:lang w:val="en-GB"/>
        </w:rPr>
        <w:id w:val="27854821"/>
        <w:docPartObj>
          <w:docPartGallery w:val="Table of Contents"/>
          <w:docPartUnique/>
        </w:docPartObj>
      </w:sdtPr>
      <w:sdtEndPr>
        <w:rPr>
          <w:rFonts w:eastAsiaTheme="minorEastAsia"/>
          <w:lang w:val="en-US"/>
        </w:rPr>
      </w:sdtEndPr>
      <w:sdtContent>
        <w:p w14:paraId="4F40E47D" w14:textId="77777777" w:rsidR="007A5872" w:rsidRDefault="0055533F" w:rsidP="0055533F">
          <w:pPr>
            <w:pStyle w:val="TOCHeading"/>
            <w:rPr>
              <w:rFonts w:ascii="Times New Roman" w:hAnsi="Times New Roman" w:cs="Times New Roman"/>
              <w:szCs w:val="24"/>
            </w:rPr>
          </w:pPr>
          <w:r w:rsidRPr="006A2C16">
            <w:rPr>
              <w:rFonts w:ascii="Times New Roman" w:hAnsi="Times New Roman" w:cs="Times New Roman"/>
              <w:color w:val="000000" w:themeColor="text1"/>
              <w:szCs w:val="24"/>
            </w:rPr>
            <w:t>Reference Metadata</w:t>
          </w:r>
          <w:r w:rsidRPr="006A2C16">
            <w:rPr>
              <w:rFonts w:ascii="Times New Roman" w:hAnsi="Times New Roman" w:cs="Times New Roman"/>
              <w:szCs w:val="24"/>
            </w:rPr>
            <w:t xml:space="preserve"> </w:t>
          </w:r>
        </w:p>
        <w:p w14:paraId="564DEFB0" w14:textId="25DDF65C" w:rsidR="0055533F" w:rsidRPr="00493D72" w:rsidRDefault="0055533F" w:rsidP="0055533F">
          <w:pPr>
            <w:pStyle w:val="TOCHeading"/>
            <w:rPr>
              <w:rFonts w:ascii="Times New Roman" w:hAnsi="Times New Roman" w:cs="Times New Roman"/>
              <w:sz w:val="24"/>
              <w:szCs w:val="24"/>
            </w:rPr>
          </w:pPr>
          <w:r w:rsidRPr="006A2C16">
            <w:rPr>
              <w:rFonts w:ascii="Times New Roman" w:hAnsi="Times New Roman" w:cs="Times New Roman"/>
              <w:szCs w:val="24"/>
            </w:rPr>
            <w:t xml:space="preserve">  </w:t>
          </w:r>
        </w:p>
        <w:p w14:paraId="06F12030" w14:textId="06CA49B4" w:rsidR="0055533F" w:rsidRDefault="0055533F" w:rsidP="0055533F">
          <w:pPr>
            <w:pStyle w:val="TOC1"/>
            <w:tabs>
              <w:tab w:val="right" w:leader="dot" w:pos="10456"/>
            </w:tabs>
            <w:rPr>
              <w:rFonts w:eastAsiaTheme="minorEastAsia"/>
              <w:noProof/>
              <w:lang w:val="en-US"/>
            </w:rPr>
          </w:pPr>
          <w:r w:rsidRPr="00493D72">
            <w:rPr>
              <w:rFonts w:ascii="Times New Roman" w:hAnsi="Times New Roman" w:cs="Times New Roman"/>
              <w:sz w:val="24"/>
              <w:szCs w:val="24"/>
            </w:rPr>
            <w:fldChar w:fldCharType="begin"/>
          </w:r>
          <w:r w:rsidRPr="00493D72">
            <w:rPr>
              <w:rFonts w:ascii="Times New Roman" w:hAnsi="Times New Roman" w:cs="Times New Roman"/>
              <w:sz w:val="24"/>
              <w:szCs w:val="24"/>
            </w:rPr>
            <w:instrText xml:space="preserve"> TOC \o "1-3" \h \z \u </w:instrText>
          </w:r>
          <w:r w:rsidRPr="00493D72">
            <w:rPr>
              <w:rFonts w:ascii="Times New Roman" w:hAnsi="Times New Roman" w:cs="Times New Roman"/>
              <w:sz w:val="24"/>
              <w:szCs w:val="24"/>
            </w:rPr>
            <w:fldChar w:fldCharType="separate"/>
          </w:r>
          <w:hyperlink w:anchor="_Toc104283919" w:history="1">
            <w:r w:rsidRPr="007E5BE8">
              <w:rPr>
                <w:rStyle w:val="Hyperlink"/>
                <w:rFonts w:ascii="Times New Roman" w:eastAsia="Times New Roman" w:hAnsi="Times New Roman" w:cs="Times New Roman"/>
                <w:noProof/>
                <w:lang w:val="sq-AL" w:eastAsia="sq-AL"/>
              </w:rPr>
              <w:t>1. Contact</w:t>
            </w:r>
            <w:r>
              <w:rPr>
                <w:noProof/>
                <w:webHidden/>
              </w:rPr>
              <w:tab/>
            </w:r>
            <w:r>
              <w:rPr>
                <w:noProof/>
                <w:webHidden/>
              </w:rPr>
              <w:fldChar w:fldCharType="begin"/>
            </w:r>
            <w:r>
              <w:rPr>
                <w:noProof/>
                <w:webHidden/>
              </w:rPr>
              <w:instrText xml:space="preserve"> PAGEREF _Toc104283919 \h </w:instrText>
            </w:r>
            <w:r>
              <w:rPr>
                <w:noProof/>
                <w:webHidden/>
              </w:rPr>
            </w:r>
            <w:r>
              <w:rPr>
                <w:noProof/>
                <w:webHidden/>
              </w:rPr>
              <w:fldChar w:fldCharType="separate"/>
            </w:r>
            <w:r w:rsidR="00F56CBD">
              <w:rPr>
                <w:noProof/>
                <w:webHidden/>
              </w:rPr>
              <w:t>2</w:t>
            </w:r>
            <w:r>
              <w:rPr>
                <w:noProof/>
                <w:webHidden/>
              </w:rPr>
              <w:fldChar w:fldCharType="end"/>
            </w:r>
          </w:hyperlink>
        </w:p>
        <w:p w14:paraId="6B6C8CDA" w14:textId="4ABE5590" w:rsidR="0055533F" w:rsidRDefault="0055533F" w:rsidP="0055533F">
          <w:pPr>
            <w:pStyle w:val="TOC1"/>
            <w:tabs>
              <w:tab w:val="right" w:leader="dot" w:pos="10456"/>
            </w:tabs>
            <w:rPr>
              <w:rFonts w:eastAsiaTheme="minorEastAsia"/>
              <w:noProof/>
              <w:lang w:val="en-US"/>
            </w:rPr>
          </w:pPr>
          <w:hyperlink w:anchor="_Toc104283920" w:history="1">
            <w:r w:rsidRPr="007E5BE8">
              <w:rPr>
                <w:rStyle w:val="Hyperlink"/>
                <w:rFonts w:ascii="Times New Roman" w:eastAsia="Times New Roman" w:hAnsi="Times New Roman" w:cs="Times New Roman"/>
                <w:noProof/>
                <w:lang w:val="sq-AL" w:eastAsia="sq-AL"/>
              </w:rPr>
              <w:t>2. Metadata update</w:t>
            </w:r>
            <w:r>
              <w:rPr>
                <w:noProof/>
                <w:webHidden/>
              </w:rPr>
              <w:tab/>
            </w:r>
            <w:r>
              <w:rPr>
                <w:noProof/>
                <w:webHidden/>
              </w:rPr>
              <w:fldChar w:fldCharType="begin"/>
            </w:r>
            <w:r>
              <w:rPr>
                <w:noProof/>
                <w:webHidden/>
              </w:rPr>
              <w:instrText xml:space="preserve"> PAGEREF _Toc104283920 \h </w:instrText>
            </w:r>
            <w:r>
              <w:rPr>
                <w:noProof/>
                <w:webHidden/>
              </w:rPr>
            </w:r>
            <w:r>
              <w:rPr>
                <w:noProof/>
                <w:webHidden/>
              </w:rPr>
              <w:fldChar w:fldCharType="separate"/>
            </w:r>
            <w:r w:rsidR="00F56CBD">
              <w:rPr>
                <w:noProof/>
                <w:webHidden/>
              </w:rPr>
              <w:t>2</w:t>
            </w:r>
            <w:r>
              <w:rPr>
                <w:noProof/>
                <w:webHidden/>
              </w:rPr>
              <w:fldChar w:fldCharType="end"/>
            </w:r>
          </w:hyperlink>
        </w:p>
        <w:p w14:paraId="3E6488F9" w14:textId="0DA6A4FC" w:rsidR="0055533F" w:rsidRDefault="0055533F" w:rsidP="0055533F">
          <w:pPr>
            <w:pStyle w:val="TOC1"/>
            <w:tabs>
              <w:tab w:val="right" w:leader="dot" w:pos="10456"/>
            </w:tabs>
            <w:rPr>
              <w:rFonts w:eastAsiaTheme="minorEastAsia"/>
              <w:noProof/>
              <w:lang w:val="en-US"/>
            </w:rPr>
          </w:pPr>
          <w:hyperlink w:anchor="_Toc104283921" w:history="1">
            <w:r w:rsidRPr="007E5BE8">
              <w:rPr>
                <w:rStyle w:val="Hyperlink"/>
                <w:rFonts w:ascii="Times New Roman" w:eastAsia="Times New Roman" w:hAnsi="Times New Roman" w:cs="Times New Roman"/>
                <w:noProof/>
                <w:lang w:val="sq-AL" w:eastAsia="sq-AL"/>
              </w:rPr>
              <w:t>3. Statistical presentation</w:t>
            </w:r>
            <w:r>
              <w:rPr>
                <w:noProof/>
                <w:webHidden/>
              </w:rPr>
              <w:tab/>
            </w:r>
            <w:r>
              <w:rPr>
                <w:noProof/>
                <w:webHidden/>
              </w:rPr>
              <w:fldChar w:fldCharType="begin"/>
            </w:r>
            <w:r>
              <w:rPr>
                <w:noProof/>
                <w:webHidden/>
              </w:rPr>
              <w:instrText xml:space="preserve"> PAGEREF _Toc104283921 \h </w:instrText>
            </w:r>
            <w:r>
              <w:rPr>
                <w:noProof/>
                <w:webHidden/>
              </w:rPr>
            </w:r>
            <w:r>
              <w:rPr>
                <w:noProof/>
                <w:webHidden/>
              </w:rPr>
              <w:fldChar w:fldCharType="separate"/>
            </w:r>
            <w:r w:rsidR="00F56CBD">
              <w:rPr>
                <w:noProof/>
                <w:webHidden/>
              </w:rPr>
              <w:t>2</w:t>
            </w:r>
            <w:r>
              <w:rPr>
                <w:noProof/>
                <w:webHidden/>
              </w:rPr>
              <w:fldChar w:fldCharType="end"/>
            </w:r>
          </w:hyperlink>
        </w:p>
        <w:p w14:paraId="31E78303" w14:textId="65CDFA46" w:rsidR="0055533F" w:rsidRDefault="0055533F" w:rsidP="0055533F">
          <w:pPr>
            <w:pStyle w:val="TOC1"/>
            <w:tabs>
              <w:tab w:val="right" w:leader="dot" w:pos="10456"/>
            </w:tabs>
            <w:rPr>
              <w:rFonts w:eastAsiaTheme="minorEastAsia"/>
              <w:noProof/>
              <w:lang w:val="en-US"/>
            </w:rPr>
          </w:pPr>
          <w:hyperlink w:anchor="_Toc104283923" w:history="1">
            <w:r w:rsidRPr="007E5BE8">
              <w:rPr>
                <w:rStyle w:val="Hyperlink"/>
                <w:rFonts w:ascii="Times New Roman" w:eastAsia="Times New Roman" w:hAnsi="Times New Roman" w:cs="Times New Roman"/>
                <w:noProof/>
                <w:lang w:val="sq-AL" w:eastAsia="sq-AL"/>
              </w:rPr>
              <w:t>4. Unit of measure</w:t>
            </w:r>
            <w:r>
              <w:rPr>
                <w:noProof/>
                <w:webHidden/>
              </w:rPr>
              <w:tab/>
            </w:r>
            <w:r>
              <w:rPr>
                <w:noProof/>
                <w:webHidden/>
              </w:rPr>
              <w:fldChar w:fldCharType="begin"/>
            </w:r>
            <w:r>
              <w:rPr>
                <w:noProof/>
                <w:webHidden/>
              </w:rPr>
              <w:instrText xml:space="preserve"> PAGEREF _Toc104283923 \h </w:instrText>
            </w:r>
            <w:r>
              <w:rPr>
                <w:noProof/>
                <w:webHidden/>
              </w:rPr>
            </w:r>
            <w:r>
              <w:rPr>
                <w:noProof/>
                <w:webHidden/>
              </w:rPr>
              <w:fldChar w:fldCharType="separate"/>
            </w:r>
            <w:r w:rsidR="00F56CBD">
              <w:rPr>
                <w:noProof/>
                <w:webHidden/>
              </w:rPr>
              <w:t>5</w:t>
            </w:r>
            <w:r>
              <w:rPr>
                <w:noProof/>
                <w:webHidden/>
              </w:rPr>
              <w:fldChar w:fldCharType="end"/>
            </w:r>
          </w:hyperlink>
        </w:p>
        <w:p w14:paraId="1999D9AB" w14:textId="2BC303E8" w:rsidR="0055533F" w:rsidRDefault="0055533F" w:rsidP="0055533F">
          <w:pPr>
            <w:pStyle w:val="TOC1"/>
            <w:tabs>
              <w:tab w:val="right" w:leader="dot" w:pos="10456"/>
            </w:tabs>
            <w:rPr>
              <w:rFonts w:eastAsiaTheme="minorEastAsia"/>
              <w:noProof/>
              <w:lang w:val="en-US"/>
            </w:rPr>
          </w:pPr>
          <w:hyperlink w:anchor="_Toc104283924" w:history="1">
            <w:r w:rsidRPr="007E5BE8">
              <w:rPr>
                <w:rStyle w:val="Hyperlink"/>
                <w:rFonts w:ascii="Times New Roman" w:eastAsia="Times New Roman" w:hAnsi="Times New Roman" w:cs="Times New Roman"/>
                <w:noProof/>
                <w:lang w:val="sq-AL" w:eastAsia="sq-AL"/>
              </w:rPr>
              <w:t>5. Reference period</w:t>
            </w:r>
            <w:r>
              <w:rPr>
                <w:noProof/>
                <w:webHidden/>
              </w:rPr>
              <w:tab/>
            </w:r>
            <w:r>
              <w:rPr>
                <w:noProof/>
                <w:webHidden/>
              </w:rPr>
              <w:fldChar w:fldCharType="begin"/>
            </w:r>
            <w:r>
              <w:rPr>
                <w:noProof/>
                <w:webHidden/>
              </w:rPr>
              <w:instrText xml:space="preserve"> PAGEREF _Toc104283924 \h </w:instrText>
            </w:r>
            <w:r>
              <w:rPr>
                <w:noProof/>
                <w:webHidden/>
              </w:rPr>
            </w:r>
            <w:r>
              <w:rPr>
                <w:noProof/>
                <w:webHidden/>
              </w:rPr>
              <w:fldChar w:fldCharType="separate"/>
            </w:r>
            <w:r w:rsidR="00F56CBD">
              <w:rPr>
                <w:noProof/>
                <w:webHidden/>
              </w:rPr>
              <w:t>5</w:t>
            </w:r>
            <w:r>
              <w:rPr>
                <w:noProof/>
                <w:webHidden/>
              </w:rPr>
              <w:fldChar w:fldCharType="end"/>
            </w:r>
          </w:hyperlink>
        </w:p>
        <w:p w14:paraId="3E4024DA" w14:textId="5976BD63" w:rsidR="0055533F" w:rsidRDefault="0055533F" w:rsidP="0055533F">
          <w:pPr>
            <w:pStyle w:val="TOC1"/>
            <w:tabs>
              <w:tab w:val="right" w:leader="dot" w:pos="10456"/>
            </w:tabs>
            <w:rPr>
              <w:rFonts w:eastAsiaTheme="minorEastAsia"/>
              <w:noProof/>
              <w:lang w:val="en-US"/>
            </w:rPr>
          </w:pPr>
          <w:hyperlink w:anchor="_Toc104283925" w:history="1">
            <w:r w:rsidRPr="007E5BE8">
              <w:rPr>
                <w:rStyle w:val="Hyperlink"/>
                <w:rFonts w:ascii="Times New Roman" w:eastAsia="Times New Roman" w:hAnsi="Times New Roman" w:cs="Times New Roman"/>
                <w:noProof/>
                <w:lang w:val="sq-AL" w:eastAsia="sq-AL"/>
              </w:rPr>
              <w:t>6. Institutional mandate</w:t>
            </w:r>
            <w:r>
              <w:rPr>
                <w:noProof/>
                <w:webHidden/>
              </w:rPr>
              <w:tab/>
            </w:r>
            <w:r>
              <w:rPr>
                <w:noProof/>
                <w:webHidden/>
              </w:rPr>
              <w:fldChar w:fldCharType="begin"/>
            </w:r>
            <w:r>
              <w:rPr>
                <w:noProof/>
                <w:webHidden/>
              </w:rPr>
              <w:instrText xml:space="preserve"> PAGEREF _Toc104283925 \h </w:instrText>
            </w:r>
            <w:r>
              <w:rPr>
                <w:noProof/>
                <w:webHidden/>
              </w:rPr>
            </w:r>
            <w:r>
              <w:rPr>
                <w:noProof/>
                <w:webHidden/>
              </w:rPr>
              <w:fldChar w:fldCharType="separate"/>
            </w:r>
            <w:r w:rsidR="00F56CBD">
              <w:rPr>
                <w:noProof/>
                <w:webHidden/>
              </w:rPr>
              <w:t>5</w:t>
            </w:r>
            <w:r>
              <w:rPr>
                <w:noProof/>
                <w:webHidden/>
              </w:rPr>
              <w:fldChar w:fldCharType="end"/>
            </w:r>
          </w:hyperlink>
        </w:p>
        <w:p w14:paraId="3DD28DB8" w14:textId="75A66626" w:rsidR="0055533F" w:rsidRDefault="0055533F" w:rsidP="0055533F">
          <w:pPr>
            <w:pStyle w:val="TOC1"/>
            <w:tabs>
              <w:tab w:val="right" w:leader="dot" w:pos="10456"/>
            </w:tabs>
            <w:rPr>
              <w:rFonts w:eastAsiaTheme="minorEastAsia"/>
              <w:noProof/>
              <w:lang w:val="en-US"/>
            </w:rPr>
          </w:pPr>
          <w:hyperlink w:anchor="_Toc104283926" w:history="1">
            <w:r w:rsidRPr="007E5BE8">
              <w:rPr>
                <w:rStyle w:val="Hyperlink"/>
                <w:rFonts w:ascii="Times New Roman" w:eastAsia="Times New Roman" w:hAnsi="Times New Roman" w:cs="Times New Roman"/>
                <w:noProof/>
                <w:lang w:val="sq-AL" w:eastAsia="sq-AL"/>
              </w:rPr>
              <w:t>7. Confidentiality</w:t>
            </w:r>
            <w:r>
              <w:rPr>
                <w:noProof/>
                <w:webHidden/>
              </w:rPr>
              <w:tab/>
            </w:r>
            <w:r>
              <w:rPr>
                <w:noProof/>
                <w:webHidden/>
              </w:rPr>
              <w:fldChar w:fldCharType="begin"/>
            </w:r>
            <w:r>
              <w:rPr>
                <w:noProof/>
                <w:webHidden/>
              </w:rPr>
              <w:instrText xml:space="preserve"> PAGEREF _Toc104283926 \h </w:instrText>
            </w:r>
            <w:r>
              <w:rPr>
                <w:noProof/>
                <w:webHidden/>
              </w:rPr>
            </w:r>
            <w:r>
              <w:rPr>
                <w:noProof/>
                <w:webHidden/>
              </w:rPr>
              <w:fldChar w:fldCharType="separate"/>
            </w:r>
            <w:r w:rsidR="00F56CBD">
              <w:rPr>
                <w:noProof/>
                <w:webHidden/>
              </w:rPr>
              <w:t>6</w:t>
            </w:r>
            <w:r>
              <w:rPr>
                <w:noProof/>
                <w:webHidden/>
              </w:rPr>
              <w:fldChar w:fldCharType="end"/>
            </w:r>
          </w:hyperlink>
        </w:p>
        <w:p w14:paraId="5193B378" w14:textId="0117EBFE" w:rsidR="0055533F" w:rsidRDefault="0055533F" w:rsidP="0055533F">
          <w:pPr>
            <w:pStyle w:val="TOC1"/>
            <w:tabs>
              <w:tab w:val="right" w:leader="dot" w:pos="10456"/>
            </w:tabs>
            <w:rPr>
              <w:rFonts w:eastAsiaTheme="minorEastAsia"/>
              <w:noProof/>
              <w:lang w:val="en-US"/>
            </w:rPr>
          </w:pPr>
          <w:hyperlink w:anchor="_Toc104283927" w:history="1">
            <w:r w:rsidRPr="007E5BE8">
              <w:rPr>
                <w:rStyle w:val="Hyperlink"/>
                <w:rFonts w:ascii="Times New Roman" w:eastAsia="Times New Roman" w:hAnsi="Times New Roman" w:cs="Times New Roman"/>
                <w:noProof/>
                <w:lang w:val="sq-AL" w:eastAsia="sq-AL"/>
              </w:rPr>
              <w:t>8. Release policy</w:t>
            </w:r>
            <w:r>
              <w:rPr>
                <w:noProof/>
                <w:webHidden/>
              </w:rPr>
              <w:tab/>
            </w:r>
            <w:r>
              <w:rPr>
                <w:noProof/>
                <w:webHidden/>
              </w:rPr>
              <w:fldChar w:fldCharType="begin"/>
            </w:r>
            <w:r>
              <w:rPr>
                <w:noProof/>
                <w:webHidden/>
              </w:rPr>
              <w:instrText xml:space="preserve"> PAGEREF _Toc104283927 \h </w:instrText>
            </w:r>
            <w:r>
              <w:rPr>
                <w:noProof/>
                <w:webHidden/>
              </w:rPr>
            </w:r>
            <w:r>
              <w:rPr>
                <w:noProof/>
                <w:webHidden/>
              </w:rPr>
              <w:fldChar w:fldCharType="separate"/>
            </w:r>
            <w:r w:rsidR="00F56CBD">
              <w:rPr>
                <w:noProof/>
                <w:webHidden/>
              </w:rPr>
              <w:t>6</w:t>
            </w:r>
            <w:r>
              <w:rPr>
                <w:noProof/>
                <w:webHidden/>
              </w:rPr>
              <w:fldChar w:fldCharType="end"/>
            </w:r>
          </w:hyperlink>
        </w:p>
        <w:p w14:paraId="2A58E474" w14:textId="1E730AC1" w:rsidR="0055533F" w:rsidRDefault="0055533F" w:rsidP="0055533F">
          <w:pPr>
            <w:pStyle w:val="TOC1"/>
            <w:tabs>
              <w:tab w:val="right" w:leader="dot" w:pos="10456"/>
            </w:tabs>
            <w:rPr>
              <w:rFonts w:eastAsiaTheme="minorEastAsia"/>
              <w:noProof/>
              <w:lang w:val="en-US"/>
            </w:rPr>
          </w:pPr>
          <w:hyperlink w:anchor="_Toc104283928" w:history="1">
            <w:r w:rsidRPr="007E5BE8">
              <w:rPr>
                <w:rStyle w:val="Hyperlink"/>
                <w:rFonts w:ascii="Times New Roman" w:eastAsia="Times New Roman" w:hAnsi="Times New Roman" w:cs="Times New Roman"/>
                <w:noProof/>
                <w:lang w:val="sq-AL" w:eastAsia="sq-AL"/>
              </w:rPr>
              <w:t>9. Frequency of dissemination</w:t>
            </w:r>
            <w:r>
              <w:rPr>
                <w:noProof/>
                <w:webHidden/>
              </w:rPr>
              <w:tab/>
            </w:r>
            <w:r>
              <w:rPr>
                <w:noProof/>
                <w:webHidden/>
              </w:rPr>
              <w:fldChar w:fldCharType="begin"/>
            </w:r>
            <w:r>
              <w:rPr>
                <w:noProof/>
                <w:webHidden/>
              </w:rPr>
              <w:instrText xml:space="preserve"> PAGEREF _Toc104283928 \h </w:instrText>
            </w:r>
            <w:r>
              <w:rPr>
                <w:noProof/>
                <w:webHidden/>
              </w:rPr>
            </w:r>
            <w:r>
              <w:rPr>
                <w:noProof/>
                <w:webHidden/>
              </w:rPr>
              <w:fldChar w:fldCharType="separate"/>
            </w:r>
            <w:r w:rsidR="00F56CBD">
              <w:rPr>
                <w:noProof/>
                <w:webHidden/>
              </w:rPr>
              <w:t>7</w:t>
            </w:r>
            <w:r>
              <w:rPr>
                <w:noProof/>
                <w:webHidden/>
              </w:rPr>
              <w:fldChar w:fldCharType="end"/>
            </w:r>
          </w:hyperlink>
        </w:p>
        <w:p w14:paraId="2F40F229" w14:textId="2043E69D" w:rsidR="0055533F" w:rsidRDefault="0055533F" w:rsidP="0055533F">
          <w:pPr>
            <w:pStyle w:val="TOC1"/>
            <w:tabs>
              <w:tab w:val="right" w:leader="dot" w:pos="10456"/>
            </w:tabs>
            <w:rPr>
              <w:rFonts w:eastAsiaTheme="minorEastAsia"/>
              <w:noProof/>
              <w:lang w:val="en-US"/>
            </w:rPr>
          </w:pPr>
          <w:hyperlink w:anchor="_Toc104283929" w:history="1">
            <w:r w:rsidRPr="007E5BE8">
              <w:rPr>
                <w:rStyle w:val="Hyperlink"/>
                <w:rFonts w:ascii="Times New Roman" w:eastAsia="Times New Roman" w:hAnsi="Times New Roman" w:cs="Times New Roman"/>
                <w:noProof/>
                <w:lang w:val="sq-AL" w:eastAsia="sq-AL"/>
              </w:rPr>
              <w:t>10. Accessibility and clarity</w:t>
            </w:r>
            <w:r>
              <w:rPr>
                <w:noProof/>
                <w:webHidden/>
              </w:rPr>
              <w:tab/>
            </w:r>
            <w:r>
              <w:rPr>
                <w:noProof/>
                <w:webHidden/>
              </w:rPr>
              <w:fldChar w:fldCharType="begin"/>
            </w:r>
            <w:r>
              <w:rPr>
                <w:noProof/>
                <w:webHidden/>
              </w:rPr>
              <w:instrText xml:space="preserve"> PAGEREF _Toc104283929 \h </w:instrText>
            </w:r>
            <w:r>
              <w:rPr>
                <w:noProof/>
                <w:webHidden/>
              </w:rPr>
            </w:r>
            <w:r>
              <w:rPr>
                <w:noProof/>
                <w:webHidden/>
              </w:rPr>
              <w:fldChar w:fldCharType="separate"/>
            </w:r>
            <w:r w:rsidR="00F56CBD">
              <w:rPr>
                <w:noProof/>
                <w:webHidden/>
              </w:rPr>
              <w:t>7</w:t>
            </w:r>
            <w:r>
              <w:rPr>
                <w:noProof/>
                <w:webHidden/>
              </w:rPr>
              <w:fldChar w:fldCharType="end"/>
            </w:r>
          </w:hyperlink>
        </w:p>
        <w:p w14:paraId="6996D553" w14:textId="4ACB8310" w:rsidR="0055533F" w:rsidRDefault="0055533F" w:rsidP="0055533F">
          <w:pPr>
            <w:pStyle w:val="TOC1"/>
            <w:tabs>
              <w:tab w:val="right" w:leader="dot" w:pos="10456"/>
            </w:tabs>
            <w:rPr>
              <w:rFonts w:eastAsiaTheme="minorEastAsia"/>
              <w:noProof/>
              <w:lang w:val="en-US"/>
            </w:rPr>
          </w:pPr>
          <w:hyperlink w:anchor="_Toc104283930" w:history="1">
            <w:r w:rsidRPr="007E5BE8">
              <w:rPr>
                <w:rStyle w:val="Hyperlink"/>
                <w:rFonts w:ascii="Times New Roman" w:eastAsia="Times New Roman" w:hAnsi="Times New Roman" w:cs="Times New Roman"/>
                <w:noProof/>
                <w:lang w:val="sq-AL" w:eastAsia="sq-AL"/>
              </w:rPr>
              <w:t>11. Quality managment</w:t>
            </w:r>
            <w:r>
              <w:rPr>
                <w:noProof/>
                <w:webHidden/>
              </w:rPr>
              <w:tab/>
            </w:r>
            <w:r>
              <w:rPr>
                <w:noProof/>
                <w:webHidden/>
              </w:rPr>
              <w:fldChar w:fldCharType="begin"/>
            </w:r>
            <w:r>
              <w:rPr>
                <w:noProof/>
                <w:webHidden/>
              </w:rPr>
              <w:instrText xml:space="preserve"> PAGEREF _Toc104283930 \h </w:instrText>
            </w:r>
            <w:r>
              <w:rPr>
                <w:noProof/>
                <w:webHidden/>
              </w:rPr>
            </w:r>
            <w:r>
              <w:rPr>
                <w:noProof/>
                <w:webHidden/>
              </w:rPr>
              <w:fldChar w:fldCharType="separate"/>
            </w:r>
            <w:r w:rsidR="00F56CBD">
              <w:rPr>
                <w:noProof/>
                <w:webHidden/>
              </w:rPr>
              <w:t>7</w:t>
            </w:r>
            <w:r>
              <w:rPr>
                <w:noProof/>
                <w:webHidden/>
              </w:rPr>
              <w:fldChar w:fldCharType="end"/>
            </w:r>
          </w:hyperlink>
        </w:p>
        <w:p w14:paraId="5A82C776" w14:textId="665FFD28" w:rsidR="0055533F" w:rsidRDefault="0055533F" w:rsidP="0055533F">
          <w:pPr>
            <w:pStyle w:val="TOC1"/>
            <w:tabs>
              <w:tab w:val="right" w:leader="dot" w:pos="10456"/>
            </w:tabs>
            <w:rPr>
              <w:rFonts w:eastAsiaTheme="minorEastAsia"/>
              <w:noProof/>
              <w:lang w:val="en-US"/>
            </w:rPr>
          </w:pPr>
          <w:hyperlink w:anchor="_Toc104283931" w:history="1">
            <w:r w:rsidRPr="007E5BE8">
              <w:rPr>
                <w:rStyle w:val="Hyperlink"/>
                <w:rFonts w:ascii="Times New Roman" w:eastAsia="Times New Roman" w:hAnsi="Times New Roman" w:cs="Times New Roman"/>
                <w:noProof/>
                <w:lang w:val="sq-AL" w:eastAsia="sq-AL"/>
              </w:rPr>
              <w:t>12. Relevance</w:t>
            </w:r>
            <w:r>
              <w:rPr>
                <w:noProof/>
                <w:webHidden/>
              </w:rPr>
              <w:tab/>
            </w:r>
            <w:r>
              <w:rPr>
                <w:noProof/>
                <w:webHidden/>
              </w:rPr>
              <w:fldChar w:fldCharType="begin"/>
            </w:r>
            <w:r>
              <w:rPr>
                <w:noProof/>
                <w:webHidden/>
              </w:rPr>
              <w:instrText xml:space="preserve"> PAGEREF _Toc104283931 \h </w:instrText>
            </w:r>
            <w:r>
              <w:rPr>
                <w:noProof/>
                <w:webHidden/>
              </w:rPr>
            </w:r>
            <w:r>
              <w:rPr>
                <w:noProof/>
                <w:webHidden/>
              </w:rPr>
              <w:fldChar w:fldCharType="separate"/>
            </w:r>
            <w:r w:rsidR="00F56CBD">
              <w:rPr>
                <w:noProof/>
                <w:webHidden/>
              </w:rPr>
              <w:t>8</w:t>
            </w:r>
            <w:r>
              <w:rPr>
                <w:noProof/>
                <w:webHidden/>
              </w:rPr>
              <w:fldChar w:fldCharType="end"/>
            </w:r>
          </w:hyperlink>
        </w:p>
        <w:p w14:paraId="662AF2CD" w14:textId="0086A708" w:rsidR="0055533F" w:rsidRDefault="0055533F" w:rsidP="0055533F">
          <w:pPr>
            <w:pStyle w:val="TOC1"/>
            <w:tabs>
              <w:tab w:val="right" w:leader="dot" w:pos="10456"/>
            </w:tabs>
            <w:rPr>
              <w:rFonts w:eastAsiaTheme="minorEastAsia"/>
              <w:noProof/>
              <w:lang w:val="en-US"/>
            </w:rPr>
          </w:pPr>
          <w:hyperlink w:anchor="_Toc104283932" w:history="1">
            <w:r w:rsidRPr="007E5BE8">
              <w:rPr>
                <w:rStyle w:val="Hyperlink"/>
                <w:rFonts w:ascii="Times New Roman" w:eastAsia="Times New Roman" w:hAnsi="Times New Roman" w:cs="Times New Roman"/>
                <w:noProof/>
                <w:lang w:val="sq-AL" w:eastAsia="sq-AL"/>
              </w:rPr>
              <w:t>13. Accuracy and reliability</w:t>
            </w:r>
            <w:r>
              <w:rPr>
                <w:noProof/>
                <w:webHidden/>
              </w:rPr>
              <w:tab/>
            </w:r>
            <w:r>
              <w:rPr>
                <w:noProof/>
                <w:webHidden/>
              </w:rPr>
              <w:fldChar w:fldCharType="begin"/>
            </w:r>
            <w:r>
              <w:rPr>
                <w:noProof/>
                <w:webHidden/>
              </w:rPr>
              <w:instrText xml:space="preserve"> PAGEREF _Toc104283932 \h </w:instrText>
            </w:r>
            <w:r>
              <w:rPr>
                <w:noProof/>
                <w:webHidden/>
              </w:rPr>
            </w:r>
            <w:r>
              <w:rPr>
                <w:noProof/>
                <w:webHidden/>
              </w:rPr>
              <w:fldChar w:fldCharType="separate"/>
            </w:r>
            <w:r w:rsidR="00F56CBD">
              <w:rPr>
                <w:noProof/>
                <w:webHidden/>
              </w:rPr>
              <w:t>8</w:t>
            </w:r>
            <w:r>
              <w:rPr>
                <w:noProof/>
                <w:webHidden/>
              </w:rPr>
              <w:fldChar w:fldCharType="end"/>
            </w:r>
          </w:hyperlink>
        </w:p>
        <w:p w14:paraId="18B182C2" w14:textId="4E1B08A5" w:rsidR="0055533F" w:rsidRDefault="0055533F" w:rsidP="0055533F">
          <w:pPr>
            <w:pStyle w:val="TOC1"/>
            <w:tabs>
              <w:tab w:val="right" w:leader="dot" w:pos="10456"/>
            </w:tabs>
            <w:rPr>
              <w:rFonts w:eastAsiaTheme="minorEastAsia"/>
              <w:noProof/>
              <w:lang w:val="en-US"/>
            </w:rPr>
          </w:pPr>
          <w:hyperlink w:anchor="_Toc104283933" w:history="1">
            <w:r w:rsidRPr="007E5BE8">
              <w:rPr>
                <w:rStyle w:val="Hyperlink"/>
                <w:rFonts w:ascii="Times New Roman" w:eastAsia="Times New Roman" w:hAnsi="Times New Roman" w:cs="Times New Roman"/>
                <w:noProof/>
                <w:lang w:val="sq-AL" w:eastAsia="sq-AL"/>
              </w:rPr>
              <w:t>14. Timeliness and punctuality</w:t>
            </w:r>
            <w:r>
              <w:rPr>
                <w:noProof/>
                <w:webHidden/>
              </w:rPr>
              <w:tab/>
            </w:r>
            <w:r>
              <w:rPr>
                <w:noProof/>
                <w:webHidden/>
              </w:rPr>
              <w:fldChar w:fldCharType="begin"/>
            </w:r>
            <w:r>
              <w:rPr>
                <w:noProof/>
                <w:webHidden/>
              </w:rPr>
              <w:instrText xml:space="preserve"> PAGEREF _Toc104283933 \h </w:instrText>
            </w:r>
            <w:r>
              <w:rPr>
                <w:noProof/>
                <w:webHidden/>
              </w:rPr>
            </w:r>
            <w:r>
              <w:rPr>
                <w:noProof/>
                <w:webHidden/>
              </w:rPr>
              <w:fldChar w:fldCharType="separate"/>
            </w:r>
            <w:r w:rsidR="00F56CBD">
              <w:rPr>
                <w:noProof/>
                <w:webHidden/>
              </w:rPr>
              <w:t>9</w:t>
            </w:r>
            <w:r>
              <w:rPr>
                <w:noProof/>
                <w:webHidden/>
              </w:rPr>
              <w:fldChar w:fldCharType="end"/>
            </w:r>
          </w:hyperlink>
        </w:p>
        <w:p w14:paraId="6CF20F9C" w14:textId="390DF14F" w:rsidR="0055533F" w:rsidRDefault="0055533F" w:rsidP="0055533F">
          <w:pPr>
            <w:pStyle w:val="TOC1"/>
            <w:tabs>
              <w:tab w:val="right" w:leader="dot" w:pos="10456"/>
            </w:tabs>
            <w:rPr>
              <w:rFonts w:eastAsiaTheme="minorEastAsia"/>
              <w:noProof/>
              <w:lang w:val="en-US"/>
            </w:rPr>
          </w:pPr>
          <w:hyperlink w:anchor="_Toc104283934" w:history="1">
            <w:r w:rsidRPr="007E5BE8">
              <w:rPr>
                <w:rStyle w:val="Hyperlink"/>
                <w:rFonts w:ascii="Times New Roman" w:eastAsia="Times New Roman" w:hAnsi="Times New Roman" w:cs="Times New Roman"/>
                <w:noProof/>
                <w:lang w:val="sq-AL" w:eastAsia="sq-AL"/>
              </w:rPr>
              <w:t>15. Coherence and comparability</w:t>
            </w:r>
            <w:r>
              <w:rPr>
                <w:noProof/>
                <w:webHidden/>
              </w:rPr>
              <w:tab/>
            </w:r>
            <w:r>
              <w:rPr>
                <w:noProof/>
                <w:webHidden/>
              </w:rPr>
              <w:fldChar w:fldCharType="begin"/>
            </w:r>
            <w:r>
              <w:rPr>
                <w:noProof/>
                <w:webHidden/>
              </w:rPr>
              <w:instrText xml:space="preserve"> PAGEREF _Toc104283934 \h </w:instrText>
            </w:r>
            <w:r>
              <w:rPr>
                <w:noProof/>
                <w:webHidden/>
              </w:rPr>
            </w:r>
            <w:r>
              <w:rPr>
                <w:noProof/>
                <w:webHidden/>
              </w:rPr>
              <w:fldChar w:fldCharType="separate"/>
            </w:r>
            <w:r w:rsidR="00F56CBD">
              <w:rPr>
                <w:noProof/>
                <w:webHidden/>
              </w:rPr>
              <w:t>10</w:t>
            </w:r>
            <w:r>
              <w:rPr>
                <w:noProof/>
                <w:webHidden/>
              </w:rPr>
              <w:fldChar w:fldCharType="end"/>
            </w:r>
          </w:hyperlink>
        </w:p>
        <w:p w14:paraId="1D4DCA49" w14:textId="423E6CA5" w:rsidR="0055533F" w:rsidRDefault="0055533F" w:rsidP="0055533F">
          <w:pPr>
            <w:pStyle w:val="TOC1"/>
            <w:tabs>
              <w:tab w:val="right" w:leader="dot" w:pos="10456"/>
            </w:tabs>
            <w:rPr>
              <w:rFonts w:eastAsiaTheme="minorEastAsia"/>
              <w:noProof/>
              <w:lang w:val="en-US"/>
            </w:rPr>
          </w:pPr>
          <w:hyperlink w:anchor="_Toc104283935" w:history="1">
            <w:r w:rsidRPr="007E5BE8">
              <w:rPr>
                <w:rStyle w:val="Hyperlink"/>
                <w:rFonts w:ascii="Times New Roman" w:eastAsia="Times New Roman" w:hAnsi="Times New Roman" w:cs="Times New Roman"/>
                <w:noProof/>
                <w:lang w:val="sq-AL" w:eastAsia="sq-AL"/>
              </w:rPr>
              <w:t>16. Cost and burden</w:t>
            </w:r>
            <w:r>
              <w:rPr>
                <w:noProof/>
                <w:webHidden/>
              </w:rPr>
              <w:tab/>
            </w:r>
            <w:r>
              <w:rPr>
                <w:noProof/>
                <w:webHidden/>
              </w:rPr>
              <w:fldChar w:fldCharType="begin"/>
            </w:r>
            <w:r>
              <w:rPr>
                <w:noProof/>
                <w:webHidden/>
              </w:rPr>
              <w:instrText xml:space="preserve"> PAGEREF _Toc104283935 \h </w:instrText>
            </w:r>
            <w:r>
              <w:rPr>
                <w:noProof/>
                <w:webHidden/>
              </w:rPr>
            </w:r>
            <w:r>
              <w:rPr>
                <w:noProof/>
                <w:webHidden/>
              </w:rPr>
              <w:fldChar w:fldCharType="separate"/>
            </w:r>
            <w:r w:rsidR="00F56CBD">
              <w:rPr>
                <w:noProof/>
                <w:webHidden/>
              </w:rPr>
              <w:t>10</w:t>
            </w:r>
            <w:r>
              <w:rPr>
                <w:noProof/>
                <w:webHidden/>
              </w:rPr>
              <w:fldChar w:fldCharType="end"/>
            </w:r>
          </w:hyperlink>
        </w:p>
        <w:p w14:paraId="4C561AAD" w14:textId="7972B8EB" w:rsidR="0055533F" w:rsidRDefault="0055533F" w:rsidP="0055533F">
          <w:pPr>
            <w:pStyle w:val="TOC1"/>
            <w:tabs>
              <w:tab w:val="right" w:leader="dot" w:pos="10456"/>
            </w:tabs>
            <w:rPr>
              <w:rFonts w:eastAsiaTheme="minorEastAsia"/>
              <w:noProof/>
              <w:lang w:val="en-US"/>
            </w:rPr>
          </w:pPr>
          <w:hyperlink w:anchor="_Toc104283936" w:history="1">
            <w:r w:rsidRPr="007E5BE8">
              <w:rPr>
                <w:rStyle w:val="Hyperlink"/>
                <w:rFonts w:ascii="Times New Roman" w:eastAsia="Times New Roman" w:hAnsi="Times New Roman" w:cs="Times New Roman"/>
                <w:noProof/>
                <w:lang w:val="sq-AL" w:eastAsia="sq-AL"/>
              </w:rPr>
              <w:t>17. Data revision</w:t>
            </w:r>
            <w:r>
              <w:rPr>
                <w:noProof/>
                <w:webHidden/>
              </w:rPr>
              <w:tab/>
            </w:r>
            <w:r>
              <w:rPr>
                <w:noProof/>
                <w:webHidden/>
              </w:rPr>
              <w:fldChar w:fldCharType="begin"/>
            </w:r>
            <w:r>
              <w:rPr>
                <w:noProof/>
                <w:webHidden/>
              </w:rPr>
              <w:instrText xml:space="preserve"> PAGEREF _Toc104283936 \h </w:instrText>
            </w:r>
            <w:r>
              <w:rPr>
                <w:noProof/>
                <w:webHidden/>
              </w:rPr>
            </w:r>
            <w:r>
              <w:rPr>
                <w:noProof/>
                <w:webHidden/>
              </w:rPr>
              <w:fldChar w:fldCharType="separate"/>
            </w:r>
            <w:r w:rsidR="00F56CBD">
              <w:rPr>
                <w:noProof/>
                <w:webHidden/>
              </w:rPr>
              <w:t>10</w:t>
            </w:r>
            <w:r>
              <w:rPr>
                <w:noProof/>
                <w:webHidden/>
              </w:rPr>
              <w:fldChar w:fldCharType="end"/>
            </w:r>
          </w:hyperlink>
        </w:p>
        <w:p w14:paraId="1E4A359E" w14:textId="4E942972" w:rsidR="0055533F" w:rsidRDefault="0055533F" w:rsidP="0055533F">
          <w:pPr>
            <w:pStyle w:val="TOC1"/>
            <w:tabs>
              <w:tab w:val="right" w:leader="dot" w:pos="10456"/>
            </w:tabs>
            <w:rPr>
              <w:rFonts w:eastAsiaTheme="minorEastAsia"/>
              <w:noProof/>
              <w:lang w:val="en-US"/>
            </w:rPr>
          </w:pPr>
          <w:hyperlink w:anchor="_Toc104283937" w:history="1">
            <w:r w:rsidRPr="007E5BE8">
              <w:rPr>
                <w:rStyle w:val="Hyperlink"/>
                <w:rFonts w:ascii="Times New Roman" w:eastAsia="Times New Roman" w:hAnsi="Times New Roman" w:cs="Times New Roman"/>
                <w:noProof/>
                <w:lang w:val="sq-AL" w:eastAsia="sq-AL"/>
              </w:rPr>
              <w:t>18. Statistical processing</w:t>
            </w:r>
            <w:r>
              <w:rPr>
                <w:noProof/>
                <w:webHidden/>
              </w:rPr>
              <w:tab/>
            </w:r>
            <w:r>
              <w:rPr>
                <w:noProof/>
                <w:webHidden/>
              </w:rPr>
              <w:fldChar w:fldCharType="begin"/>
            </w:r>
            <w:r>
              <w:rPr>
                <w:noProof/>
                <w:webHidden/>
              </w:rPr>
              <w:instrText xml:space="preserve"> PAGEREF _Toc104283937 \h </w:instrText>
            </w:r>
            <w:r>
              <w:rPr>
                <w:noProof/>
                <w:webHidden/>
              </w:rPr>
            </w:r>
            <w:r>
              <w:rPr>
                <w:noProof/>
                <w:webHidden/>
              </w:rPr>
              <w:fldChar w:fldCharType="separate"/>
            </w:r>
            <w:r w:rsidR="00F56CBD">
              <w:rPr>
                <w:noProof/>
                <w:webHidden/>
              </w:rPr>
              <w:t>12</w:t>
            </w:r>
            <w:r>
              <w:rPr>
                <w:noProof/>
                <w:webHidden/>
              </w:rPr>
              <w:fldChar w:fldCharType="end"/>
            </w:r>
          </w:hyperlink>
        </w:p>
        <w:p w14:paraId="1FF7AEEA" w14:textId="34FDC547" w:rsidR="0055533F" w:rsidRDefault="0055533F" w:rsidP="0055533F">
          <w:pPr>
            <w:pStyle w:val="TOC1"/>
            <w:tabs>
              <w:tab w:val="right" w:leader="dot" w:pos="10456"/>
            </w:tabs>
            <w:rPr>
              <w:rFonts w:eastAsiaTheme="minorEastAsia"/>
              <w:noProof/>
              <w:lang w:val="en-US"/>
            </w:rPr>
          </w:pPr>
          <w:hyperlink w:anchor="_Toc104283938" w:history="1">
            <w:r w:rsidRPr="007E5BE8">
              <w:rPr>
                <w:rStyle w:val="Hyperlink"/>
                <w:rFonts w:ascii="Times New Roman" w:eastAsia="Times New Roman" w:hAnsi="Times New Roman" w:cs="Times New Roman"/>
                <w:noProof/>
                <w:lang w:val="sq-AL" w:eastAsia="sq-AL"/>
              </w:rPr>
              <w:t>19. Comment</w:t>
            </w:r>
            <w:r>
              <w:rPr>
                <w:noProof/>
                <w:webHidden/>
              </w:rPr>
              <w:tab/>
            </w:r>
            <w:r>
              <w:rPr>
                <w:noProof/>
                <w:webHidden/>
              </w:rPr>
              <w:fldChar w:fldCharType="begin"/>
            </w:r>
            <w:r>
              <w:rPr>
                <w:noProof/>
                <w:webHidden/>
              </w:rPr>
              <w:instrText xml:space="preserve"> PAGEREF _Toc104283938 \h </w:instrText>
            </w:r>
            <w:r>
              <w:rPr>
                <w:noProof/>
                <w:webHidden/>
              </w:rPr>
            </w:r>
            <w:r>
              <w:rPr>
                <w:noProof/>
                <w:webHidden/>
              </w:rPr>
              <w:fldChar w:fldCharType="separate"/>
            </w:r>
            <w:r w:rsidR="00F56CBD">
              <w:rPr>
                <w:noProof/>
                <w:webHidden/>
              </w:rPr>
              <w:t>15</w:t>
            </w:r>
            <w:r>
              <w:rPr>
                <w:noProof/>
                <w:webHidden/>
              </w:rPr>
              <w:fldChar w:fldCharType="end"/>
            </w:r>
          </w:hyperlink>
        </w:p>
        <w:p w14:paraId="7BFE098A" w14:textId="3EE893E6" w:rsidR="0055533F" w:rsidRDefault="0055533F" w:rsidP="0055533F">
          <w:pPr>
            <w:pStyle w:val="TOC1"/>
            <w:tabs>
              <w:tab w:val="right" w:leader="dot" w:pos="10456"/>
            </w:tabs>
            <w:rPr>
              <w:rFonts w:eastAsiaTheme="minorEastAsia"/>
              <w:noProof/>
              <w:lang w:val="en-US"/>
            </w:rPr>
          </w:pPr>
          <w:hyperlink w:anchor="_Toc104283939" w:history="1">
            <w:r w:rsidRPr="007E5BE8">
              <w:rPr>
                <w:rStyle w:val="Hyperlink"/>
                <w:rFonts w:ascii="Times New Roman" w:eastAsia="Times New Roman" w:hAnsi="Times New Roman" w:cs="Times New Roman"/>
                <w:noProof/>
                <w:lang w:val="sq-AL" w:eastAsia="sq-AL"/>
              </w:rPr>
              <w:t>Annex</w:t>
            </w:r>
            <w:r>
              <w:rPr>
                <w:noProof/>
                <w:webHidden/>
              </w:rPr>
              <w:tab/>
            </w:r>
            <w:r>
              <w:rPr>
                <w:noProof/>
                <w:webHidden/>
              </w:rPr>
              <w:fldChar w:fldCharType="begin"/>
            </w:r>
            <w:r>
              <w:rPr>
                <w:noProof/>
                <w:webHidden/>
              </w:rPr>
              <w:instrText xml:space="preserve"> PAGEREF _Toc104283939 \h </w:instrText>
            </w:r>
            <w:r>
              <w:rPr>
                <w:noProof/>
                <w:webHidden/>
              </w:rPr>
            </w:r>
            <w:r>
              <w:rPr>
                <w:noProof/>
                <w:webHidden/>
              </w:rPr>
              <w:fldChar w:fldCharType="separate"/>
            </w:r>
            <w:r w:rsidR="00F56CBD">
              <w:rPr>
                <w:noProof/>
                <w:webHidden/>
              </w:rPr>
              <w:t>15</w:t>
            </w:r>
            <w:r>
              <w:rPr>
                <w:noProof/>
                <w:webHidden/>
              </w:rPr>
              <w:fldChar w:fldCharType="end"/>
            </w:r>
          </w:hyperlink>
        </w:p>
        <w:p w14:paraId="5BC0FEB9" w14:textId="77777777" w:rsidR="0055533F" w:rsidRDefault="0055533F" w:rsidP="0055533F">
          <w:r w:rsidRPr="00493D72">
            <w:rPr>
              <w:rFonts w:ascii="Times New Roman" w:hAnsi="Times New Roman" w:cs="Times New Roman"/>
              <w:sz w:val="24"/>
              <w:szCs w:val="24"/>
            </w:rPr>
            <w:fldChar w:fldCharType="end"/>
          </w:r>
        </w:p>
      </w:sdtContent>
    </w:sdt>
    <w:p w14:paraId="15F8E856" w14:textId="77777777" w:rsidR="0055533F" w:rsidRDefault="0055533F" w:rsidP="0055533F"/>
    <w:p w14:paraId="08F5D8A7" w14:textId="77777777" w:rsidR="0055533F" w:rsidRDefault="0055533F" w:rsidP="0055533F"/>
    <w:p w14:paraId="5A8534FD" w14:textId="77777777" w:rsidR="0090153B" w:rsidRDefault="0090153B" w:rsidP="0055533F"/>
    <w:p w14:paraId="434EC233" w14:textId="77777777" w:rsidR="0090153B" w:rsidRDefault="0090153B" w:rsidP="0055533F"/>
    <w:p w14:paraId="3F7CF4C5" w14:textId="77777777" w:rsidR="0055533F" w:rsidRDefault="0055533F" w:rsidP="0055533F"/>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7872"/>
        <w:gridCol w:w="851"/>
      </w:tblGrid>
      <w:tr w:rsidR="0055533F" w:rsidRPr="00493D72" w14:paraId="693F19ED"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37C70607" w14:textId="77777777" w:rsidR="0055533F" w:rsidRPr="00493D72" w:rsidRDefault="0055533F" w:rsidP="00301553">
            <w:pPr>
              <w:pStyle w:val="Heading1"/>
              <w:spacing w:before="0"/>
              <w:rPr>
                <w:rFonts w:ascii="Times New Roman" w:eastAsia="Times New Roman" w:hAnsi="Times New Roman" w:cs="Times New Roman"/>
                <w:noProof/>
                <w:color w:val="000000"/>
                <w:sz w:val="24"/>
                <w:szCs w:val="24"/>
                <w:lang w:val="sq-AL" w:eastAsia="sq-AL"/>
              </w:rPr>
            </w:pPr>
            <w:bookmarkStart w:id="0" w:name="_Toc104283919"/>
            <w:r w:rsidRPr="00493D72">
              <w:rPr>
                <w:rFonts w:ascii="Times New Roman" w:eastAsia="Times New Roman" w:hAnsi="Times New Roman" w:cs="Times New Roman"/>
                <w:noProof/>
                <w:color w:val="000000"/>
                <w:sz w:val="24"/>
                <w:szCs w:val="24"/>
                <w:lang w:val="sq-AL" w:eastAsia="sq-AL"/>
              </w:rPr>
              <w:t>1. Contact</w:t>
            </w:r>
            <w:bookmarkEnd w:id="0"/>
          </w:p>
        </w:tc>
      </w:tr>
      <w:tr w:rsidR="0055533F" w:rsidRPr="00493D72" w14:paraId="052A6086" w14:textId="77777777" w:rsidTr="00BB1DFF">
        <w:trPr>
          <w:gridAfter w:val="1"/>
          <w:wAfter w:w="851" w:type="dxa"/>
          <w:trHeight w:val="567"/>
        </w:trPr>
        <w:tc>
          <w:tcPr>
            <w:tcW w:w="2471" w:type="dxa"/>
            <w:shd w:val="clear" w:color="auto" w:fill="FFFFCC"/>
            <w:vAlign w:val="center"/>
            <w:hideMark/>
          </w:tcPr>
          <w:p w14:paraId="34D27BB4"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1.1. Contact organisation</w:t>
            </w:r>
          </w:p>
        </w:tc>
        <w:tc>
          <w:tcPr>
            <w:tcW w:w="7872" w:type="dxa"/>
            <w:noWrap/>
          </w:tcPr>
          <w:p w14:paraId="09E083BB" w14:textId="6BBF571B" w:rsidR="0055533F" w:rsidRPr="009B0910" w:rsidRDefault="00E63ABD" w:rsidP="00DE34D2">
            <w:pPr>
              <w:pStyle w:val="TableParagraph"/>
              <w:spacing w:before="240" w:after="240"/>
              <w:ind w:right="86"/>
              <w:jc w:val="both"/>
              <w:rPr>
                <w:sz w:val="24"/>
                <w:szCs w:val="24"/>
                <w:lang w:val="en-GB"/>
              </w:rPr>
            </w:pPr>
            <w:r w:rsidRPr="00F52F8C">
              <w:rPr>
                <w:lang w:eastAsia="nl-NL"/>
              </w:rPr>
              <w:t>Bank of Albania</w:t>
            </w:r>
          </w:p>
        </w:tc>
      </w:tr>
      <w:tr w:rsidR="0055533F" w:rsidRPr="00493D72" w14:paraId="7675313E" w14:textId="77777777" w:rsidTr="00BB1DFF">
        <w:trPr>
          <w:gridAfter w:val="1"/>
          <w:wAfter w:w="851" w:type="dxa"/>
          <w:trHeight w:val="567"/>
        </w:trPr>
        <w:tc>
          <w:tcPr>
            <w:tcW w:w="2471" w:type="dxa"/>
            <w:shd w:val="clear" w:color="auto" w:fill="FFFFCC"/>
            <w:vAlign w:val="center"/>
            <w:hideMark/>
          </w:tcPr>
          <w:p w14:paraId="45C5A203"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 Contact organisation unit</w:t>
            </w:r>
          </w:p>
        </w:tc>
        <w:tc>
          <w:tcPr>
            <w:tcW w:w="7872" w:type="dxa"/>
            <w:noWrap/>
          </w:tcPr>
          <w:p w14:paraId="49E522CF" w14:textId="66DAD070" w:rsidR="0055533F" w:rsidRPr="009B0910" w:rsidRDefault="00E63ABD" w:rsidP="00DE34D2">
            <w:pPr>
              <w:pStyle w:val="TableParagraph"/>
              <w:spacing w:before="240" w:after="240"/>
              <w:ind w:right="86"/>
              <w:jc w:val="both"/>
              <w:rPr>
                <w:sz w:val="24"/>
                <w:szCs w:val="24"/>
                <w:lang w:val="en-GB"/>
              </w:rPr>
            </w:pPr>
            <w:r w:rsidRPr="00F52F8C">
              <w:rPr>
                <w:lang w:eastAsia="nl-NL"/>
              </w:rPr>
              <w:t>External Sector Statistics/Balance of Payments Unit</w:t>
            </w:r>
          </w:p>
        </w:tc>
      </w:tr>
      <w:tr w:rsidR="0055533F" w:rsidRPr="00493D72" w14:paraId="5F4A5373" w14:textId="77777777" w:rsidTr="00BB1DFF">
        <w:trPr>
          <w:gridAfter w:val="1"/>
          <w:wAfter w:w="851" w:type="dxa"/>
          <w:trHeight w:val="567"/>
        </w:trPr>
        <w:tc>
          <w:tcPr>
            <w:tcW w:w="2471" w:type="dxa"/>
            <w:shd w:val="clear" w:color="auto" w:fill="FFFFCC"/>
            <w:vAlign w:val="center"/>
            <w:hideMark/>
          </w:tcPr>
          <w:p w14:paraId="08EF13C2"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 Contact name</w:t>
            </w:r>
          </w:p>
        </w:tc>
        <w:tc>
          <w:tcPr>
            <w:tcW w:w="7872" w:type="dxa"/>
            <w:noWrap/>
          </w:tcPr>
          <w:p w14:paraId="7C8158FB" w14:textId="77777777" w:rsidR="0055533F" w:rsidRDefault="00E63ABD" w:rsidP="00DE34D2">
            <w:pPr>
              <w:pStyle w:val="TableParagraph"/>
              <w:spacing w:before="240" w:after="240"/>
              <w:ind w:right="86"/>
              <w:jc w:val="both"/>
              <w:rPr>
                <w:lang w:eastAsia="nl-NL"/>
              </w:rPr>
            </w:pPr>
            <w:r>
              <w:rPr>
                <w:lang w:eastAsia="nl-NL"/>
              </w:rPr>
              <w:t>Rudina Lilaj</w:t>
            </w:r>
          </w:p>
          <w:p w14:paraId="56D5B33F" w14:textId="53D84CDE" w:rsidR="00EC4A17" w:rsidRPr="00262D6E" w:rsidRDefault="00EC4A17" w:rsidP="00DE34D2">
            <w:pPr>
              <w:pStyle w:val="TableParagraph"/>
              <w:spacing w:before="240" w:after="240"/>
              <w:ind w:right="86"/>
              <w:jc w:val="both"/>
              <w:rPr>
                <w:lang w:eastAsia="nl-NL"/>
              </w:rPr>
            </w:pPr>
            <w:r>
              <w:rPr>
                <w:lang w:eastAsia="nl-NL"/>
              </w:rPr>
              <w:t>Iris Kaso (Mele)</w:t>
            </w:r>
          </w:p>
        </w:tc>
      </w:tr>
      <w:tr w:rsidR="0055533F" w:rsidRPr="00493D72" w14:paraId="22A358E6" w14:textId="77777777" w:rsidTr="00BB1DFF">
        <w:trPr>
          <w:gridAfter w:val="1"/>
          <w:wAfter w:w="851" w:type="dxa"/>
          <w:trHeight w:val="567"/>
        </w:trPr>
        <w:tc>
          <w:tcPr>
            <w:tcW w:w="2471" w:type="dxa"/>
            <w:shd w:val="clear" w:color="auto" w:fill="FFFFCC"/>
            <w:vAlign w:val="center"/>
            <w:hideMark/>
          </w:tcPr>
          <w:p w14:paraId="41703B45"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1.4. Contact person function</w:t>
            </w:r>
          </w:p>
        </w:tc>
        <w:tc>
          <w:tcPr>
            <w:tcW w:w="7872" w:type="dxa"/>
            <w:noWrap/>
          </w:tcPr>
          <w:p w14:paraId="0ED66178" w14:textId="77777777" w:rsidR="0055533F" w:rsidRDefault="00E63ABD" w:rsidP="00DE34D2">
            <w:pPr>
              <w:pStyle w:val="TableParagraph"/>
              <w:spacing w:before="240" w:after="240"/>
              <w:ind w:right="86"/>
              <w:jc w:val="both"/>
              <w:rPr>
                <w:lang w:eastAsia="nl-NL"/>
              </w:rPr>
            </w:pPr>
            <w:r w:rsidRPr="00F52F8C">
              <w:rPr>
                <w:lang w:eastAsia="nl-NL"/>
              </w:rPr>
              <w:t>Head of External Sector Statistics</w:t>
            </w:r>
          </w:p>
          <w:p w14:paraId="099E8D67" w14:textId="156C0FA7" w:rsidR="00EC4A17" w:rsidRPr="009B0910" w:rsidRDefault="00EC4A17" w:rsidP="00DE34D2">
            <w:pPr>
              <w:pStyle w:val="TableParagraph"/>
              <w:spacing w:before="240" w:after="240"/>
              <w:ind w:right="86"/>
              <w:jc w:val="both"/>
              <w:rPr>
                <w:sz w:val="24"/>
                <w:szCs w:val="24"/>
                <w:lang w:val="en-GB"/>
              </w:rPr>
            </w:pPr>
            <w:r>
              <w:rPr>
                <w:lang w:eastAsia="nl-NL"/>
              </w:rPr>
              <w:t>Head of Balance of Payments Unit</w:t>
            </w:r>
          </w:p>
        </w:tc>
      </w:tr>
      <w:tr w:rsidR="0055533F" w:rsidRPr="002D6353" w14:paraId="18FB670A" w14:textId="77777777" w:rsidTr="00BB1DFF">
        <w:trPr>
          <w:gridAfter w:val="1"/>
          <w:wAfter w:w="851" w:type="dxa"/>
          <w:trHeight w:val="567"/>
        </w:trPr>
        <w:tc>
          <w:tcPr>
            <w:tcW w:w="2471" w:type="dxa"/>
            <w:shd w:val="clear" w:color="auto" w:fill="FFFFCC"/>
            <w:vAlign w:val="center"/>
            <w:hideMark/>
          </w:tcPr>
          <w:p w14:paraId="6F963709"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 Contact mail address</w:t>
            </w:r>
          </w:p>
        </w:tc>
        <w:tc>
          <w:tcPr>
            <w:tcW w:w="7872" w:type="dxa"/>
            <w:noWrap/>
          </w:tcPr>
          <w:p w14:paraId="2FB13020" w14:textId="77777777" w:rsidR="00E63ABD" w:rsidRPr="00F52F8C" w:rsidRDefault="00E63ABD" w:rsidP="00DE34D2">
            <w:pPr>
              <w:pStyle w:val="TableParagraph"/>
              <w:spacing w:before="240" w:after="240"/>
              <w:ind w:right="86"/>
              <w:jc w:val="both"/>
              <w:rPr>
                <w:lang w:eastAsia="nl-NL"/>
              </w:rPr>
            </w:pPr>
            <w:r w:rsidRPr="00F52F8C">
              <w:rPr>
                <w:lang w:eastAsia="nl-NL"/>
              </w:rPr>
              <w:t xml:space="preserve">Selia Qendrore nr.2 e </w:t>
            </w:r>
            <w:proofErr w:type="spellStart"/>
            <w:r w:rsidRPr="00F52F8C">
              <w:rPr>
                <w:lang w:eastAsia="nl-NL"/>
              </w:rPr>
              <w:t>Bankës</w:t>
            </w:r>
            <w:proofErr w:type="spellEnd"/>
            <w:r w:rsidRPr="00F52F8C">
              <w:rPr>
                <w:lang w:eastAsia="nl-NL"/>
              </w:rPr>
              <w:t xml:space="preserve"> </w:t>
            </w:r>
            <w:proofErr w:type="spellStart"/>
            <w:r w:rsidRPr="00F52F8C">
              <w:rPr>
                <w:lang w:eastAsia="nl-NL"/>
              </w:rPr>
              <w:t>së</w:t>
            </w:r>
            <w:proofErr w:type="spellEnd"/>
            <w:r w:rsidRPr="00F52F8C">
              <w:rPr>
                <w:lang w:eastAsia="nl-NL"/>
              </w:rPr>
              <w:t xml:space="preserve"> </w:t>
            </w:r>
            <w:proofErr w:type="spellStart"/>
            <w:r w:rsidRPr="00F52F8C">
              <w:rPr>
                <w:lang w:eastAsia="nl-NL"/>
              </w:rPr>
              <w:t>Shqipërisë</w:t>
            </w:r>
            <w:proofErr w:type="spellEnd"/>
          </w:p>
          <w:p w14:paraId="70CA390C" w14:textId="61BCAB17" w:rsidR="0055533F" w:rsidRPr="009B0910" w:rsidRDefault="00E63ABD" w:rsidP="00DE34D2">
            <w:pPr>
              <w:pStyle w:val="TableParagraph"/>
              <w:spacing w:before="240" w:after="240"/>
              <w:ind w:right="86"/>
              <w:jc w:val="both"/>
              <w:rPr>
                <w:sz w:val="24"/>
                <w:szCs w:val="24"/>
                <w:lang w:val="en-GB"/>
              </w:rPr>
            </w:pPr>
            <w:proofErr w:type="spellStart"/>
            <w:r w:rsidRPr="00F52F8C">
              <w:rPr>
                <w:lang w:eastAsia="nl-NL"/>
              </w:rPr>
              <w:t>Bulevardi</w:t>
            </w:r>
            <w:proofErr w:type="spellEnd"/>
            <w:r w:rsidRPr="00F52F8C">
              <w:rPr>
                <w:lang w:eastAsia="nl-NL"/>
              </w:rPr>
              <w:t xml:space="preserve"> “</w:t>
            </w:r>
            <w:proofErr w:type="spellStart"/>
            <w:r w:rsidRPr="00F52F8C">
              <w:rPr>
                <w:lang w:eastAsia="nl-NL"/>
              </w:rPr>
              <w:t>Dëshmorët</w:t>
            </w:r>
            <w:proofErr w:type="spellEnd"/>
            <w:r w:rsidRPr="00F52F8C">
              <w:rPr>
                <w:lang w:eastAsia="nl-NL"/>
              </w:rPr>
              <w:t xml:space="preserve"> e </w:t>
            </w:r>
            <w:proofErr w:type="spellStart"/>
            <w:r w:rsidRPr="00F52F8C">
              <w:rPr>
                <w:lang w:eastAsia="nl-NL"/>
              </w:rPr>
              <w:t>Kombit</w:t>
            </w:r>
            <w:proofErr w:type="spellEnd"/>
            <w:r w:rsidRPr="00F52F8C">
              <w:rPr>
                <w:lang w:eastAsia="nl-NL"/>
              </w:rPr>
              <w:t xml:space="preserve">, nr.3, </w:t>
            </w:r>
            <w:proofErr w:type="spellStart"/>
            <w:r w:rsidRPr="00F52F8C">
              <w:rPr>
                <w:lang w:eastAsia="nl-NL"/>
              </w:rPr>
              <w:t>Tiranë</w:t>
            </w:r>
            <w:proofErr w:type="spellEnd"/>
          </w:p>
        </w:tc>
      </w:tr>
      <w:tr w:rsidR="0055533F" w:rsidRPr="00493D72" w14:paraId="38BEC586" w14:textId="77777777" w:rsidTr="00BB1DFF">
        <w:trPr>
          <w:gridAfter w:val="1"/>
          <w:wAfter w:w="851" w:type="dxa"/>
          <w:trHeight w:val="567"/>
        </w:trPr>
        <w:tc>
          <w:tcPr>
            <w:tcW w:w="2471" w:type="dxa"/>
            <w:shd w:val="clear" w:color="auto" w:fill="FFFFCC"/>
            <w:vAlign w:val="center"/>
            <w:hideMark/>
          </w:tcPr>
          <w:p w14:paraId="7FACB0D6"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1.6. Contact email address</w:t>
            </w:r>
          </w:p>
        </w:tc>
        <w:tc>
          <w:tcPr>
            <w:tcW w:w="7872" w:type="dxa"/>
            <w:noWrap/>
          </w:tcPr>
          <w:p w14:paraId="5E55D332" w14:textId="77777777" w:rsidR="00DE34D2" w:rsidRDefault="00DE34D2" w:rsidP="00DE34D2">
            <w:pPr>
              <w:pStyle w:val="TableParagraph"/>
              <w:spacing w:before="240" w:after="240"/>
              <w:ind w:right="86"/>
              <w:jc w:val="both"/>
            </w:pPr>
            <w:hyperlink r:id="rId7" w:history="1">
              <w:r w:rsidRPr="00AF7F30">
                <w:rPr>
                  <w:rStyle w:val="Hyperlink"/>
                  <w:lang w:eastAsia="nl-NL"/>
                </w:rPr>
                <w:t>rlilaj@bankofalbania.org</w:t>
              </w:r>
            </w:hyperlink>
          </w:p>
          <w:p w14:paraId="1F090984" w14:textId="37C1E19B" w:rsidR="00EC4A17" w:rsidRPr="009B0910" w:rsidRDefault="00B52CD4" w:rsidP="00EC4A17">
            <w:pPr>
              <w:pStyle w:val="TableParagraph"/>
              <w:spacing w:before="240" w:after="240"/>
              <w:ind w:right="86"/>
              <w:jc w:val="both"/>
              <w:rPr>
                <w:sz w:val="24"/>
                <w:szCs w:val="24"/>
                <w:lang w:val="en-GB"/>
              </w:rPr>
            </w:pPr>
            <w:hyperlink r:id="rId8" w:history="1">
              <w:r w:rsidRPr="00C80DAA">
                <w:rPr>
                  <w:rStyle w:val="Hyperlink"/>
                  <w:lang w:eastAsia="nl-NL"/>
                </w:rPr>
                <w:t>imele</w:t>
              </w:r>
              <w:r w:rsidRPr="00C80DAA">
                <w:rPr>
                  <w:rStyle w:val="Hyperlink"/>
                  <w:lang w:eastAsia="nl-NL"/>
                </w:rPr>
                <w:t>@bankofalbania.org</w:t>
              </w:r>
            </w:hyperlink>
          </w:p>
        </w:tc>
      </w:tr>
      <w:tr w:rsidR="0055533F" w:rsidRPr="00493D72" w14:paraId="1B2C3B8A" w14:textId="77777777" w:rsidTr="00BB1DFF">
        <w:trPr>
          <w:gridAfter w:val="1"/>
          <w:wAfter w:w="851" w:type="dxa"/>
          <w:trHeight w:val="567"/>
        </w:trPr>
        <w:tc>
          <w:tcPr>
            <w:tcW w:w="2471" w:type="dxa"/>
            <w:shd w:val="clear" w:color="auto" w:fill="FFFFCC"/>
            <w:vAlign w:val="center"/>
            <w:hideMark/>
          </w:tcPr>
          <w:p w14:paraId="09AC84D8"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1.7. Contact phone number</w:t>
            </w:r>
          </w:p>
        </w:tc>
        <w:tc>
          <w:tcPr>
            <w:tcW w:w="7872" w:type="dxa"/>
            <w:noWrap/>
          </w:tcPr>
          <w:p w14:paraId="3A70F9CF" w14:textId="70C7189C" w:rsidR="0055533F" w:rsidRPr="00E63ABD" w:rsidRDefault="00E63ABD" w:rsidP="00DE34D2">
            <w:pPr>
              <w:pStyle w:val="TableParagraph"/>
              <w:spacing w:before="240" w:after="240"/>
              <w:ind w:right="86"/>
              <w:jc w:val="both"/>
              <w:rPr>
                <w:sz w:val="24"/>
                <w:szCs w:val="24"/>
                <w:lang w:val="en-GB"/>
              </w:rPr>
            </w:pPr>
            <w:r w:rsidRPr="007A2EA3">
              <w:rPr>
                <w:lang w:eastAsia="nl-NL"/>
              </w:rPr>
              <w:t>+355 4 2419301/02/03</w:t>
            </w:r>
            <w:r w:rsidR="007C39E2" w:rsidRPr="007A2EA3">
              <w:rPr>
                <w:lang w:eastAsia="nl-NL"/>
              </w:rPr>
              <w:t>/ (</w:t>
            </w:r>
            <w:proofErr w:type="spellStart"/>
            <w:r w:rsidRPr="007A2EA3">
              <w:rPr>
                <w:lang w:eastAsia="nl-NL"/>
              </w:rPr>
              <w:t>ext</w:t>
            </w:r>
            <w:proofErr w:type="spellEnd"/>
            <w:r w:rsidRPr="007A2EA3">
              <w:rPr>
                <w:lang w:eastAsia="nl-NL"/>
              </w:rPr>
              <w:t xml:space="preserve"> 634)</w:t>
            </w:r>
          </w:p>
        </w:tc>
      </w:tr>
      <w:tr w:rsidR="0055533F" w:rsidRPr="00493D72" w14:paraId="05763D7F" w14:textId="77777777" w:rsidTr="00BB1DFF">
        <w:trPr>
          <w:gridAfter w:val="1"/>
          <w:wAfter w:w="851" w:type="dxa"/>
          <w:trHeight w:val="567"/>
        </w:trPr>
        <w:tc>
          <w:tcPr>
            <w:tcW w:w="2471" w:type="dxa"/>
            <w:shd w:val="clear" w:color="auto" w:fill="FFFFCC"/>
            <w:vAlign w:val="center"/>
            <w:hideMark/>
          </w:tcPr>
          <w:p w14:paraId="0AF4DF99"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1.8. Contact fax number</w:t>
            </w:r>
          </w:p>
        </w:tc>
        <w:tc>
          <w:tcPr>
            <w:tcW w:w="7872" w:type="dxa"/>
            <w:noWrap/>
          </w:tcPr>
          <w:p w14:paraId="6F32A87A" w14:textId="7C5D6138" w:rsidR="0055533F" w:rsidRPr="00262D6E" w:rsidRDefault="00E63ABD" w:rsidP="00DE34D2">
            <w:pPr>
              <w:pStyle w:val="TableParagraph"/>
              <w:spacing w:before="240" w:after="240"/>
              <w:ind w:right="86"/>
              <w:jc w:val="both"/>
              <w:rPr>
                <w:sz w:val="24"/>
                <w:szCs w:val="24"/>
                <w:highlight w:val="yellow"/>
                <w:lang w:val="en-GB"/>
              </w:rPr>
            </w:pPr>
            <w:r w:rsidRPr="00F52F8C">
              <w:rPr>
                <w:lang w:eastAsia="nl-NL"/>
              </w:rPr>
              <w:t>+355 4 2419408</w:t>
            </w:r>
          </w:p>
        </w:tc>
      </w:tr>
      <w:tr w:rsidR="0055533F" w:rsidRPr="00493D72" w14:paraId="414C83BA"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2421D747" w14:textId="77777777" w:rsidR="0055533F" w:rsidRPr="00493D72" w:rsidRDefault="0055533F" w:rsidP="00301553">
            <w:pPr>
              <w:pStyle w:val="Heading1"/>
              <w:spacing w:before="0"/>
              <w:rPr>
                <w:rFonts w:ascii="Times New Roman" w:hAnsi="Times New Roman" w:cs="Times New Roman"/>
                <w:noProof/>
                <w:sz w:val="24"/>
                <w:szCs w:val="24"/>
                <w:lang w:val="sq-AL"/>
              </w:rPr>
            </w:pPr>
            <w:bookmarkStart w:id="1" w:name="_Toc104283920"/>
            <w:r w:rsidRPr="00493D72">
              <w:rPr>
                <w:rFonts w:ascii="Times New Roman" w:eastAsia="Times New Roman" w:hAnsi="Times New Roman" w:cs="Times New Roman"/>
                <w:noProof/>
                <w:color w:val="000000"/>
                <w:sz w:val="24"/>
                <w:szCs w:val="24"/>
                <w:lang w:val="sq-AL" w:eastAsia="sq-AL"/>
              </w:rPr>
              <w:t>2. Metadata update</w:t>
            </w:r>
            <w:bookmarkEnd w:id="1"/>
          </w:p>
        </w:tc>
      </w:tr>
      <w:tr w:rsidR="0055533F" w:rsidRPr="00493D72" w14:paraId="41455E31" w14:textId="77777777" w:rsidTr="00BB1DFF">
        <w:trPr>
          <w:gridAfter w:val="1"/>
          <w:wAfter w:w="851" w:type="dxa"/>
          <w:trHeight w:val="567"/>
        </w:trPr>
        <w:tc>
          <w:tcPr>
            <w:tcW w:w="2471" w:type="dxa"/>
            <w:shd w:val="clear" w:color="auto" w:fill="FFFFCC"/>
            <w:noWrap/>
            <w:vAlign w:val="center"/>
            <w:hideMark/>
          </w:tcPr>
          <w:p w14:paraId="2F66549B"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2.1. Metadata last certified</w:t>
            </w:r>
          </w:p>
        </w:tc>
        <w:tc>
          <w:tcPr>
            <w:tcW w:w="7872" w:type="dxa"/>
            <w:noWrap/>
          </w:tcPr>
          <w:p w14:paraId="03C89694" w14:textId="77777777" w:rsidR="0055533F" w:rsidRPr="009B0910" w:rsidRDefault="0055533F" w:rsidP="00301553">
            <w:pPr>
              <w:pStyle w:val="TableParagraph"/>
              <w:spacing w:before="240" w:after="240"/>
              <w:ind w:left="101" w:right="86"/>
              <w:jc w:val="both"/>
              <w:rPr>
                <w:sz w:val="24"/>
                <w:szCs w:val="24"/>
                <w:lang w:val="en-GB"/>
              </w:rPr>
            </w:pPr>
          </w:p>
        </w:tc>
      </w:tr>
      <w:tr w:rsidR="0055533F" w:rsidRPr="00493D72" w14:paraId="08DE24FA" w14:textId="77777777" w:rsidTr="00BB1DFF">
        <w:trPr>
          <w:gridAfter w:val="1"/>
          <w:wAfter w:w="851" w:type="dxa"/>
          <w:trHeight w:val="567"/>
        </w:trPr>
        <w:tc>
          <w:tcPr>
            <w:tcW w:w="2471" w:type="dxa"/>
            <w:shd w:val="clear" w:color="auto" w:fill="FFFFCC"/>
            <w:noWrap/>
            <w:vAlign w:val="center"/>
            <w:hideMark/>
          </w:tcPr>
          <w:p w14:paraId="1D3B6102"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2.2. Metadata last posted</w:t>
            </w:r>
          </w:p>
        </w:tc>
        <w:tc>
          <w:tcPr>
            <w:tcW w:w="7872" w:type="dxa"/>
            <w:noWrap/>
          </w:tcPr>
          <w:p w14:paraId="0A055016" w14:textId="77777777" w:rsidR="0055533F" w:rsidRPr="009B0910" w:rsidRDefault="0055533F" w:rsidP="00301553">
            <w:pPr>
              <w:pStyle w:val="TableParagraph"/>
              <w:spacing w:before="240" w:after="240"/>
              <w:ind w:left="101" w:right="86"/>
              <w:jc w:val="both"/>
              <w:rPr>
                <w:sz w:val="24"/>
                <w:szCs w:val="24"/>
                <w:lang w:val="en-GB"/>
              </w:rPr>
            </w:pPr>
          </w:p>
        </w:tc>
      </w:tr>
      <w:tr w:rsidR="0055533F" w:rsidRPr="00493D72" w14:paraId="110F3324" w14:textId="77777777" w:rsidTr="00BB1DFF">
        <w:trPr>
          <w:gridAfter w:val="1"/>
          <w:wAfter w:w="851" w:type="dxa"/>
          <w:trHeight w:val="567"/>
        </w:trPr>
        <w:tc>
          <w:tcPr>
            <w:tcW w:w="2471" w:type="dxa"/>
            <w:shd w:val="clear" w:color="auto" w:fill="FFFFCC"/>
            <w:noWrap/>
            <w:vAlign w:val="center"/>
            <w:hideMark/>
          </w:tcPr>
          <w:p w14:paraId="4D3D3B26"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2.3. Metadata last update</w:t>
            </w:r>
          </w:p>
        </w:tc>
        <w:tc>
          <w:tcPr>
            <w:tcW w:w="7872" w:type="dxa"/>
            <w:noWrap/>
          </w:tcPr>
          <w:p w14:paraId="411300B7" w14:textId="77777777" w:rsidR="0055533F" w:rsidRPr="009B0910" w:rsidRDefault="0055533F" w:rsidP="00301553">
            <w:pPr>
              <w:pStyle w:val="TableParagraph"/>
              <w:spacing w:before="240" w:after="240"/>
              <w:ind w:left="101" w:right="86"/>
              <w:jc w:val="both"/>
              <w:rPr>
                <w:sz w:val="24"/>
                <w:szCs w:val="24"/>
                <w:lang w:val="en-GB"/>
              </w:rPr>
            </w:pPr>
          </w:p>
        </w:tc>
      </w:tr>
      <w:tr w:rsidR="0055533F" w:rsidRPr="00493D72" w14:paraId="4C81693F"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0F29AA92" w14:textId="77777777" w:rsidR="0055533F" w:rsidRPr="00493D72" w:rsidRDefault="0055533F" w:rsidP="00301553">
            <w:pPr>
              <w:pStyle w:val="Heading1"/>
              <w:spacing w:before="0"/>
              <w:rPr>
                <w:rFonts w:ascii="Times New Roman" w:eastAsia="Times New Roman" w:hAnsi="Times New Roman" w:cs="Times New Roman"/>
                <w:b w:val="0"/>
                <w:bCs w:val="0"/>
                <w:noProof/>
                <w:color w:val="000000"/>
                <w:sz w:val="24"/>
                <w:szCs w:val="24"/>
                <w:lang w:val="sq-AL" w:eastAsia="sq-AL"/>
              </w:rPr>
            </w:pPr>
            <w:bookmarkStart w:id="2" w:name="_Toc104283921"/>
            <w:r w:rsidRPr="00493D72">
              <w:rPr>
                <w:rFonts w:ascii="Times New Roman" w:eastAsia="Times New Roman" w:hAnsi="Times New Roman" w:cs="Times New Roman"/>
                <w:noProof/>
                <w:color w:val="000000"/>
                <w:sz w:val="24"/>
                <w:szCs w:val="24"/>
                <w:lang w:val="sq-AL" w:eastAsia="sq-AL"/>
              </w:rPr>
              <w:t>3. Statistical presentation</w:t>
            </w:r>
            <w:bookmarkEnd w:id="2"/>
          </w:p>
        </w:tc>
      </w:tr>
      <w:tr w:rsidR="0055533F" w:rsidRPr="00493D72" w14:paraId="179D5EDF" w14:textId="77777777" w:rsidTr="00BB1DFF">
        <w:trPr>
          <w:gridAfter w:val="1"/>
          <w:wAfter w:w="851" w:type="dxa"/>
          <w:trHeight w:val="567"/>
        </w:trPr>
        <w:tc>
          <w:tcPr>
            <w:tcW w:w="2471" w:type="dxa"/>
            <w:shd w:val="clear" w:color="auto" w:fill="FFFFCC"/>
            <w:noWrap/>
            <w:vAlign w:val="center"/>
            <w:hideMark/>
          </w:tcPr>
          <w:p w14:paraId="1BAF774C"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3.1. Data description</w:t>
            </w:r>
          </w:p>
        </w:tc>
        <w:tc>
          <w:tcPr>
            <w:tcW w:w="7872" w:type="dxa"/>
          </w:tcPr>
          <w:p w14:paraId="7A9A378C" w14:textId="77777777" w:rsidR="00F52F8C" w:rsidRPr="00F52F8C" w:rsidRDefault="00F52F8C" w:rsidP="00DE34D2">
            <w:pPr>
              <w:pStyle w:val="TableParagraph"/>
              <w:spacing w:before="240" w:after="240"/>
              <w:ind w:right="85"/>
              <w:jc w:val="both"/>
              <w:rPr>
                <w:lang w:eastAsia="nl-NL"/>
              </w:rPr>
            </w:pPr>
            <w:r w:rsidRPr="00F52F8C">
              <w:rPr>
                <w:lang w:eastAsia="nl-NL"/>
              </w:rPr>
              <w:t xml:space="preserve">The Balance of Payments (BOP) systematically summarizes all economic transactions between the residents and the non-residents of a country or of an economic area during a given period. The BOP provides harmonized information on international transactions which are part of the current, capital and financial accounts. </w:t>
            </w:r>
          </w:p>
          <w:p w14:paraId="25AF2661" w14:textId="77777777" w:rsidR="00F52F8C" w:rsidRPr="00F52F8C" w:rsidRDefault="00F52F8C" w:rsidP="00DE34D2">
            <w:pPr>
              <w:pStyle w:val="TableParagraph"/>
              <w:spacing w:before="240" w:after="240"/>
              <w:ind w:right="85"/>
              <w:jc w:val="both"/>
              <w:rPr>
                <w:lang w:eastAsia="nl-NL"/>
              </w:rPr>
            </w:pPr>
            <w:r w:rsidRPr="00F52F8C">
              <w:rPr>
                <w:lang w:eastAsia="nl-NL"/>
              </w:rPr>
              <w:t xml:space="preserve">The Current account provides information about the transactions of a country with the rest of the world. It covers all transactions (other than those in financial items) in goods, services, primary income and secondary income, which occur between residents and </w:t>
            </w:r>
            <w:r w:rsidRPr="00F52F8C">
              <w:rPr>
                <w:lang w:eastAsia="nl-NL"/>
              </w:rPr>
              <w:lastRenderedPageBreak/>
              <w:t>non-resident units.</w:t>
            </w:r>
          </w:p>
          <w:p w14:paraId="24E15D99" w14:textId="698C4099" w:rsidR="00F52F8C" w:rsidRPr="00F52F8C" w:rsidRDefault="00F52F8C" w:rsidP="00DE34D2">
            <w:pPr>
              <w:pStyle w:val="TableParagraph"/>
              <w:spacing w:before="240" w:after="240"/>
              <w:ind w:right="85"/>
              <w:jc w:val="both"/>
              <w:rPr>
                <w:lang w:eastAsia="nl-NL"/>
              </w:rPr>
            </w:pPr>
            <w:r w:rsidRPr="00F52F8C">
              <w:rPr>
                <w:lang w:eastAsia="nl-NL"/>
              </w:rPr>
              <w:t>Since 2014, B</w:t>
            </w:r>
            <w:r w:rsidR="00904D43">
              <w:rPr>
                <w:lang w:eastAsia="nl-NL"/>
              </w:rPr>
              <w:t>ank of Albania (B</w:t>
            </w:r>
            <w:r w:rsidRPr="00F52F8C">
              <w:rPr>
                <w:lang w:eastAsia="nl-NL"/>
              </w:rPr>
              <w:t>OA</w:t>
            </w:r>
            <w:r w:rsidR="00904D43">
              <w:rPr>
                <w:lang w:eastAsia="nl-NL"/>
              </w:rPr>
              <w:t>)</w:t>
            </w:r>
            <w:r w:rsidRPr="00F52F8C">
              <w:rPr>
                <w:lang w:eastAsia="nl-NL"/>
              </w:rPr>
              <w:t xml:space="preserve"> has implemented BPM6 methodology. BOA produced historical series on a BPM6 –basis, using generic conversion formula developed by IMF Statistics Department, for 2007 onward</w:t>
            </w:r>
            <w:r w:rsidR="00846414">
              <w:rPr>
                <w:lang w:eastAsia="nl-NL"/>
              </w:rPr>
              <w:t>.</w:t>
            </w:r>
          </w:p>
          <w:p w14:paraId="3580572E" w14:textId="754A841A" w:rsidR="0055533F" w:rsidRPr="00262D6E" w:rsidRDefault="00F52F8C" w:rsidP="00DE34D2">
            <w:pPr>
              <w:pStyle w:val="TableParagraph"/>
              <w:spacing w:before="240" w:after="240"/>
              <w:ind w:right="85"/>
              <w:jc w:val="both"/>
              <w:rPr>
                <w:sz w:val="24"/>
                <w:lang w:eastAsia="nl-NL"/>
              </w:rPr>
            </w:pPr>
            <w:r w:rsidRPr="00F52F8C">
              <w:rPr>
                <w:lang w:eastAsia="nl-NL"/>
              </w:rPr>
              <w:t xml:space="preserve">The figures are transmitted to Eurostat through SDMX in accordance with the Balance of Payments </w:t>
            </w:r>
            <w:proofErr w:type="spellStart"/>
            <w:r w:rsidRPr="00F52F8C">
              <w:rPr>
                <w:lang w:eastAsia="nl-NL"/>
              </w:rPr>
              <w:t>Vademecum</w:t>
            </w:r>
            <w:proofErr w:type="spellEnd"/>
            <w:r w:rsidRPr="00F52F8C">
              <w:rPr>
                <w:lang w:eastAsia="nl-NL"/>
              </w:rPr>
              <w:t xml:space="preserve"> (questionnaire </w:t>
            </w:r>
            <w:r w:rsidR="00FB5A42">
              <w:rPr>
                <w:lang w:eastAsia="nl-NL"/>
              </w:rPr>
              <w:t xml:space="preserve">T.1 monthly data and </w:t>
            </w:r>
            <w:r w:rsidRPr="00F52F8C">
              <w:rPr>
                <w:lang w:eastAsia="nl-NL"/>
              </w:rPr>
              <w:t>T2.1</w:t>
            </w:r>
            <w:r w:rsidR="00FB5A42">
              <w:rPr>
                <w:lang w:eastAsia="nl-NL"/>
              </w:rPr>
              <w:t xml:space="preserve"> quarterly data</w:t>
            </w:r>
            <w:r w:rsidRPr="00F52F8C">
              <w:rPr>
                <w:lang w:eastAsia="nl-NL"/>
              </w:rPr>
              <w:t>).</w:t>
            </w:r>
          </w:p>
        </w:tc>
      </w:tr>
      <w:tr w:rsidR="0055533F" w:rsidRPr="00493D72" w14:paraId="0F9761C1" w14:textId="77777777" w:rsidTr="00BB1DFF">
        <w:trPr>
          <w:gridAfter w:val="1"/>
          <w:wAfter w:w="851" w:type="dxa"/>
          <w:trHeight w:val="567"/>
        </w:trPr>
        <w:tc>
          <w:tcPr>
            <w:tcW w:w="2471" w:type="dxa"/>
            <w:shd w:val="clear" w:color="auto" w:fill="FFFFCC"/>
            <w:noWrap/>
            <w:vAlign w:val="center"/>
            <w:hideMark/>
          </w:tcPr>
          <w:p w14:paraId="0B4D5EB7"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3.2. Classification system</w:t>
            </w:r>
          </w:p>
        </w:tc>
        <w:tc>
          <w:tcPr>
            <w:tcW w:w="7872" w:type="dxa"/>
          </w:tcPr>
          <w:p w14:paraId="7F82A34B" w14:textId="77777777" w:rsidR="00F52F8C" w:rsidRPr="00F52F8C" w:rsidRDefault="00F52F8C" w:rsidP="00DE34D2">
            <w:pPr>
              <w:pStyle w:val="TableParagraph"/>
              <w:spacing w:before="240" w:after="240"/>
              <w:ind w:right="85"/>
              <w:jc w:val="both"/>
              <w:rPr>
                <w:lang w:eastAsia="nl-NL"/>
              </w:rPr>
            </w:pPr>
            <w:r w:rsidRPr="00F52F8C">
              <w:rPr>
                <w:lang w:eastAsia="nl-NL"/>
              </w:rPr>
              <w:t>The methodological framework followed in the compilation of the Balance of Payments is defined in the IMF’s Balance of Payments and International Investment Positions Manual, Sixth Edition (BPM6) and the European system of national and regional accounts for the denominator (ESA 2010), as defined in Regulation (EU) No 549/2013 of the European Parliament and of the Council of 21 May 2013.</w:t>
            </w:r>
          </w:p>
          <w:p w14:paraId="51BF66D0" w14:textId="77777777" w:rsidR="00F52F8C" w:rsidRPr="00F52F8C" w:rsidRDefault="00F52F8C" w:rsidP="00DE34D2">
            <w:pPr>
              <w:pStyle w:val="TableParagraph"/>
              <w:spacing w:before="240" w:after="240"/>
              <w:ind w:right="85"/>
              <w:jc w:val="both"/>
              <w:rPr>
                <w:lang w:eastAsia="nl-NL"/>
              </w:rPr>
            </w:pPr>
            <w:r w:rsidRPr="00F52F8C">
              <w:rPr>
                <w:lang w:eastAsia="nl-NL"/>
              </w:rPr>
              <w:t>Balance of Payments Manual fifth edition (BPM5) was the reference for the data published by BOA until 2007.</w:t>
            </w:r>
          </w:p>
          <w:p w14:paraId="323753D2" w14:textId="36D80910" w:rsidR="0055533F" w:rsidRPr="00344520" w:rsidRDefault="00F52F8C" w:rsidP="00DE34D2">
            <w:pPr>
              <w:pStyle w:val="TableParagraph"/>
              <w:spacing w:before="240" w:after="240"/>
              <w:ind w:right="85"/>
              <w:jc w:val="both"/>
              <w:rPr>
                <w:lang w:eastAsia="nl-NL"/>
              </w:rPr>
            </w:pPr>
            <w:r w:rsidRPr="00F52F8C">
              <w:rPr>
                <w:lang w:eastAsia="nl-NL"/>
              </w:rPr>
              <w:t>Additional methodological references used are the United Nations' Manual on Statistics of International Trade in Services (2010) and the OECD Benchmark Definition of Foreign Direct Investment (BD4).</w:t>
            </w:r>
          </w:p>
        </w:tc>
      </w:tr>
      <w:tr w:rsidR="0055533F" w:rsidRPr="00493D72" w14:paraId="57F5A1FB" w14:textId="77777777" w:rsidTr="00BB1DFF">
        <w:trPr>
          <w:gridAfter w:val="1"/>
          <w:wAfter w:w="851" w:type="dxa"/>
          <w:trHeight w:val="567"/>
        </w:trPr>
        <w:tc>
          <w:tcPr>
            <w:tcW w:w="2471" w:type="dxa"/>
            <w:shd w:val="clear" w:color="auto" w:fill="FFFFCC"/>
            <w:vAlign w:val="center"/>
            <w:hideMark/>
          </w:tcPr>
          <w:p w14:paraId="3D8DE103"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3.3. Sector coverage</w:t>
            </w:r>
          </w:p>
        </w:tc>
        <w:tc>
          <w:tcPr>
            <w:tcW w:w="7872" w:type="dxa"/>
          </w:tcPr>
          <w:p w14:paraId="06FDF6E7" w14:textId="3CB853E8" w:rsidR="0055533F" w:rsidRPr="009B0910" w:rsidRDefault="00F52F8C" w:rsidP="00DE34D2">
            <w:pPr>
              <w:pStyle w:val="TableParagraph"/>
              <w:spacing w:before="240" w:after="240"/>
              <w:ind w:right="85"/>
              <w:jc w:val="both"/>
              <w:rPr>
                <w:sz w:val="24"/>
                <w:szCs w:val="24"/>
                <w:lang w:val="en-GB"/>
              </w:rPr>
            </w:pPr>
            <w:r w:rsidRPr="00344520">
              <w:rPr>
                <w:lang w:eastAsia="nl-NL"/>
              </w:rPr>
              <w:t xml:space="preserve">Data </w:t>
            </w:r>
            <w:proofErr w:type="gramStart"/>
            <w:r>
              <w:rPr>
                <w:lang w:eastAsia="nl-NL"/>
              </w:rPr>
              <w:t>are</w:t>
            </w:r>
            <w:proofErr w:type="gramEnd"/>
            <w:r w:rsidRPr="00344520">
              <w:rPr>
                <w:lang w:eastAsia="nl-NL"/>
              </w:rPr>
              <w:t xml:space="preserve"> compiled and disseminated for transactions of total economy vis-a-vis rest of the world. Additionally, financial account transactions, as well as related economy data are available with sector breakdown (central bank, monetary financial institutions other than central bank, general government, and financial corporations other than MFIs, non-financial corporations, households and non-profit institutions serving households).</w:t>
            </w:r>
          </w:p>
        </w:tc>
      </w:tr>
      <w:tr w:rsidR="0055533F" w:rsidRPr="00F52F8C" w14:paraId="7CE37C46" w14:textId="77777777" w:rsidTr="00BB1DFF">
        <w:trPr>
          <w:gridAfter w:val="1"/>
          <w:wAfter w:w="851" w:type="dxa"/>
          <w:trHeight w:val="567"/>
        </w:trPr>
        <w:tc>
          <w:tcPr>
            <w:tcW w:w="2471" w:type="dxa"/>
            <w:shd w:val="clear" w:color="auto" w:fill="FFFFCC"/>
            <w:vAlign w:val="center"/>
            <w:hideMark/>
          </w:tcPr>
          <w:p w14:paraId="0553FE84"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3.4. Statistical concepts and definitons</w:t>
            </w:r>
          </w:p>
        </w:tc>
        <w:tc>
          <w:tcPr>
            <w:tcW w:w="7872" w:type="dxa"/>
          </w:tcPr>
          <w:p w14:paraId="0CDEC7E3" w14:textId="58549BA6" w:rsidR="00F52F8C" w:rsidRPr="00F52F8C" w:rsidRDefault="00F52F8C" w:rsidP="00DE34D2">
            <w:pPr>
              <w:pStyle w:val="TableParagraph"/>
              <w:spacing w:before="120" w:after="240"/>
              <w:ind w:right="85"/>
              <w:jc w:val="both"/>
              <w:rPr>
                <w:lang w:eastAsia="nl-NL"/>
              </w:rPr>
            </w:pPr>
            <w:r w:rsidRPr="00F52F8C">
              <w:rPr>
                <w:lang w:eastAsia="nl-NL"/>
              </w:rPr>
              <w:t xml:space="preserve">The BOP is a statistical statement that systematically summarizes, over a given period, all the transactions of an economy with the rest of the world. The balance of payments records all economic transactions undertaken between the residents and non-residents of a country during a given period. A transaction is defined as an economic flow that reflects the creation, transformation, exchange, transfer, or extinction of economic value and involves changes in ownership of goods and/or financial assets, the provision of services, or the provision of </w:t>
            </w:r>
            <w:proofErr w:type="spellStart"/>
            <w:r w:rsidRPr="00F52F8C">
              <w:rPr>
                <w:lang w:eastAsia="nl-NL"/>
              </w:rPr>
              <w:t>labour</w:t>
            </w:r>
            <w:proofErr w:type="spellEnd"/>
            <w:r w:rsidRPr="00F52F8C">
              <w:rPr>
                <w:lang w:eastAsia="nl-NL"/>
              </w:rPr>
              <w:t xml:space="preserve"> and capital.</w:t>
            </w:r>
          </w:p>
          <w:p w14:paraId="59A705A3" w14:textId="7532F907" w:rsidR="00F52F8C" w:rsidRPr="00F52F8C" w:rsidRDefault="00F52F8C" w:rsidP="00DE34D2">
            <w:pPr>
              <w:pStyle w:val="TableParagraph"/>
              <w:spacing w:before="120" w:after="240"/>
              <w:ind w:right="85"/>
              <w:jc w:val="both"/>
              <w:rPr>
                <w:lang w:eastAsia="nl-NL"/>
              </w:rPr>
            </w:pPr>
            <w:r w:rsidRPr="00F52F8C">
              <w:rPr>
                <w:lang w:eastAsia="nl-NL"/>
              </w:rPr>
              <w:t xml:space="preserve">The concept of </w:t>
            </w:r>
            <w:r w:rsidR="00FB5A42" w:rsidRPr="00F52F8C">
              <w:rPr>
                <w:lang w:eastAsia="nl-NL"/>
              </w:rPr>
              <w:t>residents</w:t>
            </w:r>
            <w:r w:rsidRPr="00F52F8C">
              <w:rPr>
                <w:lang w:eastAsia="nl-NL"/>
              </w:rPr>
              <w:t xml:space="preserve"> in </w:t>
            </w:r>
            <w:r w:rsidR="00FB5A42" w:rsidRPr="00F52F8C">
              <w:rPr>
                <w:lang w:eastAsia="nl-NL"/>
              </w:rPr>
              <w:t>BPM6</w:t>
            </w:r>
            <w:r w:rsidRPr="00F52F8C">
              <w:rPr>
                <w:lang w:eastAsia="nl-NL"/>
              </w:rPr>
              <w:t xml:space="preserve"> is identical to the one used in the 2008 System of National Accounts (SNA). The residence of each institutional unit is the economic territory with which it has the strongest connection, expressed as its center of predominant economic interest. Each institutional unit is a resident of one and only one economic territory determined by its center of predominant economic interest.</w:t>
            </w:r>
          </w:p>
          <w:p w14:paraId="77902490" w14:textId="470315AE" w:rsidR="00F52F8C" w:rsidRPr="00F52F8C" w:rsidRDefault="00F52F8C" w:rsidP="00DE34D2">
            <w:pPr>
              <w:pStyle w:val="TableParagraph"/>
              <w:spacing w:before="120" w:after="240"/>
              <w:ind w:right="85"/>
              <w:jc w:val="both"/>
              <w:rPr>
                <w:lang w:eastAsia="nl-NL"/>
              </w:rPr>
            </w:pPr>
            <w:r w:rsidRPr="00F52F8C">
              <w:rPr>
                <w:lang w:eastAsia="nl-NL"/>
              </w:rPr>
              <w:t xml:space="preserve">The financial flows are marked as </w:t>
            </w:r>
            <w:r w:rsidR="00FB5A42" w:rsidRPr="00F52F8C">
              <w:rPr>
                <w:lang w:eastAsia="nl-NL"/>
              </w:rPr>
              <w:t>credit</w:t>
            </w:r>
            <w:r w:rsidRPr="00F52F8C">
              <w:rPr>
                <w:lang w:eastAsia="nl-NL"/>
              </w:rPr>
              <w:t xml:space="preserve"> (or exports, i.e. if a country has received money), a debit (or imports, when a country has paid or given money) or a net balance (credits minus debits).</w:t>
            </w:r>
          </w:p>
          <w:p w14:paraId="6FD7AD28" w14:textId="77777777" w:rsidR="00F52F8C" w:rsidRPr="00F52F8C" w:rsidRDefault="00F52F8C" w:rsidP="00DE34D2">
            <w:pPr>
              <w:pStyle w:val="TableParagraph"/>
              <w:spacing w:before="120" w:after="240"/>
              <w:ind w:right="85"/>
              <w:jc w:val="both"/>
              <w:rPr>
                <w:lang w:eastAsia="nl-NL"/>
              </w:rPr>
            </w:pPr>
            <w:r w:rsidRPr="00F52F8C">
              <w:rPr>
                <w:lang w:eastAsia="nl-NL"/>
              </w:rPr>
              <w:t>The current account together with the capital and the financial accounts forms the balance of Payments.</w:t>
            </w:r>
          </w:p>
          <w:p w14:paraId="401AD9AF" w14:textId="77777777" w:rsidR="00F52F8C" w:rsidRPr="00F52F8C" w:rsidRDefault="00F52F8C" w:rsidP="00DE34D2">
            <w:pPr>
              <w:pStyle w:val="TableParagraph"/>
              <w:spacing w:before="120" w:after="240"/>
              <w:ind w:right="85"/>
              <w:jc w:val="both"/>
              <w:rPr>
                <w:lang w:eastAsia="nl-NL"/>
              </w:rPr>
            </w:pPr>
            <w:r w:rsidRPr="00F52F8C">
              <w:rPr>
                <w:lang w:eastAsia="nl-NL"/>
              </w:rPr>
              <w:t>The balance of payments is broken down into three broad sub-balances: the current account (I.), the capital account (II.) and the financial account (III.).</w:t>
            </w:r>
          </w:p>
          <w:p w14:paraId="611DD5AE" w14:textId="77777777" w:rsidR="00F52F8C" w:rsidRPr="00F52F8C" w:rsidRDefault="00F52F8C" w:rsidP="00DE34D2">
            <w:pPr>
              <w:pStyle w:val="TableParagraph"/>
              <w:spacing w:before="120" w:after="240"/>
              <w:ind w:right="85"/>
              <w:jc w:val="both"/>
              <w:rPr>
                <w:lang w:eastAsia="nl-NL"/>
              </w:rPr>
            </w:pPr>
            <w:r w:rsidRPr="00F52F8C">
              <w:rPr>
                <w:lang w:eastAsia="nl-NL"/>
              </w:rPr>
              <w:t>I. Current account shows the flows of goods, services, primary income and secondary income between resident and non-resident units:</w:t>
            </w:r>
          </w:p>
          <w:p w14:paraId="509B5C83" w14:textId="77777777" w:rsidR="00F52F8C" w:rsidRPr="00F52F8C" w:rsidRDefault="00F52F8C" w:rsidP="00F52F8C">
            <w:pPr>
              <w:pStyle w:val="TableParagraph"/>
              <w:spacing w:before="120" w:after="240"/>
              <w:ind w:left="102" w:right="85"/>
              <w:jc w:val="both"/>
              <w:rPr>
                <w:lang w:eastAsia="nl-NL"/>
              </w:rPr>
            </w:pPr>
            <w:r w:rsidRPr="00F52F8C">
              <w:rPr>
                <w:lang w:eastAsia="nl-NL"/>
              </w:rPr>
              <w:lastRenderedPageBreak/>
              <w:t>1. Goods</w:t>
            </w:r>
          </w:p>
          <w:p w14:paraId="7338E16F" w14:textId="77777777" w:rsidR="00F52F8C" w:rsidRPr="00F52F8C" w:rsidRDefault="00F52F8C" w:rsidP="00DE34D2">
            <w:pPr>
              <w:pStyle w:val="TableParagraph"/>
              <w:spacing w:before="120" w:after="240"/>
              <w:ind w:right="85"/>
              <w:jc w:val="both"/>
              <w:rPr>
                <w:lang w:eastAsia="nl-NL"/>
              </w:rPr>
            </w:pPr>
            <w:r w:rsidRPr="00F52F8C">
              <w:rPr>
                <w:lang w:eastAsia="nl-NL"/>
              </w:rPr>
              <w:t>BOP item Goods covers moveable goods for which a change of ownership occurs between residents and non-residents. It includes general merchandise, net exports of goods under merchanting, non-monetary gold.</w:t>
            </w:r>
          </w:p>
          <w:p w14:paraId="682D42FA" w14:textId="77777777" w:rsidR="00F52F8C" w:rsidRPr="00F52F8C" w:rsidRDefault="00F52F8C" w:rsidP="00DE34D2">
            <w:pPr>
              <w:pStyle w:val="TableParagraph"/>
              <w:spacing w:before="120" w:after="240"/>
              <w:ind w:right="85"/>
              <w:jc w:val="both"/>
              <w:rPr>
                <w:lang w:eastAsia="nl-NL"/>
              </w:rPr>
            </w:pPr>
            <w:r w:rsidRPr="00F52F8C">
              <w:rPr>
                <w:lang w:eastAsia="nl-NL"/>
              </w:rPr>
              <w:t>An export is marked as a credit (money coming in</w:t>
            </w:r>
            <w:proofErr w:type="gramStart"/>
            <w:r w:rsidRPr="00F52F8C">
              <w:rPr>
                <w:lang w:eastAsia="nl-NL"/>
              </w:rPr>
              <w:t>)</w:t>
            </w:r>
            <w:proofErr w:type="gramEnd"/>
            <w:r w:rsidRPr="00F52F8C">
              <w:rPr>
                <w:lang w:eastAsia="nl-NL"/>
              </w:rPr>
              <w:t xml:space="preserve"> and an import is noted as a debit (money going out).</w:t>
            </w:r>
          </w:p>
          <w:p w14:paraId="2B6F6124" w14:textId="77777777" w:rsidR="00F52F8C" w:rsidRPr="00F52F8C" w:rsidRDefault="00F52F8C" w:rsidP="00F52F8C">
            <w:pPr>
              <w:pStyle w:val="TableParagraph"/>
              <w:spacing w:before="120" w:after="240"/>
              <w:ind w:left="102" w:right="85"/>
              <w:jc w:val="both"/>
              <w:rPr>
                <w:lang w:eastAsia="nl-NL"/>
              </w:rPr>
            </w:pPr>
            <w:r w:rsidRPr="00F52F8C">
              <w:rPr>
                <w:lang w:eastAsia="nl-NL"/>
              </w:rPr>
              <w:t>2. Services</w:t>
            </w:r>
          </w:p>
          <w:p w14:paraId="6AEE6044" w14:textId="77777777" w:rsidR="00F52F8C" w:rsidRPr="00F52F8C" w:rsidRDefault="00F52F8C" w:rsidP="00DE34D2">
            <w:pPr>
              <w:pStyle w:val="TableParagraph"/>
              <w:spacing w:before="120" w:after="240"/>
              <w:ind w:right="85"/>
              <w:jc w:val="both"/>
              <w:rPr>
                <w:lang w:eastAsia="nl-NL"/>
              </w:rPr>
            </w:pPr>
            <w:r w:rsidRPr="00F52F8C">
              <w:rPr>
                <w:lang w:eastAsia="nl-NL"/>
              </w:rPr>
              <w:t>Services are the second major category of the current account. In the production of data on International Trade in Services the references are the IMF’s BPM6 and the United Nations’ Manual on Statistics of International Trade in Services 2010.</w:t>
            </w:r>
          </w:p>
          <w:p w14:paraId="55F007C3" w14:textId="0BCEAD9C" w:rsidR="00F52F8C" w:rsidRPr="00F52F8C" w:rsidRDefault="00F52F8C" w:rsidP="00DE34D2">
            <w:pPr>
              <w:pStyle w:val="TableParagraph"/>
              <w:spacing w:before="120" w:after="240"/>
              <w:ind w:right="85"/>
              <w:jc w:val="both"/>
              <w:rPr>
                <w:lang w:eastAsia="nl-NL"/>
              </w:rPr>
            </w:pPr>
            <w:r w:rsidRPr="00F52F8C">
              <w:rPr>
                <w:lang w:eastAsia="nl-NL"/>
              </w:rPr>
              <w:t>Services are the result of a production activity that changes the conditions of the consuming units or facilitates the exchange of products or financial assets. Services are not generally separate items over which ownership rights can be established and cannot generally be separated from their production.</w:t>
            </w:r>
          </w:p>
          <w:p w14:paraId="7466B5CE" w14:textId="0DCBA40A" w:rsidR="00F52F8C" w:rsidRPr="00F52F8C" w:rsidRDefault="00F52F8C" w:rsidP="00DE34D2">
            <w:pPr>
              <w:pStyle w:val="TableParagraph"/>
              <w:spacing w:before="120" w:after="240"/>
              <w:ind w:right="85"/>
              <w:jc w:val="both"/>
              <w:rPr>
                <w:lang w:eastAsia="nl-NL"/>
              </w:rPr>
            </w:pPr>
            <w:r w:rsidRPr="00F52F8C">
              <w:rPr>
                <w:lang w:eastAsia="nl-NL"/>
              </w:rPr>
              <w:t xml:space="preserve">The main breakdown of services includes Manufacturing services on physical inputs owned by others; Maintenance and repair services; Transport; Travel; Construction; Insurance and pension services; Financial services; Charges for the use of intellectual property; Telecommunications, Computer and </w:t>
            </w:r>
            <w:r w:rsidR="00DE34D2" w:rsidRPr="00F52F8C">
              <w:rPr>
                <w:lang w:eastAsia="nl-NL"/>
              </w:rPr>
              <w:t>Information</w:t>
            </w:r>
            <w:r w:rsidRPr="00F52F8C">
              <w:rPr>
                <w:lang w:eastAsia="nl-NL"/>
              </w:rPr>
              <w:t xml:space="preserve"> services; Other business services; Personal, cultural and recreational services and Government goods and services.</w:t>
            </w:r>
          </w:p>
          <w:p w14:paraId="2359843E" w14:textId="77777777" w:rsidR="00F52F8C" w:rsidRPr="00F52F8C" w:rsidRDefault="00F52F8C" w:rsidP="00DE34D2">
            <w:pPr>
              <w:pStyle w:val="TableParagraph"/>
              <w:spacing w:before="120" w:after="240"/>
              <w:ind w:right="85"/>
              <w:jc w:val="both"/>
              <w:rPr>
                <w:lang w:eastAsia="nl-NL"/>
              </w:rPr>
            </w:pPr>
            <w:r w:rsidRPr="00F52F8C">
              <w:rPr>
                <w:lang w:eastAsia="nl-NL"/>
              </w:rPr>
              <w:t>When combined, goods and services together make up a country's balance of trade. The balance of trade is typically the biggest bulk of a country's balance of payments as it makes up total imports and exports. If a country has a balance of trade deficit, it imports more than it exports, and if it has a balance of trade surplus, it exports more than it imports.</w:t>
            </w:r>
          </w:p>
          <w:p w14:paraId="3C330149" w14:textId="77777777" w:rsidR="00F52F8C" w:rsidRPr="00F52F8C" w:rsidRDefault="00F52F8C" w:rsidP="00F52F8C">
            <w:pPr>
              <w:pStyle w:val="TableParagraph"/>
              <w:spacing w:before="120" w:after="240"/>
              <w:ind w:left="102" w:right="85"/>
              <w:jc w:val="both"/>
              <w:rPr>
                <w:lang w:eastAsia="nl-NL"/>
              </w:rPr>
            </w:pPr>
            <w:r w:rsidRPr="00F52F8C">
              <w:rPr>
                <w:lang w:eastAsia="nl-NL"/>
              </w:rPr>
              <w:t>3. Primary income</w:t>
            </w:r>
          </w:p>
          <w:p w14:paraId="0BC5214B" w14:textId="77777777" w:rsidR="00F52F8C" w:rsidRPr="00F52F8C" w:rsidRDefault="00F52F8C" w:rsidP="00DE34D2">
            <w:pPr>
              <w:pStyle w:val="TableParagraph"/>
              <w:spacing w:before="120" w:after="240"/>
              <w:ind w:right="85"/>
              <w:jc w:val="both"/>
              <w:rPr>
                <w:lang w:eastAsia="nl-NL"/>
              </w:rPr>
            </w:pPr>
            <w:r w:rsidRPr="00F52F8C">
              <w:rPr>
                <w:lang w:eastAsia="nl-NL"/>
              </w:rPr>
              <w:t xml:space="preserve">Primary income represents the return that accrues to institutional units for their contribution to the production process, or for the provision of financial assets and renting natural resources to other institutional units. It comprises compensation </w:t>
            </w:r>
            <w:proofErr w:type="gramStart"/>
            <w:r w:rsidRPr="00F52F8C">
              <w:rPr>
                <w:lang w:eastAsia="nl-NL"/>
              </w:rPr>
              <w:t>of</w:t>
            </w:r>
            <w:proofErr w:type="gramEnd"/>
            <w:r w:rsidRPr="00F52F8C">
              <w:rPr>
                <w:lang w:eastAsia="nl-NL"/>
              </w:rPr>
              <w:t xml:space="preserve"> employees, investment income and other primary income.</w:t>
            </w:r>
          </w:p>
          <w:p w14:paraId="29805233" w14:textId="77777777" w:rsidR="00DE34D2" w:rsidRDefault="00F52F8C" w:rsidP="00DE34D2">
            <w:pPr>
              <w:pStyle w:val="TableParagraph"/>
              <w:spacing w:before="120" w:after="240"/>
              <w:ind w:left="102" w:right="85"/>
              <w:jc w:val="both"/>
              <w:rPr>
                <w:lang w:eastAsia="nl-NL"/>
              </w:rPr>
            </w:pPr>
            <w:r w:rsidRPr="00F52F8C">
              <w:rPr>
                <w:lang w:eastAsia="nl-NL"/>
              </w:rPr>
              <w:t>4. Secondary income</w:t>
            </w:r>
          </w:p>
          <w:p w14:paraId="670BDEF6" w14:textId="71FD9D16" w:rsidR="00F52F8C" w:rsidRPr="00F52F8C" w:rsidRDefault="00F52F8C" w:rsidP="00DE34D2">
            <w:pPr>
              <w:pStyle w:val="TableParagraph"/>
              <w:spacing w:before="120" w:after="240"/>
              <w:ind w:right="85"/>
              <w:jc w:val="both"/>
              <w:rPr>
                <w:lang w:eastAsia="nl-NL"/>
              </w:rPr>
            </w:pPr>
            <w:r w:rsidRPr="00F52F8C">
              <w:rPr>
                <w:lang w:eastAsia="nl-NL"/>
              </w:rPr>
              <w:t>The secondary income account shows current transfers between residents and non-residents. A transfer is an entry that corresponds to the provision of a good, service, financial asset, or other non-produced asset by an institutional unit to another institutional unit where there is no corresponding return of an item of economic value. Current transfers consist of all transfers that are not capital transfers. Due to their nature, they are not considered real resources that affect economic production.</w:t>
            </w:r>
          </w:p>
          <w:p w14:paraId="4D757FF9" w14:textId="263536E1" w:rsidR="00F52F8C" w:rsidRPr="00F52F8C" w:rsidRDefault="00F52F8C" w:rsidP="00DE34D2">
            <w:pPr>
              <w:pStyle w:val="TableParagraph"/>
              <w:spacing w:before="120" w:after="240"/>
              <w:ind w:right="85"/>
              <w:jc w:val="both"/>
              <w:rPr>
                <w:lang w:eastAsia="nl-NL"/>
              </w:rPr>
            </w:pPr>
            <w:r w:rsidRPr="00F52F8C">
              <w:rPr>
                <w:lang w:eastAsia="nl-NL"/>
              </w:rPr>
              <w:t>Current transfers are classified according to the institutional sector making or receiving the transfer in the compiling economy:</w:t>
            </w:r>
          </w:p>
          <w:p w14:paraId="2FBB4FEB" w14:textId="79CDAF5F" w:rsidR="00F52F8C" w:rsidRPr="00F52F8C" w:rsidRDefault="00F52F8C" w:rsidP="00F52F8C">
            <w:pPr>
              <w:pStyle w:val="TableParagraph"/>
              <w:spacing w:before="120" w:after="240"/>
              <w:ind w:left="102" w:right="85"/>
              <w:jc w:val="both"/>
              <w:rPr>
                <w:lang w:eastAsia="nl-NL"/>
              </w:rPr>
            </w:pPr>
            <w:r w:rsidRPr="00F52F8C">
              <w:rPr>
                <w:lang w:eastAsia="nl-NL"/>
              </w:rPr>
              <w:t>-</w:t>
            </w:r>
            <w:r w:rsidRPr="00F52F8C">
              <w:rPr>
                <w:lang w:eastAsia="nl-NL"/>
              </w:rPr>
              <w:tab/>
              <w:t xml:space="preserve">General government current transfers comprise Current taxes on income, wealth etc., social contributions, social benefits, Current international cooperation, Miscellaneous current transfers of general </w:t>
            </w:r>
            <w:r w:rsidR="00DE34D2" w:rsidRPr="00F52F8C">
              <w:rPr>
                <w:lang w:eastAsia="nl-NL"/>
              </w:rPr>
              <w:t>government.</w:t>
            </w:r>
          </w:p>
          <w:p w14:paraId="3FF5C9C1" w14:textId="77777777" w:rsidR="00F52F8C" w:rsidRPr="00F52F8C" w:rsidRDefault="00F52F8C" w:rsidP="00F52F8C">
            <w:pPr>
              <w:pStyle w:val="TableParagraph"/>
              <w:spacing w:before="120" w:after="240"/>
              <w:ind w:left="102" w:right="85"/>
              <w:jc w:val="both"/>
              <w:rPr>
                <w:lang w:eastAsia="nl-NL"/>
              </w:rPr>
            </w:pPr>
            <w:r w:rsidRPr="00F52F8C">
              <w:rPr>
                <w:lang w:eastAsia="nl-NL"/>
              </w:rPr>
              <w:t>-</w:t>
            </w:r>
            <w:r w:rsidRPr="00F52F8C">
              <w:rPr>
                <w:lang w:eastAsia="nl-NL"/>
              </w:rPr>
              <w:tab/>
              <w:t xml:space="preserve">Financial corporations, nonfinancial corporations, households, and NPISHs - Current taxes on income, wealth etc., social contributions, social benefits, miscellaneous current transfers, net non-life insurance premiums, non-life insurance </w:t>
            </w:r>
            <w:r w:rsidRPr="00F52F8C">
              <w:rPr>
                <w:lang w:eastAsia="nl-NL"/>
              </w:rPr>
              <w:lastRenderedPageBreak/>
              <w:t>claims, current international cooperation and adjustments for the changes in pension entitlements. Miscellaneous current transfers include Personal transfer between resident and non-resident households (of which: workers’ remittances).</w:t>
            </w:r>
          </w:p>
          <w:p w14:paraId="5349D3B8" w14:textId="77777777" w:rsidR="00F52F8C" w:rsidRPr="00F52F8C" w:rsidRDefault="00F52F8C" w:rsidP="00DE34D2">
            <w:pPr>
              <w:pStyle w:val="TableParagraph"/>
              <w:spacing w:before="120" w:after="240"/>
              <w:ind w:right="85"/>
              <w:jc w:val="both"/>
              <w:rPr>
                <w:lang w:eastAsia="nl-NL"/>
              </w:rPr>
            </w:pPr>
            <w:r w:rsidRPr="00F52F8C">
              <w:rPr>
                <w:lang w:eastAsia="nl-NL"/>
              </w:rPr>
              <w:t>II. Capital account covers all transactions that involve (a) the receipt or payment of capital transfers (debt forgiveness, nonlife insurance claims, investment grants, one-off guarantees and other debt assumption, capital taxes and other capital transfers) and (b) the acquisition/disposal of non-produced, non-financial assets, which includes transactions associated with tangible assets (e.g., land and subsoil assets) and transactions associated with intangible assets (e.g., patents, copyrights, trademarks, franchises, etc.).</w:t>
            </w:r>
          </w:p>
          <w:p w14:paraId="0257C9C0" w14:textId="3D5608A1" w:rsidR="0055533F" w:rsidRPr="00F52F8C" w:rsidRDefault="00F52F8C" w:rsidP="00F56CBD">
            <w:pPr>
              <w:pStyle w:val="TableParagraph"/>
              <w:spacing w:before="240" w:after="240"/>
              <w:ind w:right="85"/>
              <w:jc w:val="both"/>
              <w:rPr>
                <w:lang w:eastAsia="nl-NL"/>
              </w:rPr>
            </w:pPr>
            <w:r w:rsidRPr="00F56CBD">
              <w:rPr>
                <w:rFonts w:eastAsiaTheme="minorEastAsia"/>
                <w:lang w:eastAsia="nl-NL"/>
              </w:rPr>
              <w:t xml:space="preserve">III. Financial account covers all transactions associated with changes </w:t>
            </w:r>
            <w:r w:rsidR="00B52CD4" w:rsidRPr="00F56CBD">
              <w:rPr>
                <w:rFonts w:eastAsiaTheme="minorEastAsia"/>
                <w:lang w:eastAsia="nl-NL"/>
              </w:rPr>
              <w:t>in</w:t>
            </w:r>
            <w:r w:rsidRPr="00F56CBD">
              <w:rPr>
                <w:rFonts w:eastAsiaTheme="minorEastAsia"/>
                <w:lang w:eastAsia="nl-NL"/>
              </w:rPr>
              <w:t xml:space="preserve"> ownership in the foreign financial assets and liabilities of an economy. The financial account is broken down into five basic functional categories: Direct investment (divided by instrument into equity and investment fund shares, reinvestment of earnings and debt instruments), Portfolio investment (divided by instrument into equity and investment fund shares, reinvestment of earnings for investment fund shares and debt securities), Financial derivatives and employee stock options, Other investment (divided by instrument into other equity, currency and deposits, loans, insurance, pension schemes and other standardized guarantee schemes, trade credits and advances, other accounts receivable/payable and special drawing rights) and Official reserve assets (divided by instrument into monetary gold, special drawing rights, reserve position in the International Monetary Fund and other reserve assets).</w:t>
            </w:r>
          </w:p>
        </w:tc>
      </w:tr>
      <w:tr w:rsidR="0055533F" w:rsidRPr="00493D72" w14:paraId="70BF35A0" w14:textId="77777777" w:rsidTr="00BB1DFF">
        <w:trPr>
          <w:gridAfter w:val="1"/>
          <w:wAfter w:w="851" w:type="dxa"/>
          <w:trHeight w:val="567"/>
        </w:trPr>
        <w:tc>
          <w:tcPr>
            <w:tcW w:w="2471" w:type="dxa"/>
            <w:shd w:val="clear" w:color="auto" w:fill="FFFFCC"/>
            <w:vAlign w:val="center"/>
            <w:hideMark/>
          </w:tcPr>
          <w:p w14:paraId="3E238C1B"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3.5. Statistical unit</w:t>
            </w:r>
          </w:p>
        </w:tc>
        <w:tc>
          <w:tcPr>
            <w:tcW w:w="7872" w:type="dxa"/>
            <w:noWrap/>
          </w:tcPr>
          <w:p w14:paraId="74C2D055" w14:textId="1AF7DE03" w:rsidR="0055533F" w:rsidRPr="00F56CBD" w:rsidRDefault="00CA41DB" w:rsidP="00DE34D2">
            <w:pPr>
              <w:pStyle w:val="TableParagraph"/>
              <w:spacing w:before="240" w:after="240"/>
              <w:ind w:right="85"/>
              <w:jc w:val="both"/>
              <w:rPr>
                <w:rFonts w:eastAsiaTheme="minorEastAsia"/>
                <w:lang w:eastAsia="nl-NL"/>
              </w:rPr>
            </w:pPr>
            <w:r w:rsidRPr="00F56CBD">
              <w:rPr>
                <w:rFonts w:eastAsiaTheme="minorEastAsia"/>
                <w:lang w:eastAsia="nl-NL"/>
              </w:rPr>
              <w:t>Resident institutional units are defined in conformity with the relevant manual (BPM6) and relate to any individual, corporation or other institution that has a predominant center of economic interest in the country/territory during a given period.</w:t>
            </w:r>
          </w:p>
        </w:tc>
      </w:tr>
      <w:tr w:rsidR="0055533F" w:rsidRPr="00493D72" w14:paraId="56B2C945" w14:textId="77777777" w:rsidTr="00BB1DFF">
        <w:trPr>
          <w:gridAfter w:val="1"/>
          <w:wAfter w:w="851" w:type="dxa"/>
          <w:trHeight w:val="567"/>
        </w:trPr>
        <w:tc>
          <w:tcPr>
            <w:tcW w:w="2471" w:type="dxa"/>
            <w:shd w:val="clear" w:color="auto" w:fill="FFFFCC"/>
            <w:vAlign w:val="center"/>
            <w:hideMark/>
          </w:tcPr>
          <w:p w14:paraId="727938ED"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3.6. Statistical population</w:t>
            </w:r>
          </w:p>
        </w:tc>
        <w:tc>
          <w:tcPr>
            <w:tcW w:w="7872" w:type="dxa"/>
          </w:tcPr>
          <w:p w14:paraId="2F89DB67" w14:textId="0226866A" w:rsidR="0055533F" w:rsidRPr="00262D6E" w:rsidRDefault="00CA41DB" w:rsidP="00DE34D2">
            <w:pPr>
              <w:pStyle w:val="TableParagraph"/>
              <w:spacing w:before="240" w:after="240"/>
              <w:ind w:right="85"/>
              <w:jc w:val="both"/>
              <w:rPr>
                <w:sz w:val="24"/>
                <w:lang w:val="en-GB"/>
              </w:rPr>
            </w:pPr>
            <w:r w:rsidRPr="00F56CBD">
              <w:rPr>
                <w:rFonts w:eastAsiaTheme="minorEastAsia"/>
                <w:lang w:eastAsia="nl-NL"/>
              </w:rPr>
              <w:t>BOP statistical population includes all the economic transactions between residents and non-residents. The BOA receives monthly information from commercial banks, INSAT and Customs database, quarterly information from other institutions, Tax Authority, Ministry of Economy and Finance, and undertakes surveys and estimations for specific items of the services account (Travel) and items of the secondary income (worker’s remittances). The coverage of the statistical population assured by the reported transactions can be very different for different current accounting items.</w:t>
            </w:r>
          </w:p>
        </w:tc>
      </w:tr>
      <w:tr w:rsidR="0055533F" w:rsidRPr="00493D72" w14:paraId="03665C57" w14:textId="77777777" w:rsidTr="00BB1DFF">
        <w:trPr>
          <w:gridAfter w:val="1"/>
          <w:wAfter w:w="851" w:type="dxa"/>
          <w:trHeight w:val="567"/>
        </w:trPr>
        <w:tc>
          <w:tcPr>
            <w:tcW w:w="2471" w:type="dxa"/>
            <w:shd w:val="clear" w:color="auto" w:fill="FFFFCC"/>
            <w:vAlign w:val="center"/>
            <w:hideMark/>
          </w:tcPr>
          <w:p w14:paraId="23E04784"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3.7. Reference area</w:t>
            </w:r>
          </w:p>
        </w:tc>
        <w:tc>
          <w:tcPr>
            <w:tcW w:w="7872" w:type="dxa"/>
            <w:noWrap/>
          </w:tcPr>
          <w:p w14:paraId="6E24588F" w14:textId="17D675EE" w:rsidR="0055533F" w:rsidRPr="00262D6E" w:rsidRDefault="00CA41DB" w:rsidP="00DE34D2">
            <w:pPr>
              <w:pStyle w:val="TableParagraph"/>
              <w:spacing w:before="240" w:after="240"/>
              <w:ind w:right="85"/>
              <w:jc w:val="both"/>
              <w:rPr>
                <w:sz w:val="24"/>
              </w:rPr>
            </w:pPr>
            <w:r w:rsidRPr="00344520">
              <w:rPr>
                <w:lang w:eastAsia="nl-NL"/>
              </w:rPr>
              <w:t>Balance of Payments</w:t>
            </w:r>
            <w:r w:rsidR="00FB5A42">
              <w:rPr>
                <w:lang w:eastAsia="nl-NL"/>
              </w:rPr>
              <w:t xml:space="preserve"> </w:t>
            </w:r>
            <w:r w:rsidRPr="00344520">
              <w:rPr>
                <w:lang w:eastAsia="nl-NL"/>
              </w:rPr>
              <w:t>comprise all territory of Albania.</w:t>
            </w:r>
          </w:p>
        </w:tc>
      </w:tr>
      <w:tr w:rsidR="0055533F" w:rsidRPr="00493D72" w14:paraId="3D13A7CD" w14:textId="77777777" w:rsidTr="00BB1DFF">
        <w:trPr>
          <w:gridAfter w:val="1"/>
          <w:wAfter w:w="851" w:type="dxa"/>
          <w:trHeight w:val="567"/>
        </w:trPr>
        <w:tc>
          <w:tcPr>
            <w:tcW w:w="2471" w:type="dxa"/>
            <w:shd w:val="clear" w:color="auto" w:fill="FFFFCC"/>
            <w:vAlign w:val="center"/>
            <w:hideMark/>
          </w:tcPr>
          <w:p w14:paraId="08F128C9"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 xml:space="preserve">3.8. </w:t>
            </w:r>
            <w:r w:rsidRPr="00493D72">
              <w:rPr>
                <w:rFonts w:ascii="Times New Roman" w:eastAsia="Times New Roman" w:hAnsi="Times New Roman" w:cs="Times New Roman"/>
                <w:noProof/>
                <w:color w:val="000000" w:themeColor="text1"/>
                <w:sz w:val="24"/>
                <w:szCs w:val="24"/>
                <w:lang w:val="sq-AL" w:eastAsia="sq-AL"/>
              </w:rPr>
              <w:t>Time coverage</w:t>
            </w:r>
          </w:p>
        </w:tc>
        <w:tc>
          <w:tcPr>
            <w:tcW w:w="7872" w:type="dxa"/>
          </w:tcPr>
          <w:p w14:paraId="26B65CD2" w14:textId="2AC55FD3" w:rsidR="0055533F" w:rsidRPr="00262D6E" w:rsidRDefault="00CA41DB" w:rsidP="00DE34D2">
            <w:pPr>
              <w:pStyle w:val="TableParagraph"/>
              <w:spacing w:before="240" w:after="240"/>
              <w:ind w:right="85"/>
              <w:jc w:val="both"/>
              <w:rPr>
                <w:sz w:val="24"/>
                <w:lang w:val="en-GB"/>
              </w:rPr>
            </w:pPr>
            <w:r w:rsidRPr="00F56CBD">
              <w:rPr>
                <w:rFonts w:eastAsiaTheme="minorEastAsia"/>
                <w:lang w:eastAsia="nl-NL"/>
              </w:rPr>
              <w:t xml:space="preserve">The data published for balance of payments are quarterly. The quarterly data </w:t>
            </w:r>
            <w:proofErr w:type="gramStart"/>
            <w:r w:rsidRPr="00F56CBD">
              <w:rPr>
                <w:rFonts w:eastAsiaTheme="minorEastAsia"/>
                <w:lang w:eastAsia="nl-NL"/>
              </w:rPr>
              <w:t>are</w:t>
            </w:r>
            <w:proofErr w:type="gramEnd"/>
            <w:r w:rsidRPr="00F56CBD">
              <w:rPr>
                <w:rFonts w:eastAsiaTheme="minorEastAsia"/>
                <w:lang w:eastAsia="nl-NL"/>
              </w:rPr>
              <w:t xml:space="preserve"> annualized as sum of four quarters of each year. The data starts from year 1993 and from 2008 are compiled in BPM6 manual.</w:t>
            </w:r>
          </w:p>
        </w:tc>
      </w:tr>
      <w:tr w:rsidR="0055533F" w:rsidRPr="00493D72" w14:paraId="5E775DD2" w14:textId="77777777" w:rsidTr="00BB1DFF">
        <w:trPr>
          <w:gridAfter w:val="1"/>
          <w:wAfter w:w="851" w:type="dxa"/>
          <w:trHeight w:val="567"/>
        </w:trPr>
        <w:tc>
          <w:tcPr>
            <w:tcW w:w="2471" w:type="dxa"/>
            <w:shd w:val="clear" w:color="auto" w:fill="FFFFCC"/>
            <w:noWrap/>
            <w:vAlign w:val="center"/>
            <w:hideMark/>
          </w:tcPr>
          <w:p w14:paraId="36193033"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3.9. Base period</w:t>
            </w:r>
          </w:p>
        </w:tc>
        <w:tc>
          <w:tcPr>
            <w:tcW w:w="7872" w:type="dxa"/>
            <w:noWrap/>
          </w:tcPr>
          <w:p w14:paraId="7F5AEE5D" w14:textId="75441C0E" w:rsidR="0055533F" w:rsidRPr="00262D6E" w:rsidRDefault="00555F42" w:rsidP="00DE34D2">
            <w:pPr>
              <w:pStyle w:val="TableParagraph"/>
              <w:spacing w:before="240" w:after="240"/>
              <w:ind w:right="85"/>
              <w:jc w:val="both"/>
              <w:rPr>
                <w:sz w:val="24"/>
                <w:lang w:val="en-GB"/>
              </w:rPr>
            </w:pPr>
            <w:r w:rsidRPr="00344520">
              <w:rPr>
                <w:lang w:eastAsia="nl-NL"/>
              </w:rPr>
              <w:t>Not applicable</w:t>
            </w:r>
          </w:p>
        </w:tc>
      </w:tr>
      <w:tr w:rsidR="0055533F" w:rsidRPr="00493D72" w14:paraId="56C58F38" w14:textId="77777777" w:rsidTr="00BB1DFF">
        <w:trPr>
          <w:gridAfter w:val="1"/>
          <w:wAfter w:w="851" w:type="dxa"/>
          <w:trHeight w:val="567"/>
        </w:trPr>
        <w:tc>
          <w:tcPr>
            <w:tcW w:w="2471" w:type="dxa"/>
            <w:shd w:val="clear" w:color="auto" w:fill="C5E0B3" w:themeFill="accent6" w:themeFillTint="66"/>
            <w:noWrap/>
            <w:vAlign w:val="center"/>
            <w:hideMark/>
          </w:tcPr>
          <w:p w14:paraId="24571AD5" w14:textId="77777777" w:rsidR="0055533F" w:rsidRPr="00493D72" w:rsidRDefault="0055533F" w:rsidP="00301553">
            <w:pPr>
              <w:pStyle w:val="Heading1"/>
              <w:spacing w:before="0"/>
              <w:rPr>
                <w:rFonts w:ascii="Times New Roman" w:eastAsia="Times New Roman" w:hAnsi="Times New Roman" w:cs="Times New Roman"/>
                <w:b w:val="0"/>
                <w:bCs w:val="0"/>
                <w:noProof/>
                <w:color w:val="000000"/>
                <w:sz w:val="24"/>
                <w:szCs w:val="24"/>
                <w:lang w:val="sq-AL" w:eastAsia="sq-AL"/>
              </w:rPr>
            </w:pPr>
            <w:bookmarkStart w:id="3" w:name="_Toc104283923"/>
            <w:r w:rsidRPr="00493D72">
              <w:rPr>
                <w:rFonts w:ascii="Times New Roman" w:eastAsia="Times New Roman" w:hAnsi="Times New Roman" w:cs="Times New Roman"/>
                <w:noProof/>
                <w:color w:val="000000"/>
                <w:sz w:val="24"/>
                <w:szCs w:val="24"/>
                <w:lang w:val="sq-AL" w:eastAsia="sq-AL"/>
              </w:rPr>
              <w:lastRenderedPageBreak/>
              <w:t>4</w:t>
            </w:r>
            <w:r w:rsidRPr="00493D72">
              <w:rPr>
                <w:rFonts w:ascii="Times New Roman" w:eastAsia="Times New Roman" w:hAnsi="Times New Roman" w:cs="Times New Roman"/>
                <w:b w:val="0"/>
                <w:bCs w:val="0"/>
                <w:noProof/>
                <w:color w:val="000000"/>
                <w:sz w:val="24"/>
                <w:szCs w:val="24"/>
                <w:lang w:val="sq-AL" w:eastAsia="sq-AL"/>
              </w:rPr>
              <w:t xml:space="preserve">. </w:t>
            </w:r>
            <w:r w:rsidRPr="00493D72">
              <w:rPr>
                <w:rFonts w:ascii="Times New Roman" w:eastAsia="Times New Roman" w:hAnsi="Times New Roman" w:cs="Times New Roman"/>
                <w:noProof/>
                <w:color w:val="000000" w:themeColor="text1"/>
                <w:sz w:val="24"/>
                <w:szCs w:val="24"/>
                <w:lang w:val="sq-AL" w:eastAsia="sq-AL"/>
              </w:rPr>
              <w:t>Unit of measure</w:t>
            </w:r>
            <w:bookmarkEnd w:id="3"/>
          </w:p>
        </w:tc>
        <w:tc>
          <w:tcPr>
            <w:tcW w:w="7872" w:type="dxa"/>
            <w:noWrap/>
          </w:tcPr>
          <w:p w14:paraId="3CAD132E" w14:textId="487B53C6" w:rsidR="0055533F" w:rsidRPr="00262D6E" w:rsidRDefault="00555F42" w:rsidP="00F56CBD">
            <w:pPr>
              <w:pStyle w:val="TableParagraph"/>
              <w:spacing w:before="240" w:after="240"/>
              <w:ind w:right="85"/>
              <w:jc w:val="both"/>
              <w:rPr>
                <w:sz w:val="24"/>
                <w:lang w:eastAsia="nl-NL"/>
              </w:rPr>
            </w:pPr>
            <w:r w:rsidRPr="00F56CBD">
              <w:rPr>
                <w:rFonts w:eastAsiaTheme="minorEastAsia"/>
                <w:lang w:eastAsia="nl-NL"/>
              </w:rPr>
              <w:t>BOP data are compiled in domestic currency (ALL).  All transactions, settled in foreign currency, are converted into million Albanian LEK (ALL) through use of the monthly average exchange rate and published in million Euro.</w:t>
            </w:r>
          </w:p>
        </w:tc>
      </w:tr>
      <w:tr w:rsidR="0055533F" w:rsidRPr="00493D72" w14:paraId="29C14302" w14:textId="77777777" w:rsidTr="00BB1DFF">
        <w:trPr>
          <w:gridAfter w:val="1"/>
          <w:wAfter w:w="851" w:type="dxa"/>
          <w:trHeight w:val="567"/>
        </w:trPr>
        <w:tc>
          <w:tcPr>
            <w:tcW w:w="2471" w:type="dxa"/>
            <w:shd w:val="clear" w:color="auto" w:fill="C5E0B3" w:themeFill="accent6" w:themeFillTint="66"/>
            <w:noWrap/>
            <w:vAlign w:val="center"/>
            <w:hideMark/>
          </w:tcPr>
          <w:p w14:paraId="74144A6E" w14:textId="77777777" w:rsidR="0055533F" w:rsidRPr="00493D72" w:rsidRDefault="0055533F" w:rsidP="00301553">
            <w:pPr>
              <w:pStyle w:val="Heading1"/>
              <w:spacing w:before="0"/>
              <w:rPr>
                <w:rFonts w:ascii="Times New Roman" w:eastAsia="Times New Roman" w:hAnsi="Times New Roman" w:cs="Times New Roman"/>
                <w:b w:val="0"/>
                <w:bCs w:val="0"/>
                <w:noProof/>
                <w:color w:val="000000"/>
                <w:sz w:val="24"/>
                <w:szCs w:val="24"/>
                <w:lang w:val="sq-AL" w:eastAsia="sq-AL"/>
              </w:rPr>
            </w:pPr>
            <w:bookmarkStart w:id="4" w:name="_Toc104283924"/>
            <w:r w:rsidRPr="00493D72">
              <w:rPr>
                <w:rFonts w:ascii="Times New Roman" w:eastAsia="Times New Roman" w:hAnsi="Times New Roman" w:cs="Times New Roman"/>
                <w:noProof/>
                <w:color w:val="000000" w:themeColor="text1"/>
                <w:sz w:val="24"/>
                <w:szCs w:val="24"/>
                <w:lang w:val="sq-AL" w:eastAsia="sq-AL"/>
              </w:rPr>
              <w:t>5. Reference period</w:t>
            </w:r>
            <w:bookmarkEnd w:id="4"/>
          </w:p>
        </w:tc>
        <w:tc>
          <w:tcPr>
            <w:tcW w:w="7872" w:type="dxa"/>
            <w:noWrap/>
          </w:tcPr>
          <w:p w14:paraId="49785E2A" w14:textId="2CF562EF" w:rsidR="0055533F" w:rsidRPr="00262D6E" w:rsidRDefault="00555F42" w:rsidP="00DE34D2">
            <w:pPr>
              <w:pStyle w:val="TableParagraph"/>
              <w:spacing w:before="240" w:after="240"/>
              <w:ind w:right="85"/>
              <w:jc w:val="both"/>
              <w:rPr>
                <w:sz w:val="24"/>
              </w:rPr>
            </w:pPr>
            <w:r w:rsidRPr="00344520">
              <w:rPr>
                <w:lang w:eastAsia="nl-NL"/>
              </w:rPr>
              <w:t xml:space="preserve">The reference period is </w:t>
            </w:r>
            <w:r w:rsidR="00B91205">
              <w:rPr>
                <w:lang w:eastAsia="nl-NL"/>
              </w:rPr>
              <w:t xml:space="preserve">monthly and </w:t>
            </w:r>
            <w:r w:rsidRPr="00344520">
              <w:rPr>
                <w:lang w:eastAsia="nl-NL"/>
              </w:rPr>
              <w:t>quarterly</w:t>
            </w:r>
          </w:p>
        </w:tc>
      </w:tr>
      <w:tr w:rsidR="0055533F" w:rsidRPr="00493D72" w14:paraId="51FC4C4F"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76345DB8" w14:textId="77777777" w:rsidR="0055533F" w:rsidRPr="00493D72" w:rsidRDefault="0055533F" w:rsidP="00301553">
            <w:pPr>
              <w:pStyle w:val="Heading1"/>
              <w:spacing w:before="0"/>
              <w:rPr>
                <w:rFonts w:ascii="Times New Roman" w:eastAsia="Times New Roman" w:hAnsi="Times New Roman" w:cs="Times New Roman"/>
                <w:noProof/>
                <w:color w:val="000000"/>
                <w:sz w:val="24"/>
                <w:szCs w:val="24"/>
                <w:lang w:val="sq-AL" w:eastAsia="sq-AL"/>
              </w:rPr>
            </w:pPr>
            <w:bookmarkStart w:id="5" w:name="_Toc104283925"/>
            <w:r w:rsidRPr="00493D72">
              <w:rPr>
                <w:rFonts w:ascii="Times New Roman" w:eastAsia="Times New Roman" w:hAnsi="Times New Roman" w:cs="Times New Roman"/>
                <w:noProof/>
                <w:color w:val="000000" w:themeColor="text1"/>
                <w:sz w:val="24"/>
                <w:szCs w:val="24"/>
                <w:lang w:val="sq-AL" w:eastAsia="sq-AL"/>
              </w:rPr>
              <w:t>6. Institutional mandate</w:t>
            </w:r>
            <w:bookmarkEnd w:id="5"/>
          </w:p>
        </w:tc>
      </w:tr>
      <w:tr w:rsidR="0055533F" w:rsidRPr="00493D72" w14:paraId="3F950725" w14:textId="77777777" w:rsidTr="00BB1DFF">
        <w:trPr>
          <w:gridAfter w:val="1"/>
          <w:wAfter w:w="851" w:type="dxa"/>
          <w:trHeight w:val="567"/>
        </w:trPr>
        <w:tc>
          <w:tcPr>
            <w:tcW w:w="2471" w:type="dxa"/>
            <w:shd w:val="clear" w:color="auto" w:fill="FFFFCC"/>
            <w:noWrap/>
            <w:vAlign w:val="center"/>
            <w:hideMark/>
          </w:tcPr>
          <w:p w14:paraId="57086543"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6.1. Legal acts and other agreements</w:t>
            </w:r>
          </w:p>
        </w:tc>
        <w:tc>
          <w:tcPr>
            <w:tcW w:w="7872" w:type="dxa"/>
          </w:tcPr>
          <w:p w14:paraId="04DF1BCF" w14:textId="77777777" w:rsidR="00555F42" w:rsidRPr="00344520" w:rsidRDefault="00555F42" w:rsidP="00555F42">
            <w:pPr>
              <w:spacing w:before="30" w:after="30"/>
              <w:jc w:val="both"/>
              <w:rPr>
                <w:rFonts w:ascii="Times New Roman" w:hAnsi="Times New Roman" w:cs="Times New Roman"/>
                <w:lang w:eastAsia="nl-NL"/>
              </w:rPr>
            </w:pPr>
            <w:r w:rsidRPr="00344520">
              <w:rPr>
                <w:rFonts w:ascii="Times New Roman" w:hAnsi="Times New Roman" w:cs="Times New Roman"/>
                <w:lang w:eastAsia="nl-NL"/>
              </w:rPr>
              <w:t>Balance of payments data are based on:</w:t>
            </w:r>
          </w:p>
          <w:p w14:paraId="7E3A8B31" w14:textId="3E2B5E78" w:rsidR="00555F42" w:rsidRPr="00344520" w:rsidRDefault="00555F42" w:rsidP="00555F42">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The ‘Law on Bank of Albania’, No. 8269, dated 23.12.1997 provides complementary legal mandate to the BOA to compile the balance of payments of Albania</w:t>
            </w:r>
          </w:p>
          <w:p w14:paraId="26FAE371" w14:textId="77777777" w:rsidR="00555F42" w:rsidRPr="00344520" w:rsidRDefault="00555F42" w:rsidP="00555F42">
            <w:pPr>
              <w:spacing w:before="30" w:after="30" w:line="240" w:lineRule="auto"/>
              <w:ind w:left="720"/>
              <w:contextualSpacing/>
              <w:jc w:val="both"/>
              <w:rPr>
                <w:rFonts w:ascii="Times New Roman" w:hAnsi="Times New Roman" w:cs="Times New Roman"/>
                <w:lang w:eastAsia="nl-NL"/>
              </w:rPr>
            </w:pPr>
            <w:hyperlink r:id="rId9" w:history="1">
              <w:r w:rsidRPr="00117EFE">
                <w:rPr>
                  <w:rStyle w:val="Hyperlink"/>
                  <w:rFonts w:ascii="Times New Roman" w:hAnsi="Times New Roman" w:cs="Times New Roman"/>
                  <w:lang w:eastAsia="nl-NL"/>
                </w:rPr>
                <w:t>https://www.bankofalbania.org/About_the_Bank/Legislation/Law_No_8269_dated_23_12_1997_On_Bank_of_Albania.html</w:t>
              </w:r>
            </w:hyperlink>
          </w:p>
          <w:p w14:paraId="01F43DA5" w14:textId="78BCE563" w:rsidR="00555F42" w:rsidRPr="00344520" w:rsidRDefault="00555F42" w:rsidP="00555F42">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 xml:space="preserve">National Statistical Law No.17 “On Official Statistics”, date 2018 </w:t>
            </w:r>
          </w:p>
          <w:p w14:paraId="73F6F816" w14:textId="77777777" w:rsidR="00B91205" w:rsidRDefault="00B91205" w:rsidP="00B91205">
            <w:pPr>
              <w:spacing w:before="30" w:after="30" w:line="240" w:lineRule="auto"/>
              <w:ind w:left="720"/>
              <w:contextualSpacing/>
              <w:jc w:val="both"/>
              <w:rPr>
                <w:rFonts w:ascii="Times New Roman" w:hAnsi="Times New Roman" w:cs="Times New Roman"/>
                <w:lang w:eastAsia="nl-NL"/>
              </w:rPr>
            </w:pPr>
            <w:hyperlink r:id="rId10" w:history="1">
              <w:r w:rsidRPr="00C80DAA">
                <w:rPr>
                  <w:rStyle w:val="Hyperlink"/>
                  <w:rFonts w:ascii="Times New Roman" w:hAnsi="Times New Roman" w:cs="Times New Roman"/>
                  <w:lang w:eastAsia="nl-NL"/>
                </w:rPr>
                <w:t>https://www.instat.gov.al/en/about-us/legislation/</w:t>
              </w:r>
            </w:hyperlink>
          </w:p>
          <w:p w14:paraId="64A1A22C" w14:textId="77777777" w:rsidR="00555F42" w:rsidRPr="00344520" w:rsidRDefault="00555F42" w:rsidP="00555F42">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Decision 2009-70, amended, of the Supervisory Council of the Bank of Albania on the Foreign Exchange Transactions that aims to set out the rules to carry out the transactions recorded in the capital and current account (as payments and transfers), from and into the Republic of Albania.</w:t>
            </w:r>
          </w:p>
          <w:p w14:paraId="27D74BFA" w14:textId="77777777" w:rsidR="00555F42" w:rsidRPr="00344520" w:rsidRDefault="00555F42" w:rsidP="00555F42">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Decision 2009-45, of the Supervisory Council of the Bank of Albania on the reports at the Bank of Albania accordingly to the Unified Reporting System</w:t>
            </w:r>
          </w:p>
          <w:p w14:paraId="098A6F12" w14:textId="77777777" w:rsidR="00555F42" w:rsidRPr="00344520" w:rsidRDefault="00555F42" w:rsidP="00555F42">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Decision 2017-19, of the of the Supervisory Council of the Bank of Albania on the “Code of Practice in the Bank of Albania”</w:t>
            </w:r>
          </w:p>
          <w:p w14:paraId="1ED3B053" w14:textId="376780D5" w:rsidR="00555F42" w:rsidRPr="00344520" w:rsidRDefault="00555F42" w:rsidP="00555F42">
            <w:pPr>
              <w:numPr>
                <w:ilvl w:val="0"/>
                <w:numId w:val="2"/>
              </w:numPr>
              <w:spacing w:before="30" w:after="30" w:line="240" w:lineRule="auto"/>
              <w:contextualSpacing/>
              <w:jc w:val="both"/>
              <w:rPr>
                <w:rFonts w:ascii="Times New Roman" w:hAnsi="Times New Roman" w:cs="Times New Roman"/>
                <w:lang w:val="nl-NL" w:eastAsia="nl-NL"/>
              </w:rPr>
            </w:pPr>
            <w:r w:rsidRPr="00344520">
              <w:rPr>
                <w:rFonts w:ascii="Times New Roman" w:hAnsi="Times New Roman" w:cs="Times New Roman"/>
                <w:lang w:val="nl-NL" w:eastAsia="nl-NL"/>
              </w:rPr>
              <w:t>Official Statistics National Programme 20</w:t>
            </w:r>
            <w:r w:rsidR="00B91205">
              <w:rPr>
                <w:rFonts w:ascii="Times New Roman" w:hAnsi="Times New Roman" w:cs="Times New Roman"/>
                <w:lang w:val="nl-NL" w:eastAsia="nl-NL"/>
              </w:rPr>
              <w:t>22</w:t>
            </w:r>
            <w:r w:rsidRPr="00344520">
              <w:rPr>
                <w:rFonts w:ascii="Times New Roman" w:hAnsi="Times New Roman" w:cs="Times New Roman"/>
                <w:lang w:val="nl-NL" w:eastAsia="nl-NL"/>
              </w:rPr>
              <w:t>-202</w:t>
            </w:r>
            <w:r w:rsidR="00B91205">
              <w:rPr>
                <w:rFonts w:ascii="Times New Roman" w:hAnsi="Times New Roman" w:cs="Times New Roman"/>
                <w:lang w:val="nl-NL" w:eastAsia="nl-NL"/>
              </w:rPr>
              <w:t>6</w:t>
            </w:r>
          </w:p>
          <w:p w14:paraId="104CB05A" w14:textId="1C75DECA" w:rsidR="00B91205" w:rsidRDefault="004C1092" w:rsidP="00B91205">
            <w:pPr>
              <w:spacing w:before="30" w:after="30" w:line="240" w:lineRule="auto"/>
              <w:ind w:left="720"/>
              <w:contextualSpacing/>
              <w:jc w:val="both"/>
              <w:rPr>
                <w:rFonts w:ascii="Times New Roman" w:hAnsi="Times New Roman" w:cs="Times New Roman"/>
                <w:lang w:eastAsia="nl-NL"/>
              </w:rPr>
            </w:pPr>
            <w:hyperlink r:id="rId11" w:history="1">
              <w:r w:rsidRPr="00C80DAA">
                <w:rPr>
                  <w:rStyle w:val="Hyperlink"/>
                  <w:rFonts w:ascii="Times New Roman" w:hAnsi="Times New Roman" w:cs="Times New Roman"/>
                  <w:lang w:eastAsia="nl-NL"/>
                </w:rPr>
                <w:t>https://www.instat.gov.al/en/about-us/legislation/</w:t>
              </w:r>
            </w:hyperlink>
          </w:p>
          <w:p w14:paraId="7FBCC9B2" w14:textId="77777777" w:rsidR="00555F42" w:rsidRPr="00344520" w:rsidRDefault="00555F42" w:rsidP="00555F42">
            <w:pPr>
              <w:numPr>
                <w:ilvl w:val="0"/>
                <w:numId w:val="2"/>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Methodology of International Monetary Fund, Balance of payments and international investment position (BPM6)</w:t>
            </w:r>
          </w:p>
          <w:p w14:paraId="0892A129" w14:textId="77777777" w:rsidR="00555F42" w:rsidRPr="00344520" w:rsidRDefault="00555F42" w:rsidP="00555F42">
            <w:pPr>
              <w:numPr>
                <w:ilvl w:val="0"/>
                <w:numId w:val="1"/>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Manual on Statistics of International Trade in Services (MSITS 2010)</w:t>
            </w:r>
          </w:p>
          <w:p w14:paraId="7C3D6028" w14:textId="78E02E9D" w:rsidR="00555F42" w:rsidRDefault="00555F42" w:rsidP="00555F42">
            <w:pPr>
              <w:numPr>
                <w:ilvl w:val="0"/>
                <w:numId w:val="1"/>
              </w:numPr>
              <w:spacing w:before="30" w:after="30" w:line="240" w:lineRule="auto"/>
              <w:contextualSpacing/>
              <w:jc w:val="both"/>
              <w:rPr>
                <w:rFonts w:ascii="Times New Roman" w:hAnsi="Times New Roman" w:cs="Times New Roman"/>
                <w:lang w:eastAsia="nl-NL"/>
              </w:rPr>
            </w:pPr>
            <w:r w:rsidRPr="00344520">
              <w:rPr>
                <w:rFonts w:ascii="Times New Roman" w:hAnsi="Times New Roman" w:cs="Times New Roman"/>
                <w:lang w:eastAsia="nl-NL"/>
              </w:rPr>
              <w:t>OECD Benchmark Definition of Foreign Direct Investment - 4th Edition (BD4)</w:t>
            </w:r>
            <w:r w:rsidR="004C1092">
              <w:rPr>
                <w:rFonts w:ascii="Times New Roman" w:hAnsi="Times New Roman" w:cs="Times New Roman"/>
                <w:lang w:eastAsia="nl-NL"/>
              </w:rPr>
              <w:t>.</w:t>
            </w:r>
          </w:p>
          <w:p w14:paraId="30FA9E58" w14:textId="77777777" w:rsidR="0055533F" w:rsidRPr="004C1092" w:rsidRDefault="00555F42" w:rsidP="004C1092">
            <w:pPr>
              <w:numPr>
                <w:ilvl w:val="0"/>
                <w:numId w:val="1"/>
              </w:numPr>
              <w:spacing w:before="30" w:after="30" w:line="240" w:lineRule="auto"/>
              <w:contextualSpacing/>
              <w:jc w:val="both"/>
              <w:rPr>
                <w:rFonts w:ascii="Times New Roman" w:hAnsi="Times New Roman" w:cs="Times New Roman"/>
                <w:lang w:eastAsia="nl-NL"/>
              </w:rPr>
            </w:pPr>
            <w:r w:rsidRPr="004C1092">
              <w:rPr>
                <w:rFonts w:ascii="Times New Roman" w:hAnsi="Times New Roman" w:cs="Times New Roman"/>
                <w:lang w:eastAsia="nl-NL"/>
              </w:rPr>
              <w:t>Memorandum of Understanding between INSTAT, Bank of Albania and Ministry of Finance</w:t>
            </w:r>
          </w:p>
          <w:p w14:paraId="5C61178A" w14:textId="77777777" w:rsidR="004C1092" w:rsidRDefault="004C1092" w:rsidP="004C1092">
            <w:pPr>
              <w:spacing w:before="30" w:after="30" w:line="240" w:lineRule="auto"/>
              <w:ind w:left="720"/>
              <w:contextualSpacing/>
              <w:jc w:val="both"/>
            </w:pPr>
            <w:hyperlink r:id="rId12" w:history="1">
              <w:r w:rsidRPr="00DD04AA">
                <w:rPr>
                  <w:rStyle w:val="Hyperlink"/>
                  <w:lang w:eastAsia="nl-NL"/>
                </w:rPr>
                <w:t>https://www.bankofalbania.org/Statistics/</w:t>
              </w:r>
            </w:hyperlink>
          </w:p>
          <w:p w14:paraId="7821B120" w14:textId="19996240" w:rsidR="004C1092" w:rsidRPr="004C1092" w:rsidRDefault="004C1092" w:rsidP="004C1092">
            <w:pPr>
              <w:spacing w:before="30" w:after="30" w:line="240" w:lineRule="auto"/>
              <w:ind w:left="720"/>
              <w:contextualSpacing/>
              <w:jc w:val="both"/>
              <w:rPr>
                <w:rFonts w:ascii="Times New Roman" w:hAnsi="Times New Roman" w:cs="Times New Roman"/>
                <w:lang w:eastAsia="nl-NL"/>
              </w:rPr>
            </w:pPr>
          </w:p>
        </w:tc>
      </w:tr>
      <w:tr w:rsidR="0055533F" w:rsidRPr="00493D72" w14:paraId="5A24D1C7" w14:textId="77777777" w:rsidTr="00BB1DFF">
        <w:trPr>
          <w:gridAfter w:val="1"/>
          <w:wAfter w:w="851" w:type="dxa"/>
          <w:trHeight w:val="567"/>
        </w:trPr>
        <w:tc>
          <w:tcPr>
            <w:tcW w:w="2471" w:type="dxa"/>
            <w:shd w:val="clear" w:color="auto" w:fill="FFFFCC"/>
            <w:noWrap/>
            <w:vAlign w:val="center"/>
            <w:hideMark/>
          </w:tcPr>
          <w:p w14:paraId="533FED48"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6.2. Data sharing</w:t>
            </w:r>
          </w:p>
        </w:tc>
        <w:tc>
          <w:tcPr>
            <w:tcW w:w="7872" w:type="dxa"/>
            <w:noWrap/>
          </w:tcPr>
          <w:p w14:paraId="567ED100" w14:textId="2B4A4382" w:rsidR="0055533F" w:rsidRPr="00AE5E8D" w:rsidRDefault="00555F42" w:rsidP="00DE34D2">
            <w:pPr>
              <w:pStyle w:val="TableParagraph"/>
              <w:spacing w:before="240" w:after="240"/>
              <w:ind w:right="85"/>
              <w:jc w:val="both"/>
              <w:rPr>
                <w:sz w:val="24"/>
                <w:lang w:eastAsia="nl-NL"/>
              </w:rPr>
            </w:pPr>
            <w:r w:rsidRPr="00344520">
              <w:rPr>
                <w:lang w:eastAsia="nl-NL"/>
              </w:rPr>
              <w:t xml:space="preserve">BOA transmits data at Eurostat with SDMX in accordance with the </w:t>
            </w:r>
            <w:proofErr w:type="spellStart"/>
            <w:r w:rsidRPr="00344520">
              <w:rPr>
                <w:lang w:eastAsia="nl-NL"/>
              </w:rPr>
              <w:t>Vademecum</w:t>
            </w:r>
            <w:proofErr w:type="spellEnd"/>
            <w:r w:rsidRPr="00344520">
              <w:rPr>
                <w:lang w:eastAsia="nl-NL"/>
              </w:rPr>
              <w:t xml:space="preserve"> (</w:t>
            </w:r>
            <w:r w:rsidRPr="00344520">
              <w:rPr>
                <w:lang w:val="en-GB" w:eastAsia="nl-NL"/>
              </w:rPr>
              <w:t xml:space="preserve">questionnaire </w:t>
            </w:r>
            <w:r w:rsidR="00904D43">
              <w:rPr>
                <w:lang w:val="en-GB" w:eastAsia="nl-NL"/>
              </w:rPr>
              <w:t xml:space="preserve">T.1 and </w:t>
            </w:r>
            <w:r w:rsidRPr="00344520">
              <w:rPr>
                <w:lang w:val="en-GB" w:eastAsia="nl-NL"/>
              </w:rPr>
              <w:t>T2.1).</w:t>
            </w:r>
          </w:p>
        </w:tc>
      </w:tr>
      <w:tr w:rsidR="0055533F" w:rsidRPr="00493D72" w14:paraId="3512CAB8"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5190A4E5" w14:textId="77777777" w:rsidR="0055533F" w:rsidRPr="00493D72" w:rsidRDefault="0055533F" w:rsidP="00301553">
            <w:pPr>
              <w:pStyle w:val="Heading1"/>
              <w:spacing w:before="0"/>
              <w:rPr>
                <w:rFonts w:ascii="Times New Roman" w:eastAsia="Times New Roman" w:hAnsi="Times New Roman" w:cs="Times New Roman"/>
                <w:b w:val="0"/>
                <w:bCs w:val="0"/>
                <w:noProof/>
                <w:color w:val="000000"/>
                <w:sz w:val="24"/>
                <w:szCs w:val="24"/>
                <w:lang w:val="sq-AL" w:eastAsia="sq-AL"/>
              </w:rPr>
            </w:pPr>
            <w:bookmarkStart w:id="6" w:name="_Toc104283926"/>
            <w:r w:rsidRPr="00493D72">
              <w:rPr>
                <w:rFonts w:ascii="Times New Roman" w:eastAsia="Times New Roman" w:hAnsi="Times New Roman" w:cs="Times New Roman"/>
                <w:noProof/>
                <w:color w:val="000000" w:themeColor="text1"/>
                <w:sz w:val="24"/>
                <w:szCs w:val="24"/>
                <w:lang w:val="sq-AL" w:eastAsia="sq-AL"/>
              </w:rPr>
              <w:t>7. Confidentiality</w:t>
            </w:r>
            <w:bookmarkEnd w:id="6"/>
          </w:p>
        </w:tc>
      </w:tr>
      <w:tr w:rsidR="00555F42" w:rsidRPr="00493D72" w14:paraId="5AE21663" w14:textId="77777777" w:rsidTr="00BB1DFF">
        <w:trPr>
          <w:gridAfter w:val="1"/>
          <w:wAfter w:w="851" w:type="dxa"/>
          <w:trHeight w:val="567"/>
        </w:trPr>
        <w:tc>
          <w:tcPr>
            <w:tcW w:w="2471" w:type="dxa"/>
            <w:shd w:val="clear" w:color="auto" w:fill="FFFFCC"/>
            <w:noWrap/>
            <w:vAlign w:val="center"/>
            <w:hideMark/>
          </w:tcPr>
          <w:p w14:paraId="2CF7D368"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7.1. Confidentiality - policy </w:t>
            </w:r>
          </w:p>
        </w:tc>
        <w:tc>
          <w:tcPr>
            <w:tcW w:w="7872" w:type="dxa"/>
          </w:tcPr>
          <w:p w14:paraId="34D3D4A0" w14:textId="6D968BB3" w:rsidR="00555F42" w:rsidRPr="00904D43" w:rsidRDefault="00555F42" w:rsidP="00DE34D2">
            <w:pPr>
              <w:pStyle w:val="ListParagraph"/>
              <w:numPr>
                <w:ilvl w:val="0"/>
                <w:numId w:val="8"/>
              </w:numPr>
              <w:spacing w:before="30" w:after="30"/>
              <w:jc w:val="both"/>
              <w:rPr>
                <w:rFonts w:ascii="Times New Roman" w:eastAsia="Times New Roman" w:hAnsi="Times New Roman" w:cs="Times New Roman"/>
                <w:sz w:val="22"/>
                <w:szCs w:val="22"/>
                <w:lang w:val="en-US" w:eastAsia="nl-NL"/>
              </w:rPr>
            </w:pPr>
            <w:r w:rsidRPr="00904D43">
              <w:rPr>
                <w:rFonts w:ascii="Times New Roman" w:eastAsia="Times New Roman" w:hAnsi="Times New Roman" w:cs="Times New Roman"/>
                <w:sz w:val="22"/>
                <w:szCs w:val="22"/>
                <w:lang w:val="en-US" w:eastAsia="nl-NL"/>
              </w:rPr>
              <w:t xml:space="preserve">As regards confidentiality, Article 58 (1) of the Bank of Albania Law provides for the rule of prohibition of administrators, employees, and agents from disclosing or transferring to a third party any information obtained during the performance of their BOA duties or using or allowing the use of such information for personal gain. </w:t>
            </w:r>
          </w:p>
          <w:p w14:paraId="3D90BE6A" w14:textId="77777777" w:rsidR="00555F42" w:rsidRPr="00904D43" w:rsidRDefault="00555F42" w:rsidP="00555F42">
            <w:pPr>
              <w:numPr>
                <w:ilvl w:val="0"/>
                <w:numId w:val="3"/>
              </w:numPr>
              <w:spacing w:before="30" w:after="30" w:line="240" w:lineRule="auto"/>
              <w:contextualSpacing/>
              <w:jc w:val="both"/>
              <w:rPr>
                <w:rFonts w:ascii="Times New Roman" w:eastAsia="Times New Roman" w:hAnsi="Times New Roman" w:cs="Times New Roman"/>
                <w:lang w:eastAsia="nl-NL"/>
              </w:rPr>
            </w:pPr>
            <w:r w:rsidRPr="00904D43">
              <w:rPr>
                <w:rFonts w:ascii="Times New Roman" w:eastAsia="Times New Roman" w:hAnsi="Times New Roman" w:cs="Times New Roman"/>
                <w:lang w:eastAsia="nl-NL"/>
              </w:rPr>
              <w:t xml:space="preserve">The Official Statistics Law guarantees confidentiality in article 31 in a total of nine paragraphs. The ‘Law on Official Statistics’ does not only apply to the Institute of Statistics of Albania, but to all Albanian Statistical Agencies being responsible for the production and dissemination of official statistics which are authorized by the Program (OSP). BOA is one of the statistical agencies mentioned. </w:t>
            </w:r>
          </w:p>
          <w:p w14:paraId="74E5BC80" w14:textId="77777777" w:rsidR="00555F42" w:rsidRPr="00904D43" w:rsidRDefault="00555F42" w:rsidP="00555F42">
            <w:pPr>
              <w:numPr>
                <w:ilvl w:val="0"/>
                <w:numId w:val="3"/>
              </w:numPr>
              <w:spacing w:before="30" w:after="30" w:line="240" w:lineRule="auto"/>
              <w:contextualSpacing/>
              <w:jc w:val="both"/>
              <w:rPr>
                <w:rFonts w:ascii="Times New Roman" w:eastAsia="Times New Roman" w:hAnsi="Times New Roman" w:cs="Times New Roman"/>
                <w:lang w:eastAsia="nl-NL"/>
              </w:rPr>
            </w:pPr>
            <w:r w:rsidRPr="00904D43">
              <w:rPr>
                <w:rFonts w:ascii="Times New Roman" w:eastAsia="Times New Roman" w:hAnsi="Times New Roman" w:cs="Times New Roman"/>
                <w:lang w:eastAsia="nl-NL"/>
              </w:rPr>
              <w:t>Decision 2012-42, of the Supervisory Council of the Bank of Albania on the Regulation for “Transparency and Confidentiality in the Bank of Albania”.</w:t>
            </w:r>
          </w:p>
          <w:p w14:paraId="2C7D6C18" w14:textId="77777777" w:rsidR="00555F42" w:rsidRPr="00904D43" w:rsidRDefault="00555F42" w:rsidP="00555F42">
            <w:pPr>
              <w:numPr>
                <w:ilvl w:val="0"/>
                <w:numId w:val="3"/>
              </w:numPr>
              <w:spacing w:before="30" w:after="30" w:line="240" w:lineRule="auto"/>
              <w:contextualSpacing/>
              <w:jc w:val="both"/>
              <w:rPr>
                <w:rFonts w:ascii="Times New Roman" w:eastAsia="Times New Roman" w:hAnsi="Times New Roman" w:cs="Times New Roman"/>
                <w:lang w:eastAsia="nl-NL"/>
              </w:rPr>
            </w:pPr>
            <w:r w:rsidRPr="00904D43">
              <w:rPr>
                <w:rFonts w:ascii="Times New Roman" w:eastAsia="Times New Roman" w:hAnsi="Times New Roman" w:cs="Times New Roman"/>
                <w:lang w:eastAsia="nl-NL"/>
              </w:rPr>
              <w:lastRenderedPageBreak/>
              <w:t>Decision 2017-19, of the Supervisory Council of the Bank of Albania on the “Code of Practice in the Bank of Albania”.</w:t>
            </w:r>
          </w:p>
          <w:p w14:paraId="3A75F919" w14:textId="66344EDD" w:rsidR="00555F42" w:rsidRPr="00AE5E8D" w:rsidRDefault="00555F42" w:rsidP="00433C55">
            <w:pPr>
              <w:numPr>
                <w:ilvl w:val="0"/>
                <w:numId w:val="3"/>
              </w:numPr>
              <w:spacing w:before="30" w:after="30" w:line="240" w:lineRule="auto"/>
              <w:contextualSpacing/>
              <w:jc w:val="both"/>
              <w:rPr>
                <w:sz w:val="24"/>
                <w:lang w:val="en-GB" w:eastAsia="nl-NL"/>
              </w:rPr>
            </w:pPr>
            <w:r w:rsidRPr="00904D43">
              <w:rPr>
                <w:rFonts w:ascii="Times New Roman" w:eastAsia="Times New Roman" w:hAnsi="Times New Roman" w:cs="Times New Roman"/>
                <w:lang w:eastAsia="nl-NL"/>
              </w:rPr>
              <w:t>The “Code of Ethics of the Bank of Albania” also contains provisions on confidentiality.</w:t>
            </w:r>
          </w:p>
        </w:tc>
      </w:tr>
      <w:tr w:rsidR="00555F42" w:rsidRPr="00493D72" w14:paraId="35AB4820" w14:textId="77777777" w:rsidTr="00BB1DFF">
        <w:trPr>
          <w:gridAfter w:val="1"/>
          <w:wAfter w:w="851" w:type="dxa"/>
          <w:trHeight w:val="567"/>
        </w:trPr>
        <w:tc>
          <w:tcPr>
            <w:tcW w:w="2471" w:type="dxa"/>
            <w:shd w:val="clear" w:color="auto" w:fill="FFFFCC"/>
            <w:noWrap/>
            <w:vAlign w:val="center"/>
            <w:hideMark/>
          </w:tcPr>
          <w:p w14:paraId="2E81B9CB"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7.2. Confidentiality - data treatment</w:t>
            </w:r>
          </w:p>
        </w:tc>
        <w:tc>
          <w:tcPr>
            <w:tcW w:w="7872" w:type="dxa"/>
          </w:tcPr>
          <w:p w14:paraId="41C174D1" w14:textId="2074D7F4" w:rsidR="00555F42" w:rsidRPr="00F56CBD" w:rsidRDefault="00433C55" w:rsidP="00DE34D2">
            <w:pPr>
              <w:pStyle w:val="TableParagraph"/>
              <w:spacing w:before="240" w:after="240"/>
              <w:ind w:right="85"/>
              <w:jc w:val="both"/>
              <w:rPr>
                <w:rFonts w:eastAsiaTheme="minorEastAsia"/>
                <w:lang w:eastAsia="nl-NL"/>
              </w:rPr>
            </w:pPr>
            <w:r w:rsidRPr="00F56CBD">
              <w:rPr>
                <w:rFonts w:eastAsiaTheme="minorEastAsia"/>
                <w:lang w:eastAsia="nl-NL"/>
              </w:rPr>
              <w:t>In accordance with the National Statistical Law No.17 “On Official Statistics”, 2018, is defined by the legislative procedure the treatment of data relating to the confidentiality.</w:t>
            </w:r>
          </w:p>
        </w:tc>
      </w:tr>
      <w:tr w:rsidR="00555F42" w:rsidRPr="00493D72" w14:paraId="5A67B0EA"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06FAB112" w14:textId="77777777" w:rsidR="00555F42" w:rsidRPr="00493D72" w:rsidRDefault="00555F42" w:rsidP="00555F42">
            <w:pPr>
              <w:pStyle w:val="Heading1"/>
              <w:spacing w:before="0"/>
              <w:rPr>
                <w:rFonts w:ascii="Times New Roman" w:eastAsia="Times New Roman" w:hAnsi="Times New Roman" w:cs="Times New Roman"/>
                <w:b w:val="0"/>
                <w:bCs w:val="0"/>
                <w:noProof/>
                <w:color w:val="000000"/>
                <w:sz w:val="24"/>
                <w:szCs w:val="24"/>
                <w:lang w:val="sq-AL" w:eastAsia="sq-AL"/>
              </w:rPr>
            </w:pPr>
            <w:bookmarkStart w:id="7" w:name="_Toc104283927"/>
            <w:r w:rsidRPr="00493D72">
              <w:rPr>
                <w:rFonts w:ascii="Times New Roman" w:eastAsia="Times New Roman" w:hAnsi="Times New Roman" w:cs="Times New Roman"/>
                <w:noProof/>
                <w:color w:val="000000" w:themeColor="text1"/>
                <w:sz w:val="24"/>
                <w:szCs w:val="24"/>
                <w:lang w:val="sq-AL" w:eastAsia="sq-AL"/>
              </w:rPr>
              <w:t>8. Release policy</w:t>
            </w:r>
            <w:bookmarkEnd w:id="7"/>
          </w:p>
        </w:tc>
      </w:tr>
      <w:tr w:rsidR="00555F42" w:rsidRPr="00493D72" w14:paraId="30EC82A2" w14:textId="77777777" w:rsidTr="00BB1DFF">
        <w:trPr>
          <w:trHeight w:val="567"/>
        </w:trPr>
        <w:tc>
          <w:tcPr>
            <w:tcW w:w="2471" w:type="dxa"/>
            <w:shd w:val="clear" w:color="auto" w:fill="FFFFCC"/>
            <w:noWrap/>
            <w:vAlign w:val="center"/>
            <w:hideMark/>
          </w:tcPr>
          <w:p w14:paraId="56FAF5BF"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8.1. Release calendar</w:t>
            </w:r>
          </w:p>
        </w:tc>
        <w:tc>
          <w:tcPr>
            <w:tcW w:w="7872" w:type="dxa"/>
          </w:tcPr>
          <w:p w14:paraId="74B27A13" w14:textId="30E501B5" w:rsidR="005330D3" w:rsidRPr="00F56CBD" w:rsidRDefault="00D77562" w:rsidP="007063E1">
            <w:pPr>
              <w:pStyle w:val="TableParagraph"/>
              <w:spacing w:before="240" w:after="240"/>
              <w:ind w:right="85"/>
              <w:jc w:val="both"/>
              <w:rPr>
                <w:rFonts w:eastAsiaTheme="minorEastAsia"/>
                <w:lang w:eastAsia="nl-NL"/>
              </w:rPr>
            </w:pPr>
            <w:r w:rsidRPr="00F56CBD">
              <w:rPr>
                <w:rFonts w:eastAsiaTheme="minorEastAsia"/>
                <w:lang w:eastAsia="nl-NL"/>
              </w:rPr>
              <w:t>First results of quarterly data balance of payment</w:t>
            </w:r>
            <w:r w:rsidR="007063E1">
              <w:rPr>
                <w:rFonts w:eastAsiaTheme="minorEastAsia"/>
                <w:lang w:eastAsia="nl-NL"/>
              </w:rPr>
              <w:t xml:space="preserve"> </w:t>
            </w:r>
            <w:r w:rsidRPr="00F56CBD">
              <w:rPr>
                <w:rFonts w:eastAsiaTheme="minorEastAsia"/>
                <w:lang w:eastAsia="nl-NL"/>
              </w:rPr>
              <w:t xml:space="preserve">are published at t+70 days for the first three calendar quarters and for the fourth quarter at t+85 days due to a longer delivery period </w:t>
            </w:r>
            <w:r w:rsidR="00DE34D2" w:rsidRPr="00F56CBD">
              <w:rPr>
                <w:rFonts w:eastAsiaTheme="minorEastAsia"/>
                <w:lang w:eastAsia="nl-NL"/>
              </w:rPr>
              <w:t>regarding</w:t>
            </w:r>
            <w:r w:rsidRPr="00F56CBD">
              <w:rPr>
                <w:rFonts w:eastAsiaTheme="minorEastAsia"/>
                <w:lang w:eastAsia="nl-NL"/>
              </w:rPr>
              <w:t xml:space="preserve"> non-ITRS sources. Data </w:t>
            </w:r>
            <w:proofErr w:type="gramStart"/>
            <w:r w:rsidRPr="00F56CBD">
              <w:rPr>
                <w:rFonts w:eastAsiaTheme="minorEastAsia"/>
                <w:lang w:eastAsia="nl-NL"/>
              </w:rPr>
              <w:t>are</w:t>
            </w:r>
            <w:proofErr w:type="gramEnd"/>
            <w:r w:rsidRPr="00F56CBD">
              <w:rPr>
                <w:rFonts w:eastAsiaTheme="minorEastAsia"/>
                <w:lang w:eastAsia="nl-NL"/>
              </w:rPr>
              <w:t xml:space="preserve"> released on the webpage of BOA according to release calendars.</w:t>
            </w:r>
          </w:p>
        </w:tc>
        <w:tc>
          <w:tcPr>
            <w:tcW w:w="851" w:type="dxa"/>
            <w:vAlign w:val="center"/>
          </w:tcPr>
          <w:p w14:paraId="7E0214FF" w14:textId="77777777" w:rsidR="00555F42" w:rsidRPr="00344520" w:rsidRDefault="00555F42" w:rsidP="00555F42">
            <w:pPr>
              <w:rPr>
                <w:rFonts w:ascii="Times New Roman" w:eastAsia="Times New Roman" w:hAnsi="Times New Roman" w:cs="Times New Roman"/>
                <w:sz w:val="20"/>
                <w:szCs w:val="20"/>
                <w:lang w:eastAsia="nl-NL"/>
              </w:rPr>
            </w:pPr>
          </w:p>
        </w:tc>
      </w:tr>
      <w:tr w:rsidR="00555F42" w:rsidRPr="00493D72" w14:paraId="233F98EE" w14:textId="77777777" w:rsidTr="00BB1DFF">
        <w:trPr>
          <w:gridAfter w:val="1"/>
          <w:wAfter w:w="851" w:type="dxa"/>
          <w:trHeight w:val="567"/>
        </w:trPr>
        <w:tc>
          <w:tcPr>
            <w:tcW w:w="2471" w:type="dxa"/>
            <w:shd w:val="clear" w:color="auto" w:fill="FFFFCC"/>
            <w:noWrap/>
            <w:vAlign w:val="center"/>
            <w:hideMark/>
          </w:tcPr>
          <w:p w14:paraId="7C5C4E66"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8.2. Release calendar access</w:t>
            </w:r>
          </w:p>
        </w:tc>
        <w:tc>
          <w:tcPr>
            <w:tcW w:w="7872" w:type="dxa"/>
          </w:tcPr>
          <w:p w14:paraId="403BD1D3" w14:textId="77777777" w:rsidR="00D77562" w:rsidRPr="00344520" w:rsidRDefault="00D77562" w:rsidP="00D77562">
            <w:pPr>
              <w:spacing w:before="30" w:after="30"/>
              <w:jc w:val="both"/>
              <w:rPr>
                <w:rFonts w:ascii="Times New Roman" w:hAnsi="Times New Roman" w:cs="Times New Roman"/>
                <w:color w:val="0563C1" w:themeColor="hyperlink"/>
                <w:u w:val="single"/>
                <w:lang w:eastAsia="nl-NL"/>
              </w:rPr>
            </w:pPr>
            <w:r w:rsidRPr="00344520">
              <w:rPr>
                <w:rFonts w:ascii="Times New Roman" w:hAnsi="Times New Roman" w:cs="Times New Roman"/>
                <w:lang w:eastAsia="nl-NL"/>
              </w:rPr>
              <w:t>Access to the release calendar is granted through the following link:</w:t>
            </w:r>
          </w:p>
          <w:p w14:paraId="7C389F2E" w14:textId="3CC830AD" w:rsidR="00555F42" w:rsidRPr="0030757F" w:rsidRDefault="00C55509" w:rsidP="00C55509">
            <w:pPr>
              <w:spacing w:after="240" w:line="240" w:lineRule="auto"/>
              <w:ind w:right="85"/>
              <w:jc w:val="both"/>
              <w:rPr>
                <w:rFonts w:ascii="Times New Roman" w:hAnsi="Times New Roman" w:cs="Times New Roman"/>
                <w:sz w:val="24"/>
                <w:szCs w:val="24"/>
                <w:lang w:eastAsia="nl-NL"/>
              </w:rPr>
            </w:pPr>
            <w:hyperlink r:id="rId13" w:history="1">
              <w:r w:rsidRPr="00AF7F30">
                <w:rPr>
                  <w:rStyle w:val="Hyperlink"/>
                  <w:rFonts w:ascii="Times New Roman" w:hAnsi="Times New Roman" w:cs="Times New Roman"/>
                  <w:lang w:eastAsia="nl-NL"/>
                </w:rPr>
                <w:t>https://www.bankofalbania.org/Statistics/Statistical_release_calendar/</w:t>
              </w:r>
            </w:hyperlink>
          </w:p>
        </w:tc>
      </w:tr>
      <w:tr w:rsidR="00555F42" w:rsidRPr="00493D72" w14:paraId="7A201481" w14:textId="77777777" w:rsidTr="00BB1DFF">
        <w:trPr>
          <w:gridAfter w:val="1"/>
          <w:wAfter w:w="851" w:type="dxa"/>
          <w:trHeight w:val="567"/>
        </w:trPr>
        <w:tc>
          <w:tcPr>
            <w:tcW w:w="2471" w:type="dxa"/>
            <w:shd w:val="clear" w:color="auto" w:fill="FFFFCC"/>
            <w:noWrap/>
            <w:vAlign w:val="center"/>
            <w:hideMark/>
          </w:tcPr>
          <w:p w14:paraId="59DAA79E"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8.3. User access</w:t>
            </w:r>
          </w:p>
        </w:tc>
        <w:tc>
          <w:tcPr>
            <w:tcW w:w="7872" w:type="dxa"/>
          </w:tcPr>
          <w:p w14:paraId="06AEFAD4" w14:textId="1DB18E8B" w:rsidR="00D77562" w:rsidRPr="00344520" w:rsidRDefault="00D77562" w:rsidP="00F56CBD">
            <w:pPr>
              <w:spacing w:before="30" w:after="30" w:line="240" w:lineRule="auto"/>
              <w:jc w:val="both"/>
              <w:rPr>
                <w:rFonts w:ascii="Times New Roman" w:hAnsi="Times New Roman" w:cs="Times New Roman"/>
                <w:lang w:eastAsia="nl-NL"/>
              </w:rPr>
            </w:pPr>
            <w:r w:rsidRPr="00344520">
              <w:rPr>
                <w:rFonts w:ascii="Times New Roman" w:hAnsi="Times New Roman" w:cs="Times New Roman"/>
                <w:lang w:eastAsia="nl-NL"/>
              </w:rPr>
              <w:t>In line with the article 34 of Law No. 17 “On Official Statistics”, dated in 2018,</w:t>
            </w:r>
            <w:r>
              <w:rPr>
                <w:rFonts w:ascii="Times New Roman" w:hAnsi="Times New Roman" w:cs="Times New Roman"/>
                <w:lang w:eastAsia="nl-NL"/>
              </w:rPr>
              <w:t xml:space="preserve"> </w:t>
            </w:r>
            <w:r w:rsidRPr="00344520">
              <w:rPr>
                <w:rFonts w:ascii="Times New Roman" w:hAnsi="Times New Roman" w:cs="Times New Roman"/>
                <w:lang w:eastAsia="nl-NL"/>
              </w:rPr>
              <w:t xml:space="preserve">the BOA disseminates statistics on BOA webpage respecting professional independence and, in an objective, professional and transparent manner particularly by protecting statistical confidentiality as well as by ensuring equal access for all users as requested by the principle of impartiality.   </w:t>
            </w:r>
          </w:p>
          <w:p w14:paraId="01D93969" w14:textId="77777777" w:rsidR="00D77562" w:rsidRPr="00344520" w:rsidRDefault="00D77562" w:rsidP="00F56CBD">
            <w:pPr>
              <w:spacing w:before="30" w:after="30" w:line="240" w:lineRule="auto"/>
              <w:jc w:val="both"/>
              <w:rPr>
                <w:rFonts w:ascii="Times New Roman" w:hAnsi="Times New Roman" w:cs="Times New Roman"/>
                <w:lang w:eastAsia="nl-NL"/>
              </w:rPr>
            </w:pPr>
            <w:r w:rsidRPr="00344520">
              <w:rPr>
                <w:rFonts w:ascii="Times New Roman" w:hAnsi="Times New Roman" w:cs="Times New Roman"/>
                <w:lang w:eastAsia="nl-NL"/>
              </w:rPr>
              <w:t>The following dissemination channels are used to release the data of balance of payments:</w:t>
            </w:r>
          </w:p>
          <w:p w14:paraId="057C32EF" w14:textId="77777777" w:rsidR="00D77562" w:rsidRPr="00344520" w:rsidRDefault="00D77562" w:rsidP="00F56CBD">
            <w:pPr>
              <w:spacing w:before="30" w:after="30" w:line="240" w:lineRule="auto"/>
              <w:jc w:val="both"/>
              <w:rPr>
                <w:rFonts w:ascii="Times New Roman" w:hAnsi="Times New Roman" w:cs="Times New Roman"/>
                <w:lang w:eastAsia="nl-NL"/>
              </w:rPr>
            </w:pPr>
            <w:r w:rsidRPr="00344520">
              <w:rPr>
                <w:rFonts w:ascii="Times New Roman" w:hAnsi="Times New Roman" w:cs="Times New Roman"/>
                <w:lang w:eastAsia="nl-NL"/>
              </w:rPr>
              <w:t>Webpage-online release (data and data analysis in which recent BOP developments on basis of data are described)</w:t>
            </w:r>
          </w:p>
          <w:p w14:paraId="08BAC0BD" w14:textId="77777777" w:rsidR="00D77562" w:rsidRPr="00F56CBD" w:rsidRDefault="00D77562" w:rsidP="00F56CBD">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Written requests</w:t>
            </w:r>
          </w:p>
          <w:p w14:paraId="345D4B57" w14:textId="5C22E179" w:rsidR="00555F42" w:rsidRPr="00344520" w:rsidRDefault="00D77562" w:rsidP="00F56CBD">
            <w:pPr>
              <w:spacing w:before="30" w:after="30" w:line="240" w:lineRule="auto"/>
              <w:jc w:val="both"/>
              <w:rPr>
                <w:lang w:eastAsia="nl-NL"/>
              </w:rPr>
            </w:pPr>
            <w:r w:rsidRPr="00344520">
              <w:rPr>
                <w:rFonts w:ascii="Times New Roman" w:hAnsi="Times New Roman" w:cs="Times New Roman"/>
                <w:lang w:eastAsia="nl-NL"/>
              </w:rPr>
              <w:t xml:space="preserve">Monthly statistical report of which BOP data - both annual and </w:t>
            </w:r>
            <w:r w:rsidRPr="00F56CBD">
              <w:rPr>
                <w:rFonts w:ascii="Times New Roman" w:hAnsi="Times New Roman" w:cs="Times New Roman"/>
                <w:lang w:eastAsia="nl-NL"/>
              </w:rPr>
              <w:t>quarterly -</w:t>
            </w:r>
            <w:r w:rsidRPr="00344520">
              <w:rPr>
                <w:rFonts w:ascii="Times New Roman" w:hAnsi="Times New Roman" w:cs="Times New Roman"/>
                <w:lang w:eastAsia="nl-NL"/>
              </w:rPr>
              <w:t xml:space="preserve"> are a part.</w:t>
            </w:r>
          </w:p>
        </w:tc>
      </w:tr>
      <w:tr w:rsidR="00555F42" w:rsidRPr="00493D72" w14:paraId="2A3AB21D" w14:textId="77777777" w:rsidTr="00BB1DFF">
        <w:trPr>
          <w:gridAfter w:val="1"/>
          <w:wAfter w:w="851" w:type="dxa"/>
          <w:trHeight w:val="567"/>
        </w:trPr>
        <w:tc>
          <w:tcPr>
            <w:tcW w:w="2471" w:type="dxa"/>
            <w:shd w:val="clear" w:color="auto" w:fill="C5E0B3" w:themeFill="accent6" w:themeFillTint="66"/>
            <w:noWrap/>
            <w:vAlign w:val="center"/>
            <w:hideMark/>
          </w:tcPr>
          <w:p w14:paraId="3BBF9924" w14:textId="77777777" w:rsidR="00555F42" w:rsidRPr="00493D72" w:rsidRDefault="00555F42" w:rsidP="00555F42">
            <w:pPr>
              <w:pStyle w:val="Heading1"/>
              <w:spacing w:before="0"/>
              <w:rPr>
                <w:rFonts w:ascii="Times New Roman" w:eastAsia="Times New Roman" w:hAnsi="Times New Roman" w:cs="Times New Roman"/>
                <w:b w:val="0"/>
                <w:bCs w:val="0"/>
                <w:noProof/>
                <w:color w:val="000000"/>
                <w:sz w:val="24"/>
                <w:szCs w:val="24"/>
                <w:lang w:val="sq-AL" w:eastAsia="sq-AL"/>
              </w:rPr>
            </w:pPr>
            <w:bookmarkStart w:id="8" w:name="_Toc104283928"/>
            <w:r w:rsidRPr="00493D72">
              <w:rPr>
                <w:rFonts w:ascii="Times New Roman" w:eastAsia="Times New Roman" w:hAnsi="Times New Roman" w:cs="Times New Roman"/>
                <w:noProof/>
                <w:color w:val="000000" w:themeColor="text1"/>
                <w:sz w:val="24"/>
                <w:szCs w:val="24"/>
                <w:lang w:val="sq-AL" w:eastAsia="sq-AL"/>
              </w:rPr>
              <w:t>9. Frequency of dissemination</w:t>
            </w:r>
            <w:bookmarkEnd w:id="8"/>
          </w:p>
        </w:tc>
        <w:tc>
          <w:tcPr>
            <w:tcW w:w="7872" w:type="dxa"/>
            <w:noWrap/>
          </w:tcPr>
          <w:p w14:paraId="4062D2B8" w14:textId="11942756" w:rsidR="00555F42" w:rsidRDefault="00D77562" w:rsidP="00D77562">
            <w:pPr>
              <w:spacing w:before="30" w:after="30" w:line="240" w:lineRule="auto"/>
              <w:contextualSpacing/>
              <w:jc w:val="both"/>
              <w:rPr>
                <w:sz w:val="24"/>
              </w:rPr>
            </w:pPr>
            <w:r w:rsidRPr="00D77562">
              <w:rPr>
                <w:rFonts w:ascii="Times New Roman" w:hAnsi="Times New Roman" w:cs="Times New Roman"/>
                <w:lang w:val="nl-NL" w:eastAsia="nl-NL"/>
              </w:rPr>
              <w:t>The dissemination of BOP data is done on a quarterly basis</w:t>
            </w:r>
            <w:r w:rsidR="00FF27AD">
              <w:rPr>
                <w:rFonts w:ascii="Times New Roman" w:hAnsi="Times New Roman" w:cs="Times New Roman"/>
                <w:lang w:val="nl-NL" w:eastAsia="nl-NL"/>
              </w:rPr>
              <w:t>.</w:t>
            </w:r>
          </w:p>
        </w:tc>
      </w:tr>
      <w:tr w:rsidR="00555F42" w:rsidRPr="00493D72" w14:paraId="4796F3F2"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28CFD123" w14:textId="77777777" w:rsidR="00555F42" w:rsidRPr="00493D72" w:rsidRDefault="00555F42" w:rsidP="00555F42">
            <w:pPr>
              <w:pStyle w:val="Heading1"/>
              <w:spacing w:before="0"/>
              <w:rPr>
                <w:rFonts w:ascii="Times New Roman" w:eastAsia="Times New Roman" w:hAnsi="Times New Roman" w:cs="Times New Roman"/>
                <w:b w:val="0"/>
                <w:bCs w:val="0"/>
                <w:noProof/>
                <w:sz w:val="24"/>
                <w:szCs w:val="24"/>
                <w:lang w:val="sq-AL" w:eastAsia="sq-AL"/>
              </w:rPr>
            </w:pPr>
            <w:bookmarkStart w:id="9" w:name="_Toc104283929"/>
            <w:r w:rsidRPr="00493D72">
              <w:rPr>
                <w:rFonts w:ascii="Times New Roman" w:eastAsia="Times New Roman" w:hAnsi="Times New Roman" w:cs="Times New Roman"/>
                <w:noProof/>
                <w:color w:val="000000" w:themeColor="text1"/>
                <w:sz w:val="24"/>
                <w:szCs w:val="24"/>
                <w:lang w:val="sq-AL" w:eastAsia="sq-AL"/>
              </w:rPr>
              <w:t>10. Accessibility and clarity</w:t>
            </w:r>
            <w:bookmarkEnd w:id="9"/>
          </w:p>
        </w:tc>
      </w:tr>
      <w:tr w:rsidR="00555F42" w:rsidRPr="00493D72" w14:paraId="6D73A7B9" w14:textId="77777777" w:rsidTr="00BB1DFF">
        <w:trPr>
          <w:gridAfter w:val="1"/>
          <w:wAfter w:w="851" w:type="dxa"/>
          <w:trHeight w:val="567"/>
        </w:trPr>
        <w:tc>
          <w:tcPr>
            <w:tcW w:w="2471" w:type="dxa"/>
            <w:shd w:val="clear" w:color="auto" w:fill="FFFFCC"/>
            <w:noWrap/>
            <w:vAlign w:val="center"/>
            <w:hideMark/>
          </w:tcPr>
          <w:p w14:paraId="051968A7"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10.1. New</w:t>
            </w:r>
            <w:r>
              <w:rPr>
                <w:rFonts w:ascii="Times New Roman" w:eastAsia="Times New Roman" w:hAnsi="Times New Roman" w:cs="Times New Roman"/>
                <w:noProof/>
                <w:color w:val="000000"/>
                <w:sz w:val="24"/>
                <w:szCs w:val="24"/>
                <w:lang w:val="sq-AL" w:eastAsia="sq-AL"/>
              </w:rPr>
              <w:t>s</w:t>
            </w:r>
            <w:r w:rsidRPr="00493D72">
              <w:rPr>
                <w:rFonts w:ascii="Times New Roman" w:eastAsia="Times New Roman" w:hAnsi="Times New Roman" w:cs="Times New Roman"/>
                <w:noProof/>
                <w:color w:val="000000"/>
                <w:sz w:val="24"/>
                <w:szCs w:val="24"/>
                <w:lang w:val="sq-AL" w:eastAsia="sq-AL"/>
              </w:rPr>
              <w:t xml:space="preserve"> release</w:t>
            </w:r>
          </w:p>
        </w:tc>
        <w:tc>
          <w:tcPr>
            <w:tcW w:w="7872" w:type="dxa"/>
          </w:tcPr>
          <w:p w14:paraId="3AD08B10" w14:textId="56D0F42A" w:rsidR="00555F42" w:rsidRPr="0030757F" w:rsidRDefault="00D77562" w:rsidP="00DE34D2">
            <w:pPr>
              <w:pStyle w:val="TableParagraph"/>
              <w:spacing w:before="240" w:after="240"/>
              <w:ind w:right="85"/>
              <w:jc w:val="both"/>
              <w:rPr>
                <w:sz w:val="24"/>
                <w:lang w:eastAsia="nl-NL"/>
              </w:rPr>
            </w:pPr>
            <w:r w:rsidRPr="00344520">
              <w:rPr>
                <w:lang w:eastAsia="nl-NL"/>
              </w:rPr>
              <w:t>Not applicable</w:t>
            </w:r>
          </w:p>
        </w:tc>
      </w:tr>
      <w:tr w:rsidR="00555F42" w:rsidRPr="00493D72" w14:paraId="6CCF8ED0" w14:textId="77777777" w:rsidTr="00BB1DFF">
        <w:trPr>
          <w:gridAfter w:val="1"/>
          <w:wAfter w:w="851" w:type="dxa"/>
          <w:trHeight w:val="567"/>
        </w:trPr>
        <w:tc>
          <w:tcPr>
            <w:tcW w:w="2471" w:type="dxa"/>
            <w:shd w:val="clear" w:color="auto" w:fill="FFFFCC"/>
            <w:noWrap/>
            <w:vAlign w:val="center"/>
            <w:hideMark/>
          </w:tcPr>
          <w:p w14:paraId="08F645EB"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10.2. Publications</w:t>
            </w:r>
          </w:p>
        </w:tc>
        <w:tc>
          <w:tcPr>
            <w:tcW w:w="7872" w:type="dxa"/>
          </w:tcPr>
          <w:p w14:paraId="6AE4F673" w14:textId="09C3BFC4" w:rsidR="00555F42" w:rsidRPr="0030757F" w:rsidRDefault="00D77562" w:rsidP="00F56CBD">
            <w:pPr>
              <w:spacing w:before="30" w:after="30" w:line="240" w:lineRule="auto"/>
              <w:jc w:val="both"/>
              <w:rPr>
                <w:sz w:val="24"/>
                <w:lang w:eastAsia="nl-NL"/>
              </w:rPr>
            </w:pPr>
            <w:r w:rsidRPr="00344520">
              <w:rPr>
                <w:rFonts w:ascii="Times New Roman" w:hAnsi="Times New Roman" w:cs="Times New Roman"/>
                <w:lang w:eastAsia="nl-NL"/>
              </w:rPr>
              <w:t xml:space="preserve">The publication format of statistics on BOA’s webpage is conditioned by the structure of the informatics publication applications. Data </w:t>
            </w:r>
            <w:proofErr w:type="gramStart"/>
            <w:r w:rsidRPr="00344520">
              <w:rPr>
                <w:rFonts w:ascii="Times New Roman" w:hAnsi="Times New Roman" w:cs="Times New Roman"/>
                <w:lang w:eastAsia="nl-NL"/>
              </w:rPr>
              <w:t>are</w:t>
            </w:r>
            <w:proofErr w:type="gramEnd"/>
            <w:r w:rsidRPr="00344520">
              <w:rPr>
                <w:rFonts w:ascii="Times New Roman" w:hAnsi="Times New Roman" w:cs="Times New Roman"/>
                <w:lang w:eastAsia="nl-NL"/>
              </w:rPr>
              <w:t xml:space="preserve"> uploaded and can be accessed through a dynamic two-dimensional database where the external user can select the periodicity, the </w:t>
            </w:r>
            <w:r w:rsidRPr="00F56CBD">
              <w:rPr>
                <w:rFonts w:ascii="Times New Roman" w:hAnsi="Times New Roman" w:cs="Times New Roman"/>
                <w:lang w:eastAsia="nl-NL"/>
              </w:rPr>
              <w:t>time</w:t>
            </w:r>
            <w:r w:rsidRPr="00344520">
              <w:rPr>
                <w:rFonts w:ascii="Times New Roman" w:hAnsi="Times New Roman" w:cs="Times New Roman"/>
                <w:lang w:eastAsia="nl-NL"/>
              </w:rPr>
              <w:t xml:space="preserve"> and the BOP components from a standard statistical table. </w:t>
            </w:r>
            <w:r w:rsidRPr="00F56CBD">
              <w:rPr>
                <w:rFonts w:ascii="Times New Roman" w:hAnsi="Times New Roman" w:cs="Times New Roman"/>
                <w:lang w:eastAsia="nl-NL"/>
              </w:rPr>
              <w:t>Online</w:t>
            </w:r>
            <w:r w:rsidR="00FF27AD" w:rsidRPr="00F56CBD">
              <w:rPr>
                <w:rFonts w:ascii="Times New Roman" w:hAnsi="Times New Roman" w:cs="Times New Roman"/>
                <w:lang w:eastAsia="nl-NL"/>
              </w:rPr>
              <w:t xml:space="preserve"> </w:t>
            </w:r>
            <w:r w:rsidRPr="00344520">
              <w:rPr>
                <w:rFonts w:ascii="Times New Roman" w:hAnsi="Times New Roman" w:cs="Times New Roman"/>
                <w:lang w:eastAsia="nl-NL"/>
              </w:rPr>
              <w:t>database is at html format and can easily copied in excel, and csv format.</w:t>
            </w:r>
          </w:p>
        </w:tc>
      </w:tr>
      <w:tr w:rsidR="00555F42" w:rsidRPr="00493D72" w14:paraId="458D5B04" w14:textId="77777777" w:rsidTr="00BB1DFF">
        <w:trPr>
          <w:gridAfter w:val="1"/>
          <w:wAfter w:w="851" w:type="dxa"/>
          <w:trHeight w:val="567"/>
        </w:trPr>
        <w:tc>
          <w:tcPr>
            <w:tcW w:w="2471" w:type="dxa"/>
            <w:shd w:val="clear" w:color="auto" w:fill="FFFFCC"/>
            <w:noWrap/>
            <w:vAlign w:val="center"/>
            <w:hideMark/>
          </w:tcPr>
          <w:p w14:paraId="71A6B746"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10.3. On-line database</w:t>
            </w:r>
          </w:p>
        </w:tc>
        <w:tc>
          <w:tcPr>
            <w:tcW w:w="7872" w:type="dxa"/>
          </w:tcPr>
          <w:p w14:paraId="1B6743CE" w14:textId="77777777" w:rsidR="00D77562" w:rsidRPr="00344520" w:rsidRDefault="00D77562" w:rsidP="00D77562">
            <w:pPr>
              <w:spacing w:before="30" w:after="30"/>
              <w:rPr>
                <w:rFonts w:ascii="Times New Roman" w:hAnsi="Times New Roman" w:cs="Times New Roman"/>
                <w:lang w:eastAsia="nl-NL"/>
              </w:rPr>
            </w:pPr>
            <w:r w:rsidRPr="00344520">
              <w:rPr>
                <w:rFonts w:ascii="Times New Roman" w:hAnsi="Times New Roman" w:cs="Times New Roman"/>
                <w:lang w:eastAsia="nl-NL"/>
              </w:rPr>
              <w:t>The database link:</w:t>
            </w:r>
          </w:p>
          <w:p w14:paraId="23D1E00F" w14:textId="3FF36AFF" w:rsidR="00555F42" w:rsidRPr="00BD48E4" w:rsidRDefault="00D77562" w:rsidP="00D77562">
            <w:pPr>
              <w:spacing w:before="30" w:after="30"/>
              <w:rPr>
                <w:rFonts w:ascii="Times New Roman" w:hAnsi="Times New Roman" w:cs="Times New Roman"/>
              </w:rPr>
            </w:pPr>
            <w:hyperlink r:id="rId14" w:history="1">
              <w:r w:rsidRPr="00117EFE">
                <w:rPr>
                  <w:rStyle w:val="Hyperlink"/>
                  <w:rFonts w:ascii="Times New Roman" w:hAnsi="Times New Roman" w:cs="Times New Roman"/>
                  <w:lang w:eastAsia="nl-NL"/>
                </w:rPr>
                <w:t>https://www.bankofalbania.org/Statistics/External_sector_statistics/Balance_of_Payments/Main_data_for_Balance_of_Payments.html</w:t>
              </w:r>
            </w:hyperlink>
          </w:p>
        </w:tc>
      </w:tr>
      <w:tr w:rsidR="00555F42" w:rsidRPr="00493D72" w14:paraId="7441D820" w14:textId="77777777" w:rsidTr="00BB1DFF">
        <w:trPr>
          <w:gridAfter w:val="1"/>
          <w:wAfter w:w="851" w:type="dxa"/>
          <w:trHeight w:val="567"/>
        </w:trPr>
        <w:tc>
          <w:tcPr>
            <w:tcW w:w="2471" w:type="dxa"/>
            <w:shd w:val="clear" w:color="auto" w:fill="FFFFCC"/>
            <w:noWrap/>
            <w:vAlign w:val="center"/>
            <w:hideMark/>
          </w:tcPr>
          <w:p w14:paraId="5AE991CD"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 xml:space="preserve">10.4. Micro – data access </w:t>
            </w:r>
          </w:p>
        </w:tc>
        <w:tc>
          <w:tcPr>
            <w:tcW w:w="7872" w:type="dxa"/>
            <w:noWrap/>
          </w:tcPr>
          <w:p w14:paraId="4D8B4E26" w14:textId="12666441" w:rsidR="00555F42" w:rsidRPr="00381B2A" w:rsidRDefault="00D77562" w:rsidP="00F56CBD">
            <w:pPr>
              <w:pStyle w:val="TableParagraph"/>
              <w:spacing w:before="240" w:after="240"/>
              <w:ind w:right="85"/>
              <w:jc w:val="both"/>
              <w:rPr>
                <w:sz w:val="24"/>
                <w:szCs w:val="24"/>
                <w:lang w:val="en-GB"/>
              </w:rPr>
            </w:pPr>
            <w:r w:rsidRPr="00344520">
              <w:rPr>
                <w:lang w:eastAsia="nl-NL"/>
              </w:rPr>
              <w:t>Not applicable</w:t>
            </w:r>
          </w:p>
        </w:tc>
      </w:tr>
      <w:tr w:rsidR="00555F42" w:rsidRPr="00493D72" w14:paraId="27E5A1F2" w14:textId="77777777" w:rsidTr="00BB1DFF">
        <w:trPr>
          <w:gridAfter w:val="1"/>
          <w:wAfter w:w="851" w:type="dxa"/>
          <w:trHeight w:val="567"/>
        </w:trPr>
        <w:tc>
          <w:tcPr>
            <w:tcW w:w="2471" w:type="dxa"/>
            <w:shd w:val="clear" w:color="auto" w:fill="FFFFCC"/>
            <w:noWrap/>
            <w:vAlign w:val="center"/>
            <w:hideMark/>
          </w:tcPr>
          <w:p w14:paraId="1D0D390A"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10.5. Other</w:t>
            </w:r>
          </w:p>
        </w:tc>
        <w:tc>
          <w:tcPr>
            <w:tcW w:w="7872" w:type="dxa"/>
            <w:noWrap/>
          </w:tcPr>
          <w:p w14:paraId="1F520063" w14:textId="6CA6EB5E" w:rsidR="00555F42" w:rsidRPr="00344520" w:rsidRDefault="00D77562" w:rsidP="00FF27AD">
            <w:pPr>
              <w:spacing w:before="240" w:after="240" w:line="240" w:lineRule="auto"/>
              <w:ind w:right="85"/>
              <w:rPr>
                <w:rFonts w:ascii="Times New Roman" w:hAnsi="Times New Roman" w:cs="Times New Roman"/>
                <w:lang w:eastAsia="nl-NL"/>
              </w:rPr>
            </w:pPr>
            <w:r w:rsidRPr="00344520">
              <w:rPr>
                <w:rFonts w:ascii="Times New Roman" w:hAnsi="Times New Roman" w:cs="Times New Roman"/>
                <w:lang w:eastAsia="nl-NL"/>
              </w:rPr>
              <w:t xml:space="preserve">Users can submit specific request for statistics data through the e-mail address:  </w:t>
            </w:r>
            <w:r w:rsidRPr="00344520">
              <w:rPr>
                <w:rFonts w:ascii="Times New Roman" w:hAnsi="Times New Roman" w:cs="Times New Roman"/>
                <w:color w:val="4472C4" w:themeColor="accent1"/>
                <w:lang w:eastAsia="nl-NL"/>
              </w:rPr>
              <w:t xml:space="preserve">statistics@bankofalbania.org </w:t>
            </w:r>
            <w:r w:rsidRPr="00344520">
              <w:rPr>
                <w:rFonts w:ascii="Times New Roman" w:hAnsi="Times New Roman" w:cs="Times New Roman"/>
                <w:lang w:eastAsia="nl-NL"/>
              </w:rPr>
              <w:t>(contacts in BOA webpage)</w:t>
            </w:r>
          </w:p>
        </w:tc>
      </w:tr>
      <w:tr w:rsidR="00555F42" w:rsidRPr="00493D72" w14:paraId="3BA6A51D" w14:textId="77777777" w:rsidTr="00BB1DFF">
        <w:trPr>
          <w:gridAfter w:val="1"/>
          <w:wAfter w:w="851" w:type="dxa"/>
          <w:trHeight w:val="567"/>
        </w:trPr>
        <w:tc>
          <w:tcPr>
            <w:tcW w:w="2471" w:type="dxa"/>
            <w:shd w:val="clear" w:color="auto" w:fill="FFFFCC"/>
            <w:noWrap/>
            <w:vAlign w:val="center"/>
            <w:hideMark/>
          </w:tcPr>
          <w:p w14:paraId="2F827B6F"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10.6. Documentation on methodology</w:t>
            </w:r>
          </w:p>
        </w:tc>
        <w:tc>
          <w:tcPr>
            <w:tcW w:w="7872" w:type="dxa"/>
          </w:tcPr>
          <w:p w14:paraId="63BFDB4F" w14:textId="77777777" w:rsidR="001178D7" w:rsidRDefault="001178D7" w:rsidP="001178D7">
            <w:pPr>
              <w:spacing w:before="30" w:after="30"/>
              <w:jc w:val="both"/>
              <w:rPr>
                <w:rFonts w:ascii="Times New Roman" w:hAnsi="Times New Roman" w:cs="Times New Roman"/>
                <w:lang w:eastAsia="nl-NL"/>
              </w:rPr>
            </w:pPr>
            <w:r>
              <w:rPr>
                <w:rFonts w:ascii="Times New Roman" w:hAnsi="Times New Roman" w:cs="Times New Roman"/>
                <w:lang w:eastAsia="nl-NL"/>
              </w:rPr>
              <w:t>I</w:t>
            </w:r>
            <w:r w:rsidRPr="00344520">
              <w:rPr>
                <w:rFonts w:ascii="Times New Roman" w:hAnsi="Times New Roman" w:cs="Times New Roman"/>
                <w:lang w:eastAsia="nl-NL"/>
              </w:rPr>
              <w:t>nformation could be found on the BOA’s webpage (Albanian version):</w:t>
            </w:r>
          </w:p>
          <w:p w14:paraId="3BC625D8" w14:textId="2A9CFDC3" w:rsidR="00555F42" w:rsidRPr="0023235F" w:rsidRDefault="001178D7" w:rsidP="001178D7">
            <w:pPr>
              <w:spacing w:before="30" w:after="30"/>
              <w:jc w:val="both"/>
              <w:rPr>
                <w:sz w:val="24"/>
                <w:highlight w:val="yellow"/>
                <w:lang w:eastAsia="nl-NL"/>
              </w:rPr>
            </w:pPr>
            <w:hyperlink r:id="rId15" w:history="1">
              <w:r w:rsidRPr="00117EFE">
                <w:rPr>
                  <w:rStyle w:val="Hyperlink"/>
                  <w:rFonts w:ascii="Times New Roman" w:hAnsi="Times New Roman" w:cs="Times New Roman"/>
                  <w:lang w:eastAsia="nl-NL"/>
                </w:rPr>
                <w:t>https://www.bankofalbania.org/Statistikat/Statistikat_e_Sektorit_te_Jashtem/Bilanci_i_Pagesave/</w:t>
              </w:r>
            </w:hyperlink>
          </w:p>
        </w:tc>
      </w:tr>
      <w:tr w:rsidR="00555F42" w:rsidRPr="00493D72" w14:paraId="3C1FB6CB" w14:textId="77777777" w:rsidTr="00BB1DFF">
        <w:trPr>
          <w:gridAfter w:val="1"/>
          <w:wAfter w:w="851" w:type="dxa"/>
          <w:trHeight w:val="567"/>
        </w:trPr>
        <w:tc>
          <w:tcPr>
            <w:tcW w:w="2471" w:type="dxa"/>
            <w:shd w:val="clear" w:color="auto" w:fill="FFFFCC"/>
            <w:noWrap/>
            <w:vAlign w:val="center"/>
            <w:hideMark/>
          </w:tcPr>
          <w:p w14:paraId="0319149E"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10.7. Quality documentation</w:t>
            </w:r>
          </w:p>
        </w:tc>
        <w:tc>
          <w:tcPr>
            <w:tcW w:w="7872" w:type="dxa"/>
            <w:noWrap/>
          </w:tcPr>
          <w:p w14:paraId="7438A505" w14:textId="135251F0" w:rsidR="00555F42" w:rsidRPr="00784AFE" w:rsidRDefault="00784AFE" w:rsidP="00784AFE">
            <w:pPr>
              <w:pStyle w:val="TableParagraph"/>
              <w:spacing w:before="240" w:after="240"/>
              <w:ind w:right="85"/>
              <w:jc w:val="both"/>
              <w:rPr>
                <w:sz w:val="24"/>
                <w:lang w:eastAsia="nl-NL"/>
              </w:rPr>
            </w:pPr>
            <w:r w:rsidRPr="007063E1">
              <w:rPr>
                <w:lang w:eastAsia="nl-NL"/>
              </w:rPr>
              <w:t>Sector documents all processes and procedures used to compile the balance of payments only for internal users</w:t>
            </w:r>
            <w:r w:rsidRPr="00784AFE">
              <w:rPr>
                <w:sz w:val="24"/>
                <w:lang w:eastAsia="nl-NL"/>
              </w:rPr>
              <w:t>.</w:t>
            </w:r>
          </w:p>
        </w:tc>
      </w:tr>
      <w:tr w:rsidR="00555F42" w:rsidRPr="00493D72" w14:paraId="4AC56C8C"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27B44B9C" w14:textId="77777777" w:rsidR="00555F42" w:rsidRPr="00493D72" w:rsidRDefault="00555F42" w:rsidP="00555F42">
            <w:pPr>
              <w:pStyle w:val="Heading1"/>
              <w:spacing w:before="0"/>
              <w:rPr>
                <w:rFonts w:ascii="Times New Roman" w:eastAsia="Times New Roman" w:hAnsi="Times New Roman" w:cs="Times New Roman"/>
                <w:b w:val="0"/>
                <w:bCs w:val="0"/>
                <w:noProof/>
                <w:color w:val="000000"/>
                <w:sz w:val="24"/>
                <w:szCs w:val="24"/>
                <w:lang w:val="sq-AL" w:eastAsia="sq-AL"/>
              </w:rPr>
            </w:pPr>
            <w:bookmarkStart w:id="10" w:name="_Toc104283930"/>
            <w:r w:rsidRPr="00493D72">
              <w:rPr>
                <w:rFonts w:ascii="Times New Roman" w:eastAsia="Times New Roman" w:hAnsi="Times New Roman" w:cs="Times New Roman"/>
                <w:noProof/>
                <w:color w:val="000000" w:themeColor="text1"/>
                <w:sz w:val="24"/>
                <w:szCs w:val="24"/>
                <w:lang w:val="sq-AL" w:eastAsia="sq-AL"/>
              </w:rPr>
              <w:t>11. Quality managment</w:t>
            </w:r>
            <w:bookmarkEnd w:id="10"/>
          </w:p>
        </w:tc>
      </w:tr>
      <w:tr w:rsidR="00555F42" w:rsidRPr="00493D72" w14:paraId="235DC015" w14:textId="77777777" w:rsidTr="00BB1DFF">
        <w:trPr>
          <w:gridAfter w:val="1"/>
          <w:wAfter w:w="851" w:type="dxa"/>
          <w:trHeight w:val="567"/>
        </w:trPr>
        <w:tc>
          <w:tcPr>
            <w:tcW w:w="2471" w:type="dxa"/>
            <w:shd w:val="clear" w:color="auto" w:fill="FFFFCC"/>
            <w:noWrap/>
            <w:vAlign w:val="center"/>
            <w:hideMark/>
          </w:tcPr>
          <w:p w14:paraId="12E21EA3"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11.1. Quality assurance </w:t>
            </w:r>
          </w:p>
        </w:tc>
        <w:tc>
          <w:tcPr>
            <w:tcW w:w="7872" w:type="dxa"/>
          </w:tcPr>
          <w:p w14:paraId="1917E67A" w14:textId="77777777" w:rsidR="00D77562" w:rsidRPr="00F56CBD" w:rsidRDefault="00D77562" w:rsidP="00D77562">
            <w:pPr>
              <w:spacing w:before="30" w:after="30" w:line="240" w:lineRule="auto"/>
              <w:jc w:val="both"/>
              <w:rPr>
                <w:rFonts w:ascii="Times New Roman" w:hAnsi="Times New Roman" w:cs="Times New Roman"/>
                <w:lang w:eastAsia="nl-NL"/>
              </w:rPr>
            </w:pPr>
            <w:r w:rsidRPr="00D31D2E">
              <w:rPr>
                <w:rFonts w:ascii="Times New Roman" w:eastAsia="Times New Roman" w:hAnsi="Times New Roman" w:cs="Times New Roman"/>
                <w:lang w:val="en-GB" w:eastAsia="en-GB"/>
              </w:rPr>
              <w:t>The data quality is of primary importance for the B</w:t>
            </w:r>
            <w:r>
              <w:rPr>
                <w:rFonts w:ascii="Times New Roman" w:eastAsia="Times New Roman" w:hAnsi="Times New Roman" w:cs="Times New Roman"/>
                <w:lang w:val="en-GB" w:eastAsia="en-GB"/>
              </w:rPr>
              <w:t xml:space="preserve">ank </w:t>
            </w:r>
            <w:r w:rsidRPr="00D31D2E">
              <w:rPr>
                <w:rFonts w:ascii="Times New Roman" w:eastAsia="Times New Roman" w:hAnsi="Times New Roman" w:cs="Times New Roman"/>
                <w:lang w:val="en-GB" w:eastAsia="en-GB"/>
              </w:rPr>
              <w:t>o</w:t>
            </w:r>
            <w:r>
              <w:rPr>
                <w:rFonts w:ascii="Times New Roman" w:eastAsia="Times New Roman" w:hAnsi="Times New Roman" w:cs="Times New Roman"/>
                <w:lang w:val="en-GB" w:eastAsia="en-GB"/>
              </w:rPr>
              <w:t xml:space="preserve">f </w:t>
            </w:r>
            <w:r w:rsidRPr="00D31D2E">
              <w:rPr>
                <w:rFonts w:ascii="Times New Roman" w:eastAsia="Times New Roman" w:hAnsi="Times New Roman" w:cs="Times New Roman"/>
                <w:lang w:val="en-GB" w:eastAsia="en-GB"/>
              </w:rPr>
              <w:t>A</w:t>
            </w:r>
            <w:r>
              <w:rPr>
                <w:rFonts w:ascii="Times New Roman" w:eastAsia="Times New Roman" w:hAnsi="Times New Roman" w:cs="Times New Roman"/>
                <w:lang w:val="en-GB" w:eastAsia="en-GB"/>
              </w:rPr>
              <w:t>lbania</w:t>
            </w:r>
            <w:r w:rsidRPr="00D31D2E">
              <w:rPr>
                <w:rFonts w:ascii="Times New Roman" w:eastAsia="Times New Roman" w:hAnsi="Times New Roman" w:cs="Times New Roman"/>
                <w:lang w:val="en-GB" w:eastAsia="en-GB"/>
              </w:rPr>
              <w:t xml:space="preserve">. The Statistics department aims at ensuring conformity with international methodological standards </w:t>
            </w:r>
            <w:r w:rsidRPr="00F56CBD">
              <w:rPr>
                <w:rFonts w:ascii="Times New Roman" w:hAnsi="Times New Roman" w:cs="Times New Roman"/>
                <w:lang w:eastAsia="nl-NL"/>
              </w:rPr>
              <w:t>such as ESA 2010, the statistical legal framework of EUROSTAT as well as the IMF methodological requirements (BPM6 manual).</w:t>
            </w:r>
          </w:p>
          <w:p w14:paraId="07BE1CA6" w14:textId="44F191AA" w:rsidR="00555F42" w:rsidRPr="0023235F" w:rsidRDefault="00D77562" w:rsidP="00F56CBD">
            <w:pPr>
              <w:spacing w:before="30" w:after="30" w:line="240" w:lineRule="auto"/>
              <w:jc w:val="both"/>
              <w:rPr>
                <w:rFonts w:ascii="Times New Roman" w:eastAsia="Times New Roman" w:hAnsi="Times New Roman" w:cs="Times New Roman"/>
                <w:sz w:val="24"/>
                <w:szCs w:val="24"/>
                <w:lang w:val="en-GB" w:eastAsia="en-GB"/>
              </w:rPr>
            </w:pPr>
            <w:r w:rsidRPr="00F56CBD">
              <w:rPr>
                <w:rFonts w:ascii="Times New Roman" w:hAnsi="Times New Roman" w:cs="Times New Roman"/>
                <w:lang w:eastAsia="nl-NL"/>
              </w:rPr>
              <w:t>Internal tasks regarding the collection, processing and dissemination of statistics are organized in such a way to ensure that quality is closely monitored.</w:t>
            </w:r>
          </w:p>
        </w:tc>
      </w:tr>
      <w:tr w:rsidR="00555F42" w:rsidRPr="00493D72" w14:paraId="43DF7B51" w14:textId="77777777" w:rsidTr="00BB1DFF">
        <w:trPr>
          <w:gridAfter w:val="1"/>
          <w:wAfter w:w="851" w:type="dxa"/>
          <w:trHeight w:val="567"/>
        </w:trPr>
        <w:tc>
          <w:tcPr>
            <w:tcW w:w="2471" w:type="dxa"/>
            <w:shd w:val="clear" w:color="auto" w:fill="FFFFCC"/>
            <w:noWrap/>
            <w:vAlign w:val="center"/>
            <w:hideMark/>
          </w:tcPr>
          <w:p w14:paraId="5E9EACCF"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11.2. Quality assessments</w:t>
            </w:r>
          </w:p>
        </w:tc>
        <w:tc>
          <w:tcPr>
            <w:tcW w:w="7872" w:type="dxa"/>
          </w:tcPr>
          <w:p w14:paraId="08587079" w14:textId="7AD4E3E5" w:rsidR="00555F42" w:rsidRPr="0023235F" w:rsidRDefault="00D77562" w:rsidP="00F56CBD">
            <w:pPr>
              <w:spacing w:before="30" w:after="30" w:line="240" w:lineRule="auto"/>
              <w:jc w:val="both"/>
              <w:rPr>
                <w:rFonts w:ascii="Times New Roman" w:eastAsia="Times New Roman" w:hAnsi="Times New Roman" w:cs="Times New Roman"/>
                <w:sz w:val="24"/>
                <w:szCs w:val="24"/>
                <w:lang w:val="en-GB" w:eastAsia="en-GB"/>
              </w:rPr>
            </w:pPr>
            <w:r w:rsidRPr="00F56CBD">
              <w:rPr>
                <w:rFonts w:ascii="Times New Roman" w:hAnsi="Times New Roman" w:cs="Times New Roman"/>
                <w:lang w:eastAsia="nl-NL"/>
              </w:rPr>
              <w:t>The Bank of Albania management attaches importance to its work on statistics, is sensitive to data quality issues, and takes initiatives to improve data flows between the Bank of Albania and other agencies. Data are collected from reliable sources applying high standards regarding methodology and ensuring high comparability. The Statistics Department has internal processes to identify and resolve issues at various stages of the collection, compilation, and dissemination of statistics.</w:t>
            </w:r>
          </w:p>
        </w:tc>
      </w:tr>
      <w:tr w:rsidR="00555F42" w:rsidRPr="00493D72" w14:paraId="37866CCA"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6F8AB674" w14:textId="77777777" w:rsidR="00555F42" w:rsidRPr="0023235F" w:rsidRDefault="00555F42" w:rsidP="00555F42">
            <w:pPr>
              <w:pStyle w:val="Heading1"/>
              <w:spacing w:before="240" w:after="240"/>
              <w:ind w:left="102" w:right="85"/>
              <w:rPr>
                <w:rFonts w:ascii="Times New Roman" w:eastAsia="Times New Roman" w:hAnsi="Times New Roman" w:cs="Times New Roman"/>
                <w:b w:val="0"/>
                <w:bCs w:val="0"/>
                <w:noProof/>
                <w:color w:val="000000"/>
                <w:sz w:val="24"/>
                <w:szCs w:val="24"/>
                <w:lang w:val="sq-AL" w:eastAsia="sq-AL"/>
              </w:rPr>
            </w:pPr>
            <w:bookmarkStart w:id="11" w:name="_Toc104283931"/>
            <w:r w:rsidRPr="0023235F">
              <w:rPr>
                <w:rFonts w:ascii="Times New Roman" w:eastAsia="Times New Roman" w:hAnsi="Times New Roman" w:cs="Times New Roman"/>
                <w:noProof/>
                <w:color w:val="000000" w:themeColor="text1"/>
                <w:sz w:val="24"/>
                <w:szCs w:val="24"/>
                <w:lang w:val="sq-AL" w:eastAsia="sq-AL"/>
              </w:rPr>
              <w:t>12. Relevance</w:t>
            </w:r>
            <w:bookmarkEnd w:id="11"/>
          </w:p>
        </w:tc>
      </w:tr>
      <w:tr w:rsidR="00555F42" w:rsidRPr="00493D72" w14:paraId="68598C2D" w14:textId="77777777" w:rsidTr="00BB1DFF">
        <w:trPr>
          <w:gridAfter w:val="1"/>
          <w:wAfter w:w="851" w:type="dxa"/>
          <w:trHeight w:val="567"/>
        </w:trPr>
        <w:tc>
          <w:tcPr>
            <w:tcW w:w="2471" w:type="dxa"/>
            <w:shd w:val="clear" w:color="auto" w:fill="FFFFCC"/>
            <w:noWrap/>
            <w:vAlign w:val="center"/>
            <w:hideMark/>
          </w:tcPr>
          <w:p w14:paraId="3B08438C"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12.1. User needs</w:t>
            </w:r>
          </w:p>
        </w:tc>
        <w:tc>
          <w:tcPr>
            <w:tcW w:w="7872" w:type="dxa"/>
          </w:tcPr>
          <w:p w14:paraId="4714143F" w14:textId="1B3CA8DB" w:rsidR="00555F42" w:rsidRPr="0023235F" w:rsidRDefault="00D77562" w:rsidP="00F56CBD">
            <w:pPr>
              <w:spacing w:before="30" w:after="30" w:line="240" w:lineRule="auto"/>
              <w:jc w:val="both"/>
              <w:rPr>
                <w:rFonts w:ascii="Times New Roman" w:eastAsia="Times New Roman" w:hAnsi="Times New Roman" w:cs="Times New Roman"/>
                <w:sz w:val="24"/>
                <w:szCs w:val="24"/>
                <w:lang w:val="en-GB" w:eastAsia="en-GB"/>
              </w:rPr>
            </w:pPr>
            <w:r w:rsidRPr="00F56CBD">
              <w:rPr>
                <w:rFonts w:ascii="Times New Roman" w:hAnsi="Times New Roman" w:cs="Times New Roman"/>
                <w:lang w:eastAsia="nl-NL"/>
              </w:rPr>
              <w:t>With some exceptions the dataset for user needs is complete. Frequency and moment of the statistical releases coincide with the frequency and moment of publication of the economic analyses and reports produced by other departments in Bank of Albania and national accounts department in Institute of Statistics.</w:t>
            </w:r>
          </w:p>
        </w:tc>
      </w:tr>
      <w:tr w:rsidR="00555F42" w:rsidRPr="00493D72" w14:paraId="4299AE57" w14:textId="77777777" w:rsidTr="00BB1DFF">
        <w:trPr>
          <w:gridAfter w:val="1"/>
          <w:wAfter w:w="851" w:type="dxa"/>
          <w:trHeight w:val="567"/>
        </w:trPr>
        <w:tc>
          <w:tcPr>
            <w:tcW w:w="2471" w:type="dxa"/>
            <w:shd w:val="clear" w:color="auto" w:fill="FFFFCC"/>
            <w:noWrap/>
            <w:vAlign w:val="center"/>
            <w:hideMark/>
          </w:tcPr>
          <w:p w14:paraId="4E638BA4"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12.2. User satisfaction</w:t>
            </w:r>
          </w:p>
        </w:tc>
        <w:tc>
          <w:tcPr>
            <w:tcW w:w="7872" w:type="dxa"/>
            <w:noWrap/>
          </w:tcPr>
          <w:p w14:paraId="5BF0DEA1" w14:textId="346057E0" w:rsidR="00555F42" w:rsidRPr="0023235F" w:rsidRDefault="00D77562" w:rsidP="00DE34D2">
            <w:pPr>
              <w:spacing w:before="240" w:after="240" w:line="240" w:lineRule="auto"/>
              <w:ind w:right="85"/>
              <w:rPr>
                <w:rFonts w:ascii="Times New Roman" w:eastAsia="Times New Roman" w:hAnsi="Times New Roman" w:cs="Times New Roman"/>
                <w:sz w:val="24"/>
                <w:szCs w:val="24"/>
                <w:lang w:val="en-GB" w:eastAsia="en-GB"/>
              </w:rPr>
            </w:pPr>
            <w:r w:rsidRPr="00394120">
              <w:rPr>
                <w:rFonts w:ascii="Times New Roman" w:eastAsia="Times New Roman" w:hAnsi="Times New Roman" w:cs="Times New Roman"/>
                <w:lang w:val="en-GB" w:eastAsia="en-GB"/>
              </w:rPr>
              <w:t>Not available</w:t>
            </w:r>
          </w:p>
        </w:tc>
      </w:tr>
      <w:tr w:rsidR="00D77562" w:rsidRPr="00493D72" w14:paraId="26699329" w14:textId="77777777" w:rsidTr="00A472B8">
        <w:trPr>
          <w:gridAfter w:val="1"/>
          <w:wAfter w:w="851" w:type="dxa"/>
          <w:trHeight w:val="567"/>
        </w:trPr>
        <w:tc>
          <w:tcPr>
            <w:tcW w:w="2471" w:type="dxa"/>
            <w:shd w:val="clear" w:color="auto" w:fill="FFFFCC"/>
            <w:noWrap/>
            <w:vAlign w:val="center"/>
            <w:hideMark/>
          </w:tcPr>
          <w:p w14:paraId="1CC21002"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12.3. Completeness</w:t>
            </w:r>
          </w:p>
        </w:tc>
        <w:tc>
          <w:tcPr>
            <w:tcW w:w="7872" w:type="dxa"/>
            <w:noWrap/>
          </w:tcPr>
          <w:p w14:paraId="444C8C15" w14:textId="4B09BD51" w:rsidR="00D77562" w:rsidRPr="00BC128B" w:rsidRDefault="00D77562" w:rsidP="00D77562">
            <w:pPr>
              <w:spacing w:before="30" w:after="30" w:line="240" w:lineRule="auto"/>
              <w:jc w:val="both"/>
              <w:rPr>
                <w:rFonts w:ascii="Times New Roman" w:eastAsia="Times New Roman" w:hAnsi="Times New Roman" w:cs="Times New Roman"/>
                <w:lang w:val="en-GB" w:eastAsia="en-GB"/>
              </w:rPr>
            </w:pPr>
            <w:r w:rsidRPr="00BC128B">
              <w:rPr>
                <w:rFonts w:ascii="Times New Roman" w:eastAsia="Times New Roman" w:hAnsi="Times New Roman" w:cs="Times New Roman"/>
                <w:lang w:val="en-GB" w:eastAsia="en-GB"/>
              </w:rPr>
              <w:t xml:space="preserve">Publication and delivery of data, the value of the completeness indicator amounts to not more than </w:t>
            </w:r>
            <w:r>
              <w:rPr>
                <w:rFonts w:ascii="Times New Roman" w:eastAsia="Times New Roman" w:hAnsi="Times New Roman" w:cs="Times New Roman"/>
                <w:lang w:val="en-GB" w:eastAsia="en-GB"/>
              </w:rPr>
              <w:t>11.8</w:t>
            </w:r>
            <w:r w:rsidRPr="00BC128B">
              <w:rPr>
                <w:rFonts w:ascii="Times New Roman" w:eastAsia="Times New Roman" w:hAnsi="Times New Roman" w:cs="Times New Roman"/>
                <w:lang w:val="en-GB" w:eastAsia="en-GB"/>
              </w:rPr>
              <w:t>% of required cells to be provided to Eurostat due to lack of geographical breakdown of data.</w:t>
            </w:r>
            <w:r w:rsidRPr="00BC128B">
              <w:t xml:space="preserve"> </w:t>
            </w:r>
            <w:r w:rsidRPr="00BC128B">
              <w:rPr>
                <w:rFonts w:ascii="Times New Roman" w:eastAsia="Times New Roman" w:hAnsi="Times New Roman" w:cs="Times New Roman"/>
                <w:lang w:val="en-GB" w:eastAsia="en-GB"/>
              </w:rPr>
              <w:t>This low percentage value is the result from the fact that the required country breakdown is completely missing. Implementation of the new software applications on the compilation of production and dissemination process of external sector statistics will provide data on the monthly and geographical breakdown of BOP and IIP, during 202</w:t>
            </w:r>
            <w:r w:rsidR="00C9326F">
              <w:rPr>
                <w:rFonts w:ascii="Times New Roman" w:eastAsia="Times New Roman" w:hAnsi="Times New Roman" w:cs="Times New Roman"/>
                <w:lang w:val="en-GB" w:eastAsia="en-GB"/>
              </w:rPr>
              <w:t>7</w:t>
            </w:r>
            <w:r w:rsidRPr="00BC128B">
              <w:rPr>
                <w:rFonts w:ascii="Times New Roman" w:eastAsia="Times New Roman" w:hAnsi="Times New Roman" w:cs="Times New Roman"/>
                <w:lang w:val="en-GB" w:eastAsia="en-GB"/>
              </w:rPr>
              <w:t>.</w:t>
            </w:r>
          </w:p>
          <w:p w14:paraId="47A6E7C2" w14:textId="0FB84F1A" w:rsidR="00D77562" w:rsidRPr="00BC128B" w:rsidRDefault="00D77562" w:rsidP="00D77562">
            <w:pPr>
              <w:spacing w:before="30" w:after="30" w:line="240" w:lineRule="auto"/>
              <w:jc w:val="both"/>
              <w:rPr>
                <w:rFonts w:ascii="Times New Roman" w:eastAsia="Times New Roman" w:hAnsi="Times New Roman" w:cs="Times New Roman"/>
                <w:lang w:val="en-GB" w:eastAsia="en-GB"/>
              </w:rPr>
            </w:pPr>
            <w:r w:rsidRPr="00BC128B">
              <w:rPr>
                <w:rFonts w:ascii="Times New Roman" w:eastAsia="Times New Roman" w:hAnsi="Times New Roman" w:cs="Times New Roman"/>
                <w:lang w:val="en-GB" w:eastAsia="en-GB"/>
              </w:rPr>
              <w:t>In cases that zero values were reported relating to the transmission of mandatory data of reference year 2020, it regards either transaction that cannot exist.</w:t>
            </w:r>
          </w:p>
          <w:p w14:paraId="6915C70E" w14:textId="77777777" w:rsidR="00D77562" w:rsidRPr="00BC128B" w:rsidRDefault="00D77562" w:rsidP="00D77562">
            <w:pPr>
              <w:spacing w:before="30" w:after="30" w:line="240" w:lineRule="auto"/>
              <w:jc w:val="both"/>
              <w:rPr>
                <w:rFonts w:ascii="Times New Roman" w:eastAsia="Times New Roman" w:hAnsi="Times New Roman" w:cs="Times New Roman"/>
                <w:lang w:val="en-GB" w:eastAsia="en-GB"/>
              </w:rPr>
            </w:pPr>
            <w:r w:rsidRPr="00BC128B">
              <w:rPr>
                <w:rFonts w:ascii="Times New Roman" w:eastAsia="Times New Roman" w:hAnsi="Times New Roman" w:cs="Times New Roman"/>
                <w:lang w:val="en-GB" w:eastAsia="en-GB"/>
              </w:rPr>
              <w:t>Transactions that cannot exist in case of Albania flagged with status code ‘M’ up to now are:</w:t>
            </w:r>
          </w:p>
          <w:p w14:paraId="03824C2A" w14:textId="77777777" w:rsidR="00D77562" w:rsidRPr="00BC128B"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BC128B">
              <w:rPr>
                <w:rFonts w:ascii="Times New Roman" w:eastAsia="Times New Roman" w:hAnsi="Times New Roman" w:cs="Times New Roman"/>
                <w:sz w:val="22"/>
                <w:szCs w:val="22"/>
                <w:lang w:val="en-GB" w:eastAsia="en-GB"/>
              </w:rPr>
              <w:t>Space transport.</w:t>
            </w:r>
          </w:p>
          <w:p w14:paraId="38B0A633" w14:textId="77777777" w:rsidR="00D77562" w:rsidRPr="00BC128B"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BC128B">
              <w:rPr>
                <w:rFonts w:ascii="Times New Roman" w:eastAsia="Times New Roman" w:hAnsi="Times New Roman" w:cs="Times New Roman"/>
                <w:sz w:val="22"/>
                <w:szCs w:val="22"/>
                <w:lang w:val="en-GB" w:eastAsia="en-GB"/>
              </w:rPr>
              <w:t>Rail transport including all sub-components.</w:t>
            </w:r>
          </w:p>
          <w:p w14:paraId="6BE4BC2E" w14:textId="77777777" w:rsidR="00D77562" w:rsidRPr="00BC128B"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BC128B">
              <w:rPr>
                <w:rFonts w:ascii="Times New Roman" w:eastAsia="Times New Roman" w:hAnsi="Times New Roman" w:cs="Times New Roman"/>
                <w:sz w:val="22"/>
                <w:szCs w:val="22"/>
                <w:lang w:val="en-GB" w:eastAsia="en-GB"/>
              </w:rPr>
              <w:t>Inland waterway transport including all sub-components.</w:t>
            </w:r>
          </w:p>
          <w:p w14:paraId="41141FC1" w14:textId="77777777" w:rsidR="00D77562" w:rsidRPr="00BC128B"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BC128B">
              <w:rPr>
                <w:rFonts w:ascii="Times New Roman" w:eastAsia="Times New Roman" w:hAnsi="Times New Roman" w:cs="Times New Roman"/>
                <w:sz w:val="22"/>
                <w:szCs w:val="22"/>
                <w:lang w:val="en-GB" w:eastAsia="en-GB"/>
              </w:rPr>
              <w:t>Pipeline transport.</w:t>
            </w:r>
          </w:p>
          <w:p w14:paraId="3C131072" w14:textId="77777777" w:rsidR="00D77562" w:rsidRPr="00BC128B"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BC128B">
              <w:rPr>
                <w:rFonts w:ascii="Times New Roman" w:eastAsia="Times New Roman" w:hAnsi="Times New Roman" w:cs="Times New Roman"/>
                <w:sz w:val="22"/>
                <w:szCs w:val="22"/>
                <w:lang w:val="en-GB" w:eastAsia="en-GB"/>
              </w:rPr>
              <w:t>Other supporting and auxiliary transport services.</w:t>
            </w:r>
          </w:p>
          <w:p w14:paraId="426ABD61" w14:textId="77777777" w:rsidR="00D77562" w:rsidRPr="00BC128B"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BC128B">
              <w:rPr>
                <w:rFonts w:ascii="Times New Roman" w:eastAsia="Times New Roman" w:hAnsi="Times New Roman" w:cs="Times New Roman"/>
                <w:sz w:val="22"/>
                <w:szCs w:val="22"/>
                <w:lang w:val="en-GB" w:eastAsia="en-GB"/>
              </w:rPr>
              <w:t>Pension and standardised guarantee services and the two sub-components.</w:t>
            </w:r>
          </w:p>
          <w:p w14:paraId="7C765CA4" w14:textId="454E6630" w:rsidR="00D77562" w:rsidRPr="00BC128B" w:rsidRDefault="00D77562" w:rsidP="00D77562">
            <w:pPr>
              <w:spacing w:before="30" w:after="30"/>
              <w:jc w:val="both"/>
              <w:rPr>
                <w:rFonts w:ascii="Times New Roman" w:eastAsia="Times New Roman" w:hAnsi="Times New Roman" w:cs="Times New Roman"/>
                <w:lang w:val="en-GB" w:eastAsia="en-GB"/>
              </w:rPr>
            </w:pPr>
            <w:r w:rsidRPr="00BC128B">
              <w:rPr>
                <w:rFonts w:ascii="Times New Roman" w:eastAsia="Times New Roman" w:hAnsi="Times New Roman" w:cs="Times New Roman"/>
                <w:lang w:val="en-GB" w:eastAsia="en-GB"/>
              </w:rPr>
              <w:t>Transactions that exist but are not collected, reported empty values and status code ‘L’ are:</w:t>
            </w:r>
          </w:p>
          <w:p w14:paraId="63CCEACC" w14:textId="77777777" w:rsidR="00D77562" w:rsidRPr="00BC128B"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BC128B">
              <w:rPr>
                <w:rFonts w:ascii="Times New Roman" w:eastAsia="Times New Roman" w:hAnsi="Times New Roman" w:cs="Times New Roman"/>
                <w:sz w:val="22"/>
                <w:szCs w:val="22"/>
                <w:lang w:val="en-GB" w:eastAsia="en-GB"/>
              </w:rPr>
              <w:t xml:space="preserve">Sub-components of insurance services, namely life insurance, freight insurance, other direct insurance and reinsurance. </w:t>
            </w:r>
          </w:p>
          <w:p w14:paraId="4758919D" w14:textId="77777777" w:rsidR="00D77562"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BC128B">
              <w:rPr>
                <w:rFonts w:ascii="Times New Roman" w:eastAsia="Times New Roman" w:hAnsi="Times New Roman" w:cs="Times New Roman"/>
                <w:sz w:val="22"/>
                <w:szCs w:val="22"/>
                <w:lang w:val="en-GB" w:eastAsia="en-GB"/>
              </w:rPr>
              <w:t xml:space="preserve">FISIM. For FISIM import an estimation model has been developed and will be implemented in second half of 2020. From reference year 2020 onward FISIM exports will be reported to Eurostat. </w:t>
            </w:r>
          </w:p>
          <w:p w14:paraId="5BECCC61" w14:textId="2BD71764" w:rsidR="00D77562" w:rsidRPr="00D77562" w:rsidRDefault="00D77562" w:rsidP="00D77562">
            <w:pPr>
              <w:pStyle w:val="ListParagraph"/>
              <w:numPr>
                <w:ilvl w:val="0"/>
                <w:numId w:val="5"/>
              </w:numPr>
              <w:spacing w:before="30" w:after="30"/>
              <w:jc w:val="both"/>
              <w:rPr>
                <w:rFonts w:ascii="Times New Roman" w:eastAsia="Times New Roman" w:hAnsi="Times New Roman" w:cs="Times New Roman"/>
                <w:sz w:val="22"/>
                <w:szCs w:val="22"/>
                <w:lang w:val="en-GB" w:eastAsia="en-GB"/>
              </w:rPr>
            </w:pPr>
            <w:r w:rsidRPr="00D77562">
              <w:rPr>
                <w:rFonts w:ascii="Times New Roman" w:eastAsia="Times New Roman" w:hAnsi="Times New Roman" w:cs="Times New Roman"/>
                <w:sz w:val="22"/>
                <w:szCs w:val="22"/>
                <w:lang w:val="en-GB" w:eastAsia="en-GB"/>
              </w:rPr>
              <w:lastRenderedPageBreak/>
              <w:t>Sub-components of R &amp; D services, being ‘work undertaken on a systematic basis to increase the stock of knowledge’, ‘provision of customised and non-customised R &amp; D services’, ‘sale of property rights arising from R &amp; D’ and a rest category (code SJ12 or EBOPS code 10.1.2) are assessed as being not relevant enough in order to create ITRS codes for the time being.</w:t>
            </w:r>
          </w:p>
        </w:tc>
      </w:tr>
      <w:tr w:rsidR="00555F42" w:rsidRPr="00493D72" w14:paraId="071DF247"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3B3F5147" w14:textId="77777777" w:rsidR="00555F42" w:rsidRPr="00493D72" w:rsidRDefault="00555F42" w:rsidP="00555F42">
            <w:pPr>
              <w:pStyle w:val="Heading1"/>
              <w:spacing w:before="0"/>
              <w:rPr>
                <w:rFonts w:ascii="Times New Roman" w:eastAsia="Times New Roman" w:hAnsi="Times New Roman" w:cs="Times New Roman"/>
                <w:b w:val="0"/>
                <w:bCs w:val="0"/>
                <w:noProof/>
                <w:color w:val="000000"/>
                <w:sz w:val="24"/>
                <w:szCs w:val="24"/>
                <w:lang w:val="sq-AL" w:eastAsia="sq-AL"/>
              </w:rPr>
            </w:pPr>
            <w:bookmarkStart w:id="12" w:name="_Toc104283932"/>
            <w:r w:rsidRPr="00493D72">
              <w:rPr>
                <w:rFonts w:ascii="Times New Roman" w:eastAsia="Times New Roman" w:hAnsi="Times New Roman" w:cs="Times New Roman"/>
                <w:noProof/>
                <w:color w:val="000000" w:themeColor="text1"/>
                <w:sz w:val="24"/>
                <w:szCs w:val="24"/>
                <w:lang w:val="sq-AL" w:eastAsia="sq-AL"/>
              </w:rPr>
              <w:lastRenderedPageBreak/>
              <w:t>13. Accuracy and reliability</w:t>
            </w:r>
            <w:bookmarkEnd w:id="12"/>
          </w:p>
        </w:tc>
      </w:tr>
      <w:tr w:rsidR="00D77562" w:rsidRPr="00493D72" w14:paraId="24FF5573" w14:textId="77777777" w:rsidTr="00BB1DFF">
        <w:trPr>
          <w:gridAfter w:val="1"/>
          <w:wAfter w:w="851" w:type="dxa"/>
          <w:trHeight w:val="567"/>
        </w:trPr>
        <w:tc>
          <w:tcPr>
            <w:tcW w:w="2471" w:type="dxa"/>
            <w:shd w:val="clear" w:color="auto" w:fill="FFFFCC"/>
            <w:noWrap/>
            <w:vAlign w:val="center"/>
            <w:hideMark/>
          </w:tcPr>
          <w:p w14:paraId="22E44D56"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13.1. Overall accuracy</w:t>
            </w:r>
          </w:p>
        </w:tc>
        <w:tc>
          <w:tcPr>
            <w:tcW w:w="7872" w:type="dxa"/>
          </w:tcPr>
          <w:p w14:paraId="11A015C0" w14:textId="77777777" w:rsidR="00D77562" w:rsidRPr="00F56CBD" w:rsidRDefault="00D77562" w:rsidP="00D77562">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Accuracy refers to the closeness of estimates to the unknown true values. This component of quality is measured looking at the stability of the data that can be assessed looking at the size of the revisions. It is assumed that each revision takes the dataset closer to the true value.</w:t>
            </w:r>
          </w:p>
          <w:p w14:paraId="456F289D" w14:textId="77777777" w:rsidR="00D77562" w:rsidRPr="00F56CBD" w:rsidRDefault="00D77562" w:rsidP="00D77562">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Revisions do not mean that ‘errors’ have been made or that the quality of the data has been deteriorating over time. On the contrary, revisions are made when new data sources and better information become available and thus result in more accurate observations. A well established and publicly communicated revisions policy is a sign of the strength of the statistical system in question.</w:t>
            </w:r>
          </w:p>
          <w:p w14:paraId="5475DBE9" w14:textId="77777777" w:rsidR="00D77562" w:rsidRPr="00F56CBD" w:rsidRDefault="00D77562" w:rsidP="00D77562">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 xml:space="preserve">The size of revisions is, however, a measure of the quality of the first release of a specific dataset, compared with the latest vintage made available. There is a trade-off between timeliness and size of revisions: the earlier the first release of a dataset takes place, the higher the revisions that can be expected as later vintages of the same dataset are released. </w:t>
            </w:r>
          </w:p>
          <w:p w14:paraId="2B7790EB" w14:textId="7F57DA6A" w:rsidR="00D77562" w:rsidRPr="00F56CBD" w:rsidRDefault="00D77562" w:rsidP="00DE34D2">
            <w:pPr>
              <w:spacing w:after="240" w:line="240" w:lineRule="auto"/>
              <w:ind w:right="85"/>
              <w:jc w:val="both"/>
              <w:rPr>
                <w:rFonts w:ascii="Times New Roman" w:hAnsi="Times New Roman" w:cs="Times New Roman"/>
                <w:lang w:eastAsia="nl-NL"/>
              </w:rPr>
            </w:pPr>
            <w:r w:rsidRPr="00F56CBD">
              <w:rPr>
                <w:rFonts w:ascii="Times New Roman" w:hAnsi="Times New Roman" w:cs="Times New Roman"/>
                <w:lang w:eastAsia="nl-NL"/>
              </w:rPr>
              <w:t xml:space="preserve">Four quality indicators have been used for assessment of this aspect, namely the upwards revisions ratio (low value for exports and for imports of total services compared to advised range), the directional reliability indicator (good score for total current account, but different picture when observing result for product breakdown), the stability indicator (maximum score of 100 % or nearly so as there are hardly any revisions) and the indicator on mean absolute percentage error (MAPE) (providing results for exports and imports for total current account of between 4 and 5 %,  scattered results when looking at values for the product breakdown). Special factors seem to have influenced the results for indicators mentioned such as heavy revisions for a few current account/services components at the start of the observation period, specific aspects related to the data collection system for a number of current account/services components and the relatively rare occurrence of revisions during the compilation process in many cases, the latter aspect partially related to data collection practice.     </w:t>
            </w:r>
          </w:p>
        </w:tc>
      </w:tr>
      <w:tr w:rsidR="00D77562" w:rsidRPr="00493D72" w14:paraId="34D121D2" w14:textId="77777777" w:rsidTr="00BB1DFF">
        <w:trPr>
          <w:gridAfter w:val="1"/>
          <w:wAfter w:w="851" w:type="dxa"/>
          <w:trHeight w:val="567"/>
        </w:trPr>
        <w:tc>
          <w:tcPr>
            <w:tcW w:w="2471" w:type="dxa"/>
            <w:shd w:val="clear" w:color="auto" w:fill="FFFFCC"/>
            <w:noWrap/>
            <w:vAlign w:val="center"/>
            <w:hideMark/>
          </w:tcPr>
          <w:p w14:paraId="727DDA97"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13.2. Sampling error</w:t>
            </w:r>
          </w:p>
        </w:tc>
        <w:tc>
          <w:tcPr>
            <w:tcW w:w="7872" w:type="dxa"/>
          </w:tcPr>
          <w:p w14:paraId="66471EDE" w14:textId="77777777" w:rsidR="00FF27AD" w:rsidRDefault="00D77562" w:rsidP="00FF27AD">
            <w:pPr>
              <w:spacing w:before="30" w:after="30" w:line="240" w:lineRule="auto"/>
              <w:jc w:val="both"/>
              <w:rPr>
                <w:rFonts w:ascii="Times New Roman" w:eastAsia="Times New Roman" w:hAnsi="Times New Roman" w:cs="Times New Roman"/>
                <w:lang w:val="en-GB" w:eastAsia="en-GB"/>
              </w:rPr>
            </w:pPr>
            <w:r w:rsidRPr="00A478E2">
              <w:rPr>
                <w:rFonts w:ascii="Times New Roman" w:eastAsia="Times New Roman" w:hAnsi="Times New Roman" w:cs="Times New Roman"/>
                <w:lang w:val="en-GB" w:eastAsia="en-GB"/>
              </w:rPr>
              <w:t>Non-response</w:t>
            </w:r>
          </w:p>
          <w:p w14:paraId="6137CD70" w14:textId="434918BF" w:rsidR="00D77562" w:rsidRPr="00FF27AD" w:rsidRDefault="00D77562" w:rsidP="00FF27AD">
            <w:pPr>
              <w:spacing w:before="30" w:after="30" w:line="240" w:lineRule="auto"/>
              <w:jc w:val="both"/>
              <w:rPr>
                <w:rFonts w:ascii="Times New Roman" w:eastAsia="Times New Roman" w:hAnsi="Times New Roman" w:cs="Times New Roman"/>
                <w:lang w:val="en-GB" w:eastAsia="en-GB"/>
              </w:rPr>
            </w:pPr>
            <w:r w:rsidRPr="00A478E2">
              <w:rPr>
                <w:rFonts w:ascii="Times New Roman" w:eastAsia="Times New Roman" w:hAnsi="Times New Roman" w:cs="Times New Roman"/>
                <w:lang w:val="en-GB" w:eastAsia="en-GB"/>
              </w:rPr>
              <w:t xml:space="preserve">Travel and </w:t>
            </w:r>
            <w:r>
              <w:rPr>
                <w:rFonts w:ascii="Times New Roman" w:eastAsia="Times New Roman" w:hAnsi="Times New Roman" w:cs="Times New Roman"/>
                <w:lang w:val="en-GB" w:eastAsia="en-GB"/>
              </w:rPr>
              <w:t xml:space="preserve">worker </w:t>
            </w:r>
            <w:r w:rsidRPr="00A478E2">
              <w:rPr>
                <w:rFonts w:ascii="Times New Roman" w:eastAsia="Times New Roman" w:hAnsi="Times New Roman" w:cs="Times New Roman"/>
                <w:lang w:val="en-GB" w:eastAsia="en-GB"/>
              </w:rPr>
              <w:t>remittance surveys are sample surveys. The response rate is 100 % as the number of persons chosen at random to be interviewed is equal to (part of) the sample size foreseen.</w:t>
            </w:r>
          </w:p>
        </w:tc>
      </w:tr>
      <w:tr w:rsidR="00D77562" w:rsidRPr="00493D72" w14:paraId="55138E45" w14:textId="77777777" w:rsidTr="00BB1DFF">
        <w:trPr>
          <w:gridAfter w:val="1"/>
          <w:wAfter w:w="851" w:type="dxa"/>
          <w:trHeight w:val="567"/>
        </w:trPr>
        <w:tc>
          <w:tcPr>
            <w:tcW w:w="2471" w:type="dxa"/>
            <w:shd w:val="clear" w:color="auto" w:fill="FFFFCC"/>
            <w:noWrap/>
            <w:vAlign w:val="center"/>
            <w:hideMark/>
          </w:tcPr>
          <w:p w14:paraId="560B50DA"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13.3. Non - sampling error</w:t>
            </w:r>
          </w:p>
        </w:tc>
        <w:tc>
          <w:tcPr>
            <w:tcW w:w="7872" w:type="dxa"/>
          </w:tcPr>
          <w:p w14:paraId="22BB9F04" w14:textId="77777777" w:rsidR="00D77562" w:rsidRPr="00A478E2" w:rsidRDefault="00D77562" w:rsidP="00FF27AD">
            <w:pPr>
              <w:spacing w:before="30" w:after="30" w:line="240" w:lineRule="auto"/>
              <w:jc w:val="both"/>
              <w:rPr>
                <w:rFonts w:ascii="Times New Roman" w:eastAsia="Times New Roman" w:hAnsi="Times New Roman" w:cs="Times New Roman"/>
                <w:lang w:val="en-GB" w:eastAsia="en-GB"/>
              </w:rPr>
            </w:pPr>
            <w:r w:rsidRPr="00A478E2">
              <w:rPr>
                <w:rFonts w:ascii="Times New Roman" w:eastAsia="Times New Roman" w:hAnsi="Times New Roman" w:cs="Times New Roman"/>
                <w:lang w:val="en-GB" w:eastAsia="en-GB"/>
              </w:rPr>
              <w:t>Imputation</w:t>
            </w:r>
          </w:p>
          <w:p w14:paraId="0B2993B0" w14:textId="496F905C" w:rsidR="00D77562" w:rsidRPr="0023235F" w:rsidRDefault="00D77562" w:rsidP="00FF27AD">
            <w:pPr>
              <w:spacing w:before="30" w:after="30" w:line="240" w:lineRule="auto"/>
              <w:jc w:val="both"/>
              <w:rPr>
                <w:sz w:val="24"/>
                <w:lang w:val="en-GB"/>
              </w:rPr>
            </w:pPr>
            <w:r>
              <w:rPr>
                <w:rFonts w:ascii="Times New Roman" w:eastAsia="Times New Roman" w:hAnsi="Times New Roman" w:cs="Times New Roman"/>
                <w:lang w:val="en-GB" w:eastAsia="en-GB"/>
              </w:rPr>
              <w:t>Bank of Albania interpolates monthly balance of payments</w:t>
            </w:r>
            <w:r w:rsidRPr="00A478E2">
              <w:rPr>
                <w:rFonts w:ascii="Times New Roman" w:eastAsia="Times New Roman" w:hAnsi="Times New Roman" w:cs="Times New Roman"/>
                <w:lang w:val="en-GB" w:eastAsia="en-GB"/>
              </w:rPr>
              <w:t xml:space="preserve"> data (travel, </w:t>
            </w:r>
            <w:r>
              <w:rPr>
                <w:rFonts w:ascii="Times New Roman" w:eastAsia="Times New Roman" w:hAnsi="Times New Roman" w:cs="Times New Roman"/>
                <w:lang w:val="en-GB" w:eastAsia="en-GB"/>
              </w:rPr>
              <w:t xml:space="preserve">worker </w:t>
            </w:r>
            <w:r w:rsidRPr="00A478E2">
              <w:rPr>
                <w:rFonts w:ascii="Times New Roman" w:eastAsia="Times New Roman" w:hAnsi="Times New Roman" w:cs="Times New Roman"/>
                <w:lang w:val="en-GB" w:eastAsia="en-GB"/>
              </w:rPr>
              <w:t xml:space="preserve">remittances) </w:t>
            </w:r>
            <w:r w:rsidRPr="00FF27AD">
              <w:rPr>
                <w:rFonts w:ascii="Times New Roman" w:eastAsia="Times New Roman" w:hAnsi="Times New Roman" w:cs="Times New Roman"/>
                <w:lang w:val="en-GB" w:eastAsia="en-GB"/>
              </w:rPr>
              <w:t>based on</w:t>
            </w:r>
            <w:r w:rsidRPr="00A478E2">
              <w:rPr>
                <w:rFonts w:ascii="Times New Roman" w:eastAsia="Times New Roman" w:hAnsi="Times New Roman" w:cs="Times New Roman"/>
                <w:lang w:val="en-GB" w:eastAsia="en-GB"/>
              </w:rPr>
              <w:t xml:space="preserve"> quarterly/semi-annual estimates.</w:t>
            </w:r>
            <w:r w:rsidRPr="00FF27AD">
              <w:rPr>
                <w:rFonts w:ascii="Times New Roman" w:eastAsia="Times New Roman" w:hAnsi="Times New Roman" w:cs="Times New Roman"/>
                <w:lang w:val="en-GB" w:eastAsia="en-GB"/>
              </w:rPr>
              <w:t xml:space="preserve"> </w:t>
            </w:r>
            <w:r>
              <w:rPr>
                <w:rFonts w:ascii="Times New Roman" w:eastAsia="Times New Roman" w:hAnsi="Times New Roman" w:cs="Times New Roman"/>
                <w:lang w:val="en-GB" w:eastAsia="en-GB"/>
              </w:rPr>
              <w:t>Also, imputes direct</w:t>
            </w:r>
            <w:r w:rsidRPr="00297647">
              <w:rPr>
                <w:rFonts w:ascii="Times New Roman" w:eastAsia="Times New Roman" w:hAnsi="Times New Roman" w:cs="Times New Roman"/>
                <w:lang w:val="en-GB" w:eastAsia="en-GB"/>
              </w:rPr>
              <w:t xml:space="preserve"> investment data (reinvested earnings, dividends) </w:t>
            </w:r>
            <w:r w:rsidR="007432D9" w:rsidRPr="00FF27AD">
              <w:rPr>
                <w:rFonts w:ascii="Times New Roman" w:eastAsia="Times New Roman" w:hAnsi="Times New Roman" w:cs="Times New Roman"/>
                <w:lang w:val="en-GB" w:eastAsia="en-GB"/>
              </w:rPr>
              <w:t>based on</w:t>
            </w:r>
            <w:r w:rsidRPr="00297647">
              <w:rPr>
                <w:rFonts w:ascii="Times New Roman" w:eastAsia="Times New Roman" w:hAnsi="Times New Roman" w:cs="Times New Roman"/>
                <w:lang w:val="en-GB" w:eastAsia="en-GB"/>
              </w:rPr>
              <w:t xml:space="preserve"> monthly, quarterly</w:t>
            </w:r>
            <w:r>
              <w:rPr>
                <w:rFonts w:ascii="Times New Roman" w:eastAsia="Times New Roman" w:hAnsi="Times New Roman" w:cs="Times New Roman"/>
                <w:lang w:val="en-GB" w:eastAsia="en-GB"/>
              </w:rPr>
              <w:t>,</w:t>
            </w:r>
            <w:r w:rsidRPr="00297647">
              <w:rPr>
                <w:rFonts w:ascii="Times New Roman" w:eastAsia="Times New Roman" w:hAnsi="Times New Roman" w:cs="Times New Roman"/>
                <w:lang w:val="en-GB" w:eastAsia="en-GB"/>
              </w:rPr>
              <w:t xml:space="preserve"> and annual administrative data.</w:t>
            </w:r>
          </w:p>
        </w:tc>
      </w:tr>
      <w:tr w:rsidR="00D77562" w:rsidRPr="00493D72" w14:paraId="11798921"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6A45C3E8" w14:textId="77777777" w:rsidR="00D77562" w:rsidRPr="00493D72" w:rsidRDefault="00D77562" w:rsidP="00D77562">
            <w:pPr>
              <w:pStyle w:val="Heading1"/>
              <w:spacing w:before="0"/>
              <w:rPr>
                <w:rFonts w:ascii="Times New Roman" w:eastAsia="Times New Roman" w:hAnsi="Times New Roman" w:cs="Times New Roman"/>
                <w:b w:val="0"/>
                <w:bCs w:val="0"/>
                <w:noProof/>
                <w:color w:val="000000" w:themeColor="text1"/>
                <w:sz w:val="24"/>
                <w:szCs w:val="24"/>
                <w:lang w:val="sq-AL" w:eastAsia="sq-AL"/>
              </w:rPr>
            </w:pPr>
            <w:bookmarkStart w:id="13" w:name="_Toc104283933"/>
            <w:r w:rsidRPr="00493D72">
              <w:rPr>
                <w:rFonts w:ascii="Times New Roman" w:eastAsia="Times New Roman" w:hAnsi="Times New Roman" w:cs="Times New Roman"/>
                <w:noProof/>
                <w:color w:val="000000" w:themeColor="text1"/>
                <w:sz w:val="24"/>
                <w:szCs w:val="24"/>
                <w:lang w:val="sq-AL" w:eastAsia="sq-AL"/>
              </w:rPr>
              <w:t>14. Timeliness and punctuality</w:t>
            </w:r>
            <w:bookmarkEnd w:id="13"/>
          </w:p>
        </w:tc>
      </w:tr>
      <w:tr w:rsidR="00D77562" w:rsidRPr="00493D72" w14:paraId="7E316357" w14:textId="77777777" w:rsidTr="00BB1DFF">
        <w:trPr>
          <w:gridAfter w:val="1"/>
          <w:wAfter w:w="851" w:type="dxa"/>
          <w:trHeight w:val="567"/>
        </w:trPr>
        <w:tc>
          <w:tcPr>
            <w:tcW w:w="2471" w:type="dxa"/>
            <w:shd w:val="clear" w:color="auto" w:fill="FFFFCC"/>
            <w:noWrap/>
            <w:vAlign w:val="center"/>
            <w:hideMark/>
          </w:tcPr>
          <w:p w14:paraId="7E8E7566" w14:textId="77777777" w:rsidR="00D77562" w:rsidRPr="00493D72" w:rsidRDefault="00D77562" w:rsidP="00D77562">
            <w:pPr>
              <w:spacing w:after="0"/>
              <w:rPr>
                <w:rFonts w:ascii="Times New Roman" w:eastAsia="Times New Roman" w:hAnsi="Times New Roman" w:cs="Times New Roman"/>
                <w:noProof/>
                <w:color w:val="000000" w:themeColor="text1"/>
                <w:sz w:val="24"/>
                <w:szCs w:val="24"/>
                <w:lang w:val="sq-AL" w:eastAsia="sq-AL"/>
              </w:rPr>
            </w:pPr>
            <w:r w:rsidRPr="00493D72">
              <w:rPr>
                <w:rFonts w:ascii="Times New Roman" w:eastAsia="Times New Roman" w:hAnsi="Times New Roman" w:cs="Times New Roman"/>
                <w:noProof/>
                <w:color w:val="000000" w:themeColor="text1"/>
                <w:sz w:val="24"/>
                <w:szCs w:val="24"/>
                <w:lang w:val="sq-AL" w:eastAsia="sq-AL"/>
              </w:rPr>
              <w:t>14.1. Timeliness</w:t>
            </w:r>
          </w:p>
        </w:tc>
        <w:tc>
          <w:tcPr>
            <w:tcW w:w="7872" w:type="dxa"/>
            <w:vAlign w:val="center"/>
          </w:tcPr>
          <w:p w14:paraId="47193D33" w14:textId="77777777" w:rsidR="007432D9" w:rsidRPr="00A33FE4" w:rsidRDefault="007432D9" w:rsidP="007432D9">
            <w:pPr>
              <w:spacing w:before="30" w:after="30" w:line="240" w:lineRule="auto"/>
              <w:jc w:val="both"/>
              <w:rPr>
                <w:rFonts w:ascii="Times New Roman" w:hAnsi="Times New Roman" w:cs="Times New Roman"/>
              </w:rPr>
            </w:pPr>
            <w:r w:rsidRPr="00A33FE4">
              <w:rPr>
                <w:rFonts w:ascii="Times New Roman" w:hAnsi="Times New Roman" w:cs="Times New Roman"/>
              </w:rPr>
              <w:t xml:space="preserve">The Regulation (EC) No 184/2005 as amended by Commission Regulation (EU) No 555/2012 defines the clear timeliness requirements and sets the deadlines for the data transmission to Eurostat. </w:t>
            </w:r>
          </w:p>
          <w:p w14:paraId="2E4DA412" w14:textId="77777777" w:rsidR="007432D9" w:rsidRPr="00A33FE4" w:rsidRDefault="007432D9" w:rsidP="007432D9">
            <w:pPr>
              <w:spacing w:before="30" w:after="30" w:line="240" w:lineRule="auto"/>
              <w:jc w:val="both"/>
              <w:rPr>
                <w:rFonts w:ascii="Times New Roman" w:hAnsi="Times New Roman" w:cs="Times New Roman"/>
              </w:rPr>
            </w:pPr>
            <w:r w:rsidRPr="00A33FE4">
              <w:rPr>
                <w:rFonts w:ascii="Times New Roman" w:hAnsi="Times New Roman" w:cs="Times New Roman"/>
              </w:rPr>
              <w:t>Balance of payments data are transmitted quarterly within 85 days delay after the reference period.</w:t>
            </w:r>
          </w:p>
          <w:p w14:paraId="739C1882" w14:textId="046DC398" w:rsidR="007432D9" w:rsidRDefault="007432D9" w:rsidP="007432D9">
            <w:pPr>
              <w:spacing w:after="120"/>
              <w:jc w:val="both"/>
              <w:rPr>
                <w:rFonts w:ascii="Times New Roman" w:hAnsi="Times New Roman" w:cs="Times New Roman"/>
              </w:rPr>
            </w:pPr>
            <w:r w:rsidRPr="00592008">
              <w:rPr>
                <w:rFonts w:ascii="Times New Roman" w:hAnsi="Times New Roman" w:cs="Times New Roman"/>
                <w:i/>
              </w:rPr>
              <w:t xml:space="preserve">Timeliness of </w:t>
            </w:r>
            <w:r>
              <w:rPr>
                <w:rFonts w:ascii="Times New Roman" w:hAnsi="Times New Roman" w:cs="Times New Roman"/>
                <w:i/>
              </w:rPr>
              <w:t xml:space="preserve">the </w:t>
            </w:r>
            <w:r w:rsidRPr="00592008">
              <w:rPr>
                <w:rFonts w:ascii="Times New Roman" w:hAnsi="Times New Roman" w:cs="Times New Roman"/>
                <w:i/>
              </w:rPr>
              <w:t>first results</w:t>
            </w:r>
            <w:r>
              <w:rPr>
                <w:rFonts w:ascii="Times New Roman" w:hAnsi="Times New Roman" w:cs="Times New Roman"/>
              </w:rPr>
              <w:t xml:space="preserve">: </w:t>
            </w:r>
            <w:r w:rsidRPr="00A33FE4">
              <w:rPr>
                <w:rFonts w:ascii="Times New Roman" w:hAnsi="Times New Roman" w:cs="Times New Roman"/>
              </w:rPr>
              <w:t xml:space="preserve">Preparation of </w:t>
            </w:r>
            <w:r>
              <w:rPr>
                <w:rFonts w:ascii="Times New Roman" w:hAnsi="Times New Roman" w:cs="Times New Roman"/>
              </w:rPr>
              <w:t xml:space="preserve">current account / balance of payments </w:t>
            </w:r>
            <w:r w:rsidRPr="00A33FE4">
              <w:rPr>
                <w:rFonts w:ascii="Times New Roman" w:hAnsi="Times New Roman" w:cs="Times New Roman"/>
              </w:rPr>
              <w:t xml:space="preserve">data results from several stages: </w:t>
            </w:r>
            <w:r>
              <w:rPr>
                <w:rFonts w:ascii="Times New Roman" w:hAnsi="Times New Roman" w:cs="Times New Roman"/>
              </w:rPr>
              <w:t>c</w:t>
            </w:r>
            <w:r w:rsidRPr="00A33FE4">
              <w:rPr>
                <w:rFonts w:ascii="Times New Roman" w:hAnsi="Times New Roman" w:cs="Times New Roman"/>
              </w:rPr>
              <w:t xml:space="preserve">ollection, compilation, validation and publication. The following table shows deadlines for each stage: </w:t>
            </w:r>
          </w:p>
          <w:tbl>
            <w:tblPr>
              <w:tblW w:w="7673" w:type="dxa"/>
              <w:tblLook w:val="04A0" w:firstRow="1" w:lastRow="0" w:firstColumn="1" w:lastColumn="0" w:noHBand="0" w:noVBand="1"/>
            </w:tblPr>
            <w:tblGrid>
              <w:gridCol w:w="2723"/>
              <w:gridCol w:w="1170"/>
              <w:gridCol w:w="1350"/>
              <w:gridCol w:w="1170"/>
              <w:gridCol w:w="1260"/>
            </w:tblGrid>
            <w:tr w:rsidR="007432D9" w:rsidRPr="00780C63" w14:paraId="0D51769E" w14:textId="77777777" w:rsidTr="007432D9">
              <w:trPr>
                <w:trHeight w:val="739"/>
              </w:trPr>
              <w:tc>
                <w:tcPr>
                  <w:tcW w:w="2723" w:type="dxa"/>
                  <w:tcBorders>
                    <w:top w:val="single" w:sz="4" w:space="0" w:color="auto"/>
                    <w:left w:val="single" w:sz="4" w:space="0" w:color="auto"/>
                    <w:bottom w:val="single" w:sz="4" w:space="0" w:color="auto"/>
                    <w:right w:val="single" w:sz="4" w:space="0" w:color="auto"/>
                  </w:tcBorders>
                  <w:hideMark/>
                </w:tcPr>
                <w:p w14:paraId="16C64885" w14:textId="77777777" w:rsidR="007432D9" w:rsidRPr="00A33FE4" w:rsidRDefault="007432D9" w:rsidP="007432D9">
                  <w:pPr>
                    <w:rPr>
                      <w:rFonts w:ascii="Times New Roman" w:hAnsi="Times New Roman"/>
                    </w:rPr>
                  </w:pPr>
                  <w:r w:rsidRPr="00A33FE4">
                    <w:rPr>
                      <w:rFonts w:ascii="Times New Roman" w:hAnsi="Times New Roman"/>
                    </w:rPr>
                    <w:lastRenderedPageBreak/>
                    <w:t>Description</w:t>
                  </w:r>
                </w:p>
              </w:tc>
              <w:tc>
                <w:tcPr>
                  <w:tcW w:w="1170" w:type="dxa"/>
                  <w:tcBorders>
                    <w:top w:val="single" w:sz="4" w:space="0" w:color="auto"/>
                    <w:left w:val="single" w:sz="4" w:space="0" w:color="auto"/>
                    <w:bottom w:val="single" w:sz="4" w:space="0" w:color="auto"/>
                    <w:right w:val="single" w:sz="4" w:space="0" w:color="auto"/>
                  </w:tcBorders>
                  <w:hideMark/>
                </w:tcPr>
                <w:p w14:paraId="4FD8E1FE" w14:textId="77777777" w:rsidR="007432D9" w:rsidRPr="00A33FE4" w:rsidRDefault="007432D9" w:rsidP="007432D9">
                  <w:pPr>
                    <w:rPr>
                      <w:rFonts w:ascii="Times New Roman" w:hAnsi="Times New Roman"/>
                    </w:rPr>
                  </w:pPr>
                  <w:r w:rsidRPr="00A33FE4">
                    <w:rPr>
                      <w:rFonts w:ascii="Times New Roman" w:hAnsi="Times New Roman"/>
                    </w:rPr>
                    <w:t>Collection</w:t>
                  </w:r>
                </w:p>
              </w:tc>
              <w:tc>
                <w:tcPr>
                  <w:tcW w:w="1350" w:type="dxa"/>
                  <w:tcBorders>
                    <w:top w:val="single" w:sz="4" w:space="0" w:color="auto"/>
                    <w:left w:val="single" w:sz="4" w:space="0" w:color="auto"/>
                    <w:bottom w:val="single" w:sz="4" w:space="0" w:color="auto"/>
                    <w:right w:val="single" w:sz="4" w:space="0" w:color="auto"/>
                  </w:tcBorders>
                  <w:hideMark/>
                </w:tcPr>
                <w:p w14:paraId="4E62B8A5" w14:textId="77777777" w:rsidR="007432D9" w:rsidRPr="00A33FE4" w:rsidRDefault="007432D9" w:rsidP="007432D9">
                  <w:pPr>
                    <w:rPr>
                      <w:rFonts w:ascii="Times New Roman" w:hAnsi="Times New Roman"/>
                    </w:rPr>
                  </w:pPr>
                  <w:r w:rsidRPr="00A33FE4">
                    <w:rPr>
                      <w:rFonts w:ascii="Times New Roman" w:hAnsi="Times New Roman"/>
                    </w:rPr>
                    <w:t>Compilation</w:t>
                  </w:r>
                </w:p>
              </w:tc>
              <w:tc>
                <w:tcPr>
                  <w:tcW w:w="1170" w:type="dxa"/>
                  <w:tcBorders>
                    <w:top w:val="single" w:sz="4" w:space="0" w:color="auto"/>
                    <w:left w:val="single" w:sz="4" w:space="0" w:color="auto"/>
                    <w:bottom w:val="single" w:sz="4" w:space="0" w:color="auto"/>
                    <w:right w:val="single" w:sz="4" w:space="0" w:color="auto"/>
                  </w:tcBorders>
                  <w:hideMark/>
                </w:tcPr>
                <w:p w14:paraId="3C5276F2" w14:textId="77777777" w:rsidR="007432D9" w:rsidRPr="00A33FE4" w:rsidRDefault="007432D9" w:rsidP="007432D9">
                  <w:pPr>
                    <w:rPr>
                      <w:rFonts w:ascii="Times New Roman" w:hAnsi="Times New Roman"/>
                    </w:rPr>
                  </w:pPr>
                  <w:r w:rsidRPr="00A33FE4">
                    <w:rPr>
                      <w:rFonts w:ascii="Times New Roman" w:hAnsi="Times New Roman"/>
                    </w:rPr>
                    <w:t>Validation</w:t>
                  </w:r>
                </w:p>
              </w:tc>
              <w:tc>
                <w:tcPr>
                  <w:tcW w:w="1260" w:type="dxa"/>
                  <w:tcBorders>
                    <w:top w:val="single" w:sz="4" w:space="0" w:color="auto"/>
                    <w:left w:val="single" w:sz="4" w:space="0" w:color="auto"/>
                    <w:bottom w:val="single" w:sz="4" w:space="0" w:color="auto"/>
                    <w:right w:val="single" w:sz="4" w:space="0" w:color="auto"/>
                  </w:tcBorders>
                  <w:hideMark/>
                </w:tcPr>
                <w:p w14:paraId="42A9F60F" w14:textId="77777777" w:rsidR="007432D9" w:rsidRPr="00A33FE4" w:rsidRDefault="007432D9" w:rsidP="007432D9">
                  <w:pPr>
                    <w:rPr>
                      <w:rFonts w:ascii="Times New Roman" w:hAnsi="Times New Roman"/>
                    </w:rPr>
                  </w:pPr>
                  <w:r w:rsidRPr="00A33FE4">
                    <w:rPr>
                      <w:rFonts w:ascii="Times New Roman" w:hAnsi="Times New Roman"/>
                    </w:rPr>
                    <w:t>Publication</w:t>
                  </w:r>
                </w:p>
              </w:tc>
            </w:tr>
            <w:tr w:rsidR="007432D9" w:rsidRPr="00A33FE4" w14:paraId="4922D94B" w14:textId="77777777" w:rsidTr="007432D9">
              <w:trPr>
                <w:trHeight w:val="739"/>
              </w:trPr>
              <w:tc>
                <w:tcPr>
                  <w:tcW w:w="2723" w:type="dxa"/>
                  <w:tcBorders>
                    <w:top w:val="single" w:sz="4" w:space="0" w:color="auto"/>
                    <w:left w:val="single" w:sz="4" w:space="0" w:color="auto"/>
                    <w:bottom w:val="single" w:sz="4" w:space="0" w:color="auto"/>
                    <w:right w:val="single" w:sz="4" w:space="0" w:color="auto"/>
                  </w:tcBorders>
                  <w:vAlign w:val="center"/>
                  <w:hideMark/>
                </w:tcPr>
                <w:p w14:paraId="094044B9" w14:textId="19315538" w:rsidR="007432D9" w:rsidRPr="00A33FE4" w:rsidRDefault="007432D9" w:rsidP="007432D9">
                  <w:pPr>
                    <w:rPr>
                      <w:rFonts w:ascii="Times New Roman" w:hAnsi="Times New Roman"/>
                    </w:rPr>
                  </w:pPr>
                  <w:r>
                    <w:rPr>
                      <w:rFonts w:ascii="Times New Roman" w:hAnsi="Times New Roman"/>
                    </w:rPr>
                    <w:t xml:space="preserve">Balance of Payments </w:t>
                  </w:r>
                  <w:r w:rsidRPr="00A33FE4">
                    <w:rPr>
                      <w:rFonts w:ascii="Times New Roman" w:hAnsi="Times New Roman"/>
                    </w:rPr>
                    <w:t>quarterly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1991EF7" w14:textId="77777777" w:rsidR="007432D9" w:rsidRPr="00A33FE4" w:rsidRDefault="007432D9" w:rsidP="007432D9">
                  <w:pPr>
                    <w:rPr>
                      <w:rFonts w:ascii="Times New Roman" w:hAnsi="Times New Roman"/>
                    </w:rPr>
                  </w:pPr>
                  <w:r w:rsidRPr="00A33FE4">
                    <w:rPr>
                      <w:rFonts w:ascii="Times New Roman" w:hAnsi="Times New Roman"/>
                    </w:rPr>
                    <w:t>t+30 days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A458E38" w14:textId="77777777" w:rsidR="007432D9" w:rsidRPr="00A33FE4" w:rsidRDefault="007432D9" w:rsidP="007432D9">
                  <w:pPr>
                    <w:rPr>
                      <w:rFonts w:ascii="Times New Roman" w:hAnsi="Times New Roman"/>
                    </w:rPr>
                  </w:pPr>
                  <w:r w:rsidRPr="00A33FE4">
                    <w:rPr>
                      <w:rFonts w:ascii="Times New Roman" w:hAnsi="Times New Roman"/>
                    </w:rPr>
                    <w:t>t+40 days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96DE5CC" w14:textId="77777777" w:rsidR="007432D9" w:rsidRPr="00A33FE4" w:rsidRDefault="007432D9" w:rsidP="007432D9">
                  <w:pPr>
                    <w:rPr>
                      <w:rFonts w:ascii="Times New Roman" w:hAnsi="Times New Roman"/>
                    </w:rPr>
                  </w:pPr>
                  <w:r w:rsidRPr="00A33FE4">
                    <w:rPr>
                      <w:rFonts w:ascii="Times New Roman" w:hAnsi="Times New Roman"/>
                    </w:rPr>
                    <w:t>t+50 days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156DD1" w14:textId="77777777" w:rsidR="007432D9" w:rsidRPr="00A33FE4" w:rsidRDefault="007432D9" w:rsidP="007432D9">
                  <w:pPr>
                    <w:rPr>
                      <w:rFonts w:ascii="Times New Roman" w:hAnsi="Times New Roman"/>
                    </w:rPr>
                  </w:pPr>
                  <w:r w:rsidRPr="00A33FE4">
                    <w:rPr>
                      <w:rFonts w:ascii="Times New Roman" w:hAnsi="Times New Roman"/>
                    </w:rPr>
                    <w:t>t+70 days</w:t>
                  </w:r>
                </w:p>
              </w:tc>
            </w:tr>
          </w:tbl>
          <w:p w14:paraId="16CBC00F" w14:textId="33CD4A2A" w:rsidR="00FF27AD" w:rsidRDefault="007432D9" w:rsidP="007432D9">
            <w:pPr>
              <w:spacing w:after="120"/>
              <w:jc w:val="both"/>
              <w:rPr>
                <w:rFonts w:ascii="Times New Roman" w:hAnsi="Times New Roman" w:cs="Times New Roman"/>
              </w:rPr>
            </w:pPr>
            <w:r w:rsidRPr="00A33FE4">
              <w:rPr>
                <w:rFonts w:ascii="Times New Roman" w:hAnsi="Times New Roman" w:cs="Times New Roman"/>
              </w:rPr>
              <w:t>First results of quarterly data on</w:t>
            </w:r>
            <w:r w:rsidRPr="00693C08">
              <w:rPr>
                <w:rFonts w:ascii="Times New Roman" w:hAnsi="Times New Roman" w:cs="Times New Roman"/>
              </w:rPr>
              <w:t xml:space="preserve"> current accounts</w:t>
            </w:r>
            <w:r>
              <w:rPr>
                <w:rFonts w:ascii="Times New Roman" w:hAnsi="Times New Roman" w:cs="Times New Roman"/>
              </w:rPr>
              <w:t xml:space="preserve"> </w:t>
            </w:r>
            <w:r w:rsidRPr="00A33FE4">
              <w:rPr>
                <w:rFonts w:ascii="Times New Roman" w:hAnsi="Times New Roman" w:cs="Times New Roman"/>
              </w:rPr>
              <w:t xml:space="preserve">as part of the current </w:t>
            </w:r>
            <w:r w:rsidRPr="00693C08">
              <w:rPr>
                <w:rFonts w:ascii="Times New Roman" w:hAnsi="Times New Roman" w:cs="Times New Roman"/>
              </w:rPr>
              <w:t>balance of payments</w:t>
            </w:r>
            <w:r w:rsidRPr="00A33FE4">
              <w:rPr>
                <w:rFonts w:ascii="Times New Roman" w:hAnsi="Times New Roman" w:cs="Times New Roman"/>
              </w:rPr>
              <w:t xml:space="preserve"> dataset are published at t+70 days for the first three calendar quarters and at t+85 days for the fourth quarter due to a longer delivery </w:t>
            </w:r>
            <w:r w:rsidR="003405CC" w:rsidRPr="00A33FE4">
              <w:rPr>
                <w:rFonts w:ascii="Times New Roman" w:hAnsi="Times New Roman" w:cs="Times New Roman"/>
              </w:rPr>
              <w:t>period</w:t>
            </w:r>
            <w:r w:rsidRPr="00A33FE4">
              <w:rPr>
                <w:rFonts w:ascii="Times New Roman" w:hAnsi="Times New Roman" w:cs="Times New Roman"/>
              </w:rPr>
              <w:t xml:space="preserve"> </w:t>
            </w:r>
            <w:proofErr w:type="gramStart"/>
            <w:r w:rsidRPr="00A33FE4">
              <w:rPr>
                <w:rFonts w:ascii="Times New Roman" w:hAnsi="Times New Roman" w:cs="Times New Roman"/>
              </w:rPr>
              <w:t>with regard to</w:t>
            </w:r>
            <w:proofErr w:type="gramEnd"/>
            <w:r w:rsidRPr="00A33FE4">
              <w:rPr>
                <w:rFonts w:ascii="Times New Roman" w:hAnsi="Times New Roman" w:cs="Times New Roman"/>
              </w:rPr>
              <w:t xml:space="preserve"> non-ITRS sources.</w:t>
            </w:r>
          </w:p>
          <w:p w14:paraId="2D7E9E35" w14:textId="5619388A" w:rsidR="003405CC" w:rsidRDefault="007432D9" w:rsidP="007432D9">
            <w:pPr>
              <w:spacing w:after="120"/>
              <w:jc w:val="both"/>
              <w:rPr>
                <w:rFonts w:ascii="Times New Roman" w:hAnsi="Times New Roman" w:cs="Times New Roman"/>
                <w:color w:val="000000" w:themeColor="text1"/>
              </w:rPr>
            </w:pPr>
            <w:r w:rsidRPr="00592008">
              <w:rPr>
                <w:rFonts w:ascii="Times New Roman" w:hAnsi="Times New Roman" w:cs="Times New Roman"/>
                <w:i/>
              </w:rPr>
              <w:t xml:space="preserve">Timeliness of </w:t>
            </w:r>
            <w:r>
              <w:rPr>
                <w:rFonts w:ascii="Times New Roman" w:hAnsi="Times New Roman" w:cs="Times New Roman"/>
                <w:i/>
              </w:rPr>
              <w:t xml:space="preserve">the </w:t>
            </w:r>
            <w:proofErr w:type="gramStart"/>
            <w:r w:rsidRPr="00592008">
              <w:rPr>
                <w:rFonts w:ascii="Times New Roman" w:hAnsi="Times New Roman" w:cs="Times New Roman"/>
                <w:i/>
              </w:rPr>
              <w:t>final results</w:t>
            </w:r>
            <w:proofErr w:type="gramEnd"/>
            <w:r>
              <w:rPr>
                <w:rFonts w:ascii="Times New Roman" w:hAnsi="Times New Roman" w:cs="Times New Roman"/>
                <w:color w:val="000000" w:themeColor="text1"/>
              </w:rPr>
              <w:t xml:space="preserve">: </w:t>
            </w:r>
            <w:r w:rsidRPr="00A33FE4">
              <w:rPr>
                <w:rFonts w:ascii="Times New Roman" w:hAnsi="Times New Roman" w:cs="Times New Roman"/>
                <w:color w:val="000000" w:themeColor="text1"/>
              </w:rPr>
              <w:t xml:space="preserve">Time series on periods earlier than the latest period </w:t>
            </w:r>
            <w:r w:rsidR="008736BF" w:rsidRPr="00A33FE4">
              <w:rPr>
                <w:rFonts w:ascii="Times New Roman" w:hAnsi="Times New Roman" w:cs="Times New Roman"/>
                <w:color w:val="000000" w:themeColor="text1"/>
              </w:rPr>
              <w:t>(</w:t>
            </w:r>
            <w:r w:rsidRPr="00A33FE4">
              <w:rPr>
                <w:rFonts w:ascii="Times New Roman" w:hAnsi="Times New Roman" w:cs="Times New Roman"/>
                <w:color w:val="000000" w:themeColor="text1"/>
              </w:rPr>
              <w:t xml:space="preserve">first publication) are revised when there is a cause/reason for </w:t>
            </w:r>
            <w:r w:rsidR="003405CC" w:rsidRPr="00A33FE4">
              <w:rPr>
                <w:rFonts w:ascii="Times New Roman" w:hAnsi="Times New Roman" w:cs="Times New Roman"/>
                <w:color w:val="000000" w:themeColor="text1"/>
              </w:rPr>
              <w:t>because of</w:t>
            </w:r>
            <w:r w:rsidRPr="00A33FE4">
              <w:rPr>
                <w:rFonts w:ascii="Times New Roman" w:hAnsi="Times New Roman" w:cs="Times New Roman"/>
                <w:color w:val="000000" w:themeColor="text1"/>
              </w:rPr>
              <w:t xml:space="preserve"> a new compilation/estimation method, new data sources and updates of data reported. </w:t>
            </w:r>
          </w:p>
          <w:p w14:paraId="3A3AD605" w14:textId="6314BC09" w:rsidR="00D77562" w:rsidRPr="00FF27AD" w:rsidRDefault="007432D9" w:rsidP="007432D9">
            <w:pPr>
              <w:spacing w:after="120"/>
              <w:jc w:val="both"/>
              <w:rPr>
                <w:rFonts w:ascii="Times New Roman" w:hAnsi="Times New Roman" w:cs="Times New Roman"/>
              </w:rPr>
            </w:pPr>
            <w:r>
              <w:rPr>
                <w:rFonts w:ascii="Times New Roman" w:hAnsi="Times New Roman" w:cs="Times New Roman"/>
                <w:color w:val="000000" w:themeColor="text1"/>
              </w:rPr>
              <w:t xml:space="preserve">The </w:t>
            </w:r>
            <w:proofErr w:type="gramStart"/>
            <w:r>
              <w:rPr>
                <w:rFonts w:ascii="Times New Roman" w:hAnsi="Times New Roman" w:cs="Times New Roman"/>
                <w:color w:val="000000" w:themeColor="text1"/>
              </w:rPr>
              <w:t>f</w:t>
            </w:r>
            <w:r w:rsidRPr="00A33FE4">
              <w:rPr>
                <w:rFonts w:ascii="Times New Roman" w:hAnsi="Times New Roman" w:cs="Times New Roman"/>
                <w:color w:val="000000" w:themeColor="text1"/>
              </w:rPr>
              <w:t>inal results</w:t>
            </w:r>
            <w:proofErr w:type="gramEnd"/>
            <w:r w:rsidRPr="00A33FE4">
              <w:rPr>
                <w:rFonts w:ascii="Times New Roman" w:hAnsi="Times New Roman" w:cs="Times New Roman"/>
                <w:color w:val="000000" w:themeColor="text1"/>
              </w:rPr>
              <w:t xml:space="preserve"> can be available two years after first publication. Major methodological changes will be carried out for the full length of time series.</w:t>
            </w:r>
          </w:p>
        </w:tc>
      </w:tr>
      <w:tr w:rsidR="00D77562" w:rsidRPr="00493D72" w14:paraId="7B9DD140" w14:textId="77777777" w:rsidTr="00BB1DFF">
        <w:trPr>
          <w:gridAfter w:val="1"/>
          <w:wAfter w:w="851" w:type="dxa"/>
          <w:trHeight w:val="567"/>
        </w:trPr>
        <w:tc>
          <w:tcPr>
            <w:tcW w:w="2471" w:type="dxa"/>
            <w:shd w:val="clear" w:color="auto" w:fill="FFFFCC"/>
            <w:noWrap/>
            <w:vAlign w:val="center"/>
            <w:hideMark/>
          </w:tcPr>
          <w:p w14:paraId="47BD0587" w14:textId="77777777" w:rsidR="00D77562" w:rsidRPr="00493D72" w:rsidRDefault="00D77562" w:rsidP="00D77562">
            <w:pPr>
              <w:spacing w:after="0"/>
              <w:rPr>
                <w:rFonts w:ascii="Times New Roman" w:eastAsia="Times New Roman" w:hAnsi="Times New Roman" w:cs="Times New Roman"/>
                <w:bCs/>
                <w:noProof/>
                <w:color w:val="000000" w:themeColor="text1"/>
                <w:sz w:val="24"/>
                <w:szCs w:val="24"/>
                <w:lang w:val="sq-AL" w:eastAsia="sq-AL"/>
              </w:rPr>
            </w:pPr>
            <w:r w:rsidRPr="00493D72">
              <w:rPr>
                <w:rFonts w:ascii="Times New Roman" w:eastAsia="Times New Roman" w:hAnsi="Times New Roman" w:cs="Times New Roman"/>
                <w:noProof/>
                <w:color w:val="000000" w:themeColor="text1"/>
                <w:sz w:val="24"/>
                <w:szCs w:val="24"/>
                <w:lang w:val="sq-AL" w:eastAsia="sq-AL"/>
              </w:rPr>
              <w:lastRenderedPageBreak/>
              <w:t xml:space="preserve">14.2. </w:t>
            </w:r>
            <w:r w:rsidRPr="00493D72">
              <w:rPr>
                <w:rFonts w:ascii="Times New Roman" w:eastAsia="Times New Roman" w:hAnsi="Times New Roman" w:cs="Times New Roman"/>
                <w:bCs/>
                <w:noProof/>
                <w:color w:val="000000" w:themeColor="text1"/>
                <w:sz w:val="24"/>
                <w:szCs w:val="24"/>
                <w:lang w:val="sq-AL" w:eastAsia="sq-AL"/>
              </w:rPr>
              <w:t>Punctuality</w:t>
            </w:r>
          </w:p>
        </w:tc>
        <w:tc>
          <w:tcPr>
            <w:tcW w:w="7872" w:type="dxa"/>
            <w:vAlign w:val="center"/>
          </w:tcPr>
          <w:p w14:paraId="010C1112" w14:textId="71ABB853" w:rsidR="00FF27AD" w:rsidRDefault="007432D9" w:rsidP="00FF27AD">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The first transmission of data to Eurostat took place in December 2016, starting from first quarter of 2015. Since then, the punctuality of data transmission has been improved strongly. Data flows for Questionnaire T2.1 for the reference year 202</w:t>
            </w:r>
            <w:r w:rsidR="008736BF">
              <w:rPr>
                <w:rFonts w:ascii="Times New Roman" w:hAnsi="Times New Roman" w:cs="Times New Roman"/>
                <w:lang w:eastAsia="nl-NL"/>
              </w:rPr>
              <w:t>5</w:t>
            </w:r>
            <w:r w:rsidRPr="00F56CBD">
              <w:rPr>
                <w:rFonts w:ascii="Times New Roman" w:hAnsi="Times New Roman" w:cs="Times New Roman"/>
                <w:lang w:eastAsia="nl-NL"/>
              </w:rPr>
              <w:t xml:space="preserve"> were transmitted by BOA to Eurostat on time.</w:t>
            </w:r>
          </w:p>
          <w:p w14:paraId="119B62F2" w14:textId="5E857280" w:rsidR="008736BF" w:rsidRPr="00F56CBD" w:rsidRDefault="008736BF" w:rsidP="008736BF">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Data flows for Questionnaire T.1 for the reference year 202</w:t>
            </w:r>
            <w:r>
              <w:rPr>
                <w:rFonts w:ascii="Times New Roman" w:hAnsi="Times New Roman" w:cs="Times New Roman"/>
                <w:lang w:eastAsia="nl-NL"/>
              </w:rPr>
              <w:t>5</w:t>
            </w:r>
            <w:r w:rsidRPr="00F56CBD">
              <w:rPr>
                <w:rFonts w:ascii="Times New Roman" w:hAnsi="Times New Roman" w:cs="Times New Roman"/>
                <w:lang w:eastAsia="nl-NL"/>
              </w:rPr>
              <w:t xml:space="preserve"> were transmitted by BOA </w:t>
            </w:r>
            <w:r>
              <w:rPr>
                <w:rFonts w:ascii="Times New Roman" w:hAnsi="Times New Roman" w:cs="Times New Roman"/>
                <w:lang w:eastAsia="nl-NL"/>
              </w:rPr>
              <w:t>15 days on delay to Eurostat.</w:t>
            </w:r>
          </w:p>
          <w:p w14:paraId="3989EEE0" w14:textId="3AF9179F" w:rsidR="00D77562" w:rsidRPr="00FF27AD" w:rsidRDefault="007432D9" w:rsidP="00FF27AD">
            <w:pPr>
              <w:spacing w:before="30" w:after="30" w:line="240" w:lineRule="auto"/>
              <w:jc w:val="both"/>
              <w:rPr>
                <w:rFonts w:ascii="Times New Roman" w:hAnsi="Times New Roman" w:cs="Times New Roman"/>
                <w:color w:val="000000" w:themeColor="text1"/>
              </w:rPr>
            </w:pPr>
            <w:r w:rsidRPr="00F56CBD">
              <w:rPr>
                <w:rFonts w:ascii="Times New Roman" w:hAnsi="Times New Roman" w:cs="Times New Roman"/>
                <w:lang w:eastAsia="nl-NL"/>
              </w:rPr>
              <w:t xml:space="preserve">Regarding publication of data, it can be mentioned that since the first release of the statistics publications calendar, there have been no occasions on which the release date diverged from the pre-announced date. The next release date will be announced in advance. On the day of publication, the statistical data </w:t>
            </w:r>
            <w:proofErr w:type="gramStart"/>
            <w:r w:rsidRPr="00F56CBD">
              <w:rPr>
                <w:rFonts w:ascii="Times New Roman" w:hAnsi="Times New Roman" w:cs="Times New Roman"/>
                <w:lang w:eastAsia="nl-NL"/>
              </w:rPr>
              <w:t>are</w:t>
            </w:r>
            <w:proofErr w:type="gramEnd"/>
            <w:r w:rsidRPr="00F56CBD">
              <w:rPr>
                <w:rFonts w:ascii="Times New Roman" w:hAnsi="Times New Roman" w:cs="Times New Roman"/>
                <w:lang w:eastAsia="nl-NL"/>
              </w:rPr>
              <w:t xml:space="preserve"> published during the second half of the working day. It is strived for that the frequency of publication of statistics responds to user requirements as much as is possible.</w:t>
            </w:r>
          </w:p>
        </w:tc>
      </w:tr>
      <w:tr w:rsidR="00D77562" w:rsidRPr="00493D72" w14:paraId="4E82E16C"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70718832" w14:textId="77777777" w:rsidR="00D77562" w:rsidRPr="00493D72" w:rsidRDefault="00D77562" w:rsidP="00D77562">
            <w:pPr>
              <w:pStyle w:val="Heading1"/>
              <w:spacing w:before="0"/>
              <w:rPr>
                <w:rFonts w:ascii="Times New Roman" w:eastAsia="Times New Roman" w:hAnsi="Times New Roman" w:cs="Times New Roman"/>
                <w:b w:val="0"/>
                <w:bCs w:val="0"/>
                <w:noProof/>
                <w:color w:val="000000"/>
                <w:sz w:val="24"/>
                <w:szCs w:val="24"/>
                <w:lang w:val="sq-AL" w:eastAsia="sq-AL"/>
              </w:rPr>
            </w:pPr>
            <w:bookmarkStart w:id="14" w:name="_Toc104283934"/>
            <w:r w:rsidRPr="00493D72">
              <w:rPr>
                <w:rFonts w:ascii="Times New Roman" w:eastAsia="Times New Roman" w:hAnsi="Times New Roman" w:cs="Times New Roman"/>
                <w:noProof/>
                <w:color w:val="000000" w:themeColor="text1"/>
                <w:sz w:val="24"/>
                <w:szCs w:val="24"/>
                <w:lang w:val="sq-AL" w:eastAsia="sq-AL"/>
              </w:rPr>
              <w:t>15. Coherence and comparability</w:t>
            </w:r>
            <w:bookmarkEnd w:id="14"/>
          </w:p>
        </w:tc>
      </w:tr>
      <w:tr w:rsidR="00D77562" w:rsidRPr="00493D72" w14:paraId="7EC8E7F1" w14:textId="77777777" w:rsidTr="00BB1DFF">
        <w:trPr>
          <w:gridAfter w:val="1"/>
          <w:wAfter w:w="851" w:type="dxa"/>
          <w:trHeight w:val="567"/>
        </w:trPr>
        <w:tc>
          <w:tcPr>
            <w:tcW w:w="2471" w:type="dxa"/>
            <w:shd w:val="clear" w:color="auto" w:fill="FFFFCC"/>
            <w:noWrap/>
            <w:vAlign w:val="center"/>
            <w:hideMark/>
          </w:tcPr>
          <w:p w14:paraId="0E0EBE6F"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15.1. Comparability - geographical</w:t>
            </w:r>
          </w:p>
        </w:tc>
        <w:tc>
          <w:tcPr>
            <w:tcW w:w="7872" w:type="dxa"/>
          </w:tcPr>
          <w:p w14:paraId="66AC65C3" w14:textId="02D2C9EA" w:rsidR="00D77562" w:rsidRPr="003731D4" w:rsidRDefault="007432D9" w:rsidP="00FF27AD">
            <w:pPr>
              <w:spacing w:before="30" w:after="30" w:line="240" w:lineRule="auto"/>
              <w:jc w:val="both"/>
              <w:rPr>
                <w:sz w:val="24"/>
                <w:lang w:val="en-GB"/>
              </w:rPr>
            </w:pPr>
            <w:r>
              <w:rPr>
                <w:rFonts w:ascii="Times New Roman" w:eastAsia="Times New Roman" w:hAnsi="Times New Roman" w:cs="Times New Roman"/>
                <w:lang w:val="en-GB" w:eastAsia="en-GB"/>
              </w:rPr>
              <w:t>Data on balance of payments</w:t>
            </w:r>
            <w:r w:rsidR="008736BF">
              <w:rPr>
                <w:rFonts w:ascii="Times New Roman" w:eastAsia="Times New Roman" w:hAnsi="Times New Roman" w:cs="Times New Roman"/>
                <w:lang w:val="en-GB" w:eastAsia="en-GB"/>
              </w:rPr>
              <w:t xml:space="preserve"> </w:t>
            </w:r>
            <w:r w:rsidRPr="00A93CB8">
              <w:rPr>
                <w:rFonts w:ascii="Times New Roman" w:eastAsia="Times New Roman" w:hAnsi="Times New Roman" w:cs="Times New Roman"/>
                <w:lang w:val="en-GB" w:eastAsia="en-GB"/>
              </w:rPr>
              <w:t xml:space="preserve">have been compiled according to the Eurostat methodology and comparable internationally. The data are comprehensive and produced </w:t>
            </w:r>
            <w:r>
              <w:rPr>
                <w:rFonts w:ascii="Times New Roman" w:eastAsia="Times New Roman" w:hAnsi="Times New Roman" w:cs="Times New Roman"/>
                <w:lang w:val="en-GB" w:eastAsia="en-GB"/>
              </w:rPr>
              <w:t>in total, partner world</w:t>
            </w:r>
            <w:r w:rsidRPr="00A93CB8">
              <w:rPr>
                <w:rFonts w:ascii="Times New Roman" w:eastAsia="Times New Roman" w:hAnsi="Times New Roman" w:cs="Times New Roman"/>
                <w:lang w:val="en-GB" w:eastAsia="en-GB"/>
              </w:rPr>
              <w:t>. Delivery of data, the value of the completeness indicator amounts to not more than 1% of required cells to be provided to Eurostat due to lack of geographical breakdown of data. No comparability data at detailed geographical level in time being.</w:t>
            </w:r>
          </w:p>
        </w:tc>
      </w:tr>
      <w:tr w:rsidR="00D77562" w:rsidRPr="00493D72" w14:paraId="55B05FF4" w14:textId="77777777" w:rsidTr="00BB1DFF">
        <w:trPr>
          <w:gridAfter w:val="1"/>
          <w:wAfter w:w="851" w:type="dxa"/>
          <w:trHeight w:val="567"/>
        </w:trPr>
        <w:tc>
          <w:tcPr>
            <w:tcW w:w="2471" w:type="dxa"/>
            <w:shd w:val="clear" w:color="auto" w:fill="FFFFCC"/>
            <w:noWrap/>
            <w:vAlign w:val="center"/>
            <w:hideMark/>
          </w:tcPr>
          <w:p w14:paraId="7C76FD49"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15.2. Comparability - over time</w:t>
            </w:r>
          </w:p>
        </w:tc>
        <w:tc>
          <w:tcPr>
            <w:tcW w:w="7872" w:type="dxa"/>
          </w:tcPr>
          <w:p w14:paraId="1A60A778" w14:textId="5FCCA7D7" w:rsidR="007432D9" w:rsidRPr="00F56CBD" w:rsidRDefault="007432D9" w:rsidP="007432D9">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 xml:space="preserve">There exist time series for balance of payments starting from the year 1993. When changes in source data, methodology, or techniques are introduced, historical series are reconstructed as far back as reasonably possible, from 2014 </w:t>
            </w:r>
            <w:r w:rsidR="008736BF" w:rsidRPr="00F56CBD">
              <w:rPr>
                <w:rFonts w:ascii="Times New Roman" w:hAnsi="Times New Roman" w:cs="Times New Roman"/>
                <w:lang w:eastAsia="nl-NL"/>
              </w:rPr>
              <w:t>the BPM6 methodology is used</w:t>
            </w:r>
            <w:r w:rsidRPr="00F56CBD">
              <w:rPr>
                <w:rFonts w:ascii="Times New Roman" w:hAnsi="Times New Roman" w:cs="Times New Roman"/>
                <w:lang w:eastAsia="nl-NL"/>
              </w:rPr>
              <w:t>.</w:t>
            </w:r>
          </w:p>
          <w:p w14:paraId="090563D0" w14:textId="249BBD70" w:rsidR="007432D9" w:rsidRPr="00F56CBD" w:rsidRDefault="007432D9" w:rsidP="007432D9">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 xml:space="preserve">Time series are checked </w:t>
            </w:r>
            <w:r w:rsidR="00FF27AD" w:rsidRPr="00F56CBD">
              <w:rPr>
                <w:rFonts w:ascii="Times New Roman" w:hAnsi="Times New Roman" w:cs="Times New Roman"/>
                <w:lang w:eastAsia="nl-NL"/>
              </w:rPr>
              <w:t>to</w:t>
            </w:r>
            <w:r w:rsidRPr="00F56CBD">
              <w:rPr>
                <w:rFonts w:ascii="Times New Roman" w:hAnsi="Times New Roman" w:cs="Times New Roman"/>
                <w:lang w:eastAsia="nl-NL"/>
              </w:rPr>
              <w:t xml:space="preserve"> avoid possible outliers.</w:t>
            </w:r>
          </w:p>
          <w:p w14:paraId="7BDFD9B8" w14:textId="2ED2E566" w:rsidR="00D77562" w:rsidRPr="003731D4" w:rsidRDefault="007432D9" w:rsidP="00F56CBD">
            <w:pPr>
              <w:spacing w:before="30" w:after="30" w:line="240" w:lineRule="auto"/>
              <w:jc w:val="both"/>
              <w:rPr>
                <w:sz w:val="24"/>
                <w:lang w:val="en-GB"/>
              </w:rPr>
            </w:pPr>
            <w:r w:rsidRPr="00F56CBD">
              <w:rPr>
                <w:rFonts w:ascii="Times New Roman" w:hAnsi="Times New Roman" w:cs="Times New Roman"/>
                <w:lang w:eastAsia="nl-NL"/>
              </w:rPr>
              <w:t>Instances of perceived inter-temporal inconsistencies are individually examined.</w:t>
            </w:r>
          </w:p>
        </w:tc>
      </w:tr>
      <w:tr w:rsidR="00D77562" w:rsidRPr="00493D72" w14:paraId="2FE137D4" w14:textId="77777777" w:rsidTr="00BB1DFF">
        <w:trPr>
          <w:gridAfter w:val="1"/>
          <w:wAfter w:w="851" w:type="dxa"/>
          <w:trHeight w:val="567"/>
        </w:trPr>
        <w:tc>
          <w:tcPr>
            <w:tcW w:w="2471" w:type="dxa"/>
            <w:shd w:val="clear" w:color="auto" w:fill="FFFFCC"/>
            <w:noWrap/>
            <w:vAlign w:val="center"/>
            <w:hideMark/>
          </w:tcPr>
          <w:p w14:paraId="6A5DF412"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15.3. Coherence - cross domain</w:t>
            </w:r>
          </w:p>
        </w:tc>
        <w:tc>
          <w:tcPr>
            <w:tcW w:w="7872" w:type="dxa"/>
            <w:noWrap/>
          </w:tcPr>
          <w:p w14:paraId="50FCD06A" w14:textId="77777777" w:rsidR="007432D9" w:rsidRPr="00F56CBD" w:rsidRDefault="007432D9" w:rsidP="007432D9">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As the concepts for the balance of payments and to national accounts are now methodologically consistent with one another, this assessment of consistency aims to show how far these two accounting frameworks have been consolidated with each other.</w:t>
            </w:r>
          </w:p>
          <w:p w14:paraId="31694DFA" w14:textId="01C55BBC" w:rsidR="00E2522D" w:rsidRPr="00E2522D" w:rsidRDefault="007432D9" w:rsidP="00F56CBD">
            <w:pPr>
              <w:spacing w:before="30" w:after="30" w:line="240" w:lineRule="auto"/>
              <w:jc w:val="both"/>
              <w:rPr>
                <w:rFonts w:ascii="Times New Roman" w:eastAsia="Times New Roman" w:hAnsi="Times New Roman" w:cs="Times New Roman"/>
                <w:lang w:val="en-GB" w:eastAsia="en-GB"/>
              </w:rPr>
            </w:pPr>
            <w:r w:rsidRPr="00F56CBD">
              <w:rPr>
                <w:rFonts w:ascii="Times New Roman" w:hAnsi="Times New Roman" w:cs="Times New Roman"/>
                <w:lang w:eastAsia="nl-NL"/>
              </w:rPr>
              <w:t>Bank of Albania has sole responsibility for data collection and compilation of the balance of payments including the international trade in services. INSTAT uses current account data from the balance of payments statistics which implies that no discrepancies between external sector and national accounts exist for this category.</w:t>
            </w:r>
            <w:r w:rsidRPr="00490C42">
              <w:rPr>
                <w:rFonts w:ascii="Times New Roman" w:eastAsia="Times New Roman" w:hAnsi="Times New Roman" w:cs="Times New Roman"/>
                <w:lang w:val="en-GB" w:eastAsia="en-GB"/>
              </w:rPr>
              <w:t xml:space="preserve">    </w:t>
            </w:r>
          </w:p>
        </w:tc>
      </w:tr>
      <w:tr w:rsidR="00D77562" w:rsidRPr="00493D72" w14:paraId="587823B7" w14:textId="77777777" w:rsidTr="00BB1DFF">
        <w:trPr>
          <w:gridAfter w:val="1"/>
          <w:wAfter w:w="851" w:type="dxa"/>
          <w:trHeight w:val="567"/>
        </w:trPr>
        <w:tc>
          <w:tcPr>
            <w:tcW w:w="2471" w:type="dxa"/>
            <w:shd w:val="clear" w:color="auto" w:fill="FFFFCC"/>
            <w:noWrap/>
            <w:vAlign w:val="center"/>
            <w:hideMark/>
          </w:tcPr>
          <w:p w14:paraId="6E2788D8"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15.4. Coherence - internal</w:t>
            </w:r>
          </w:p>
        </w:tc>
        <w:tc>
          <w:tcPr>
            <w:tcW w:w="7872" w:type="dxa"/>
          </w:tcPr>
          <w:p w14:paraId="777647AD" w14:textId="77777777" w:rsidR="007432D9" w:rsidRPr="00F56CBD" w:rsidRDefault="007432D9" w:rsidP="007432D9">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Internal consistency is measured also by evaluating the respect of integrity rules, coherence between the quarterly and annual data, The internal consistency of the data was checked before finalizing the data.</w:t>
            </w:r>
          </w:p>
          <w:p w14:paraId="7DB9B595" w14:textId="0FA8B5A8" w:rsidR="00D77562" w:rsidRPr="003731D4" w:rsidRDefault="007432D9" w:rsidP="00F56CBD">
            <w:pPr>
              <w:spacing w:before="30" w:after="30" w:line="240" w:lineRule="auto"/>
              <w:jc w:val="both"/>
              <w:rPr>
                <w:sz w:val="24"/>
                <w:lang w:val="en-GB"/>
              </w:rPr>
            </w:pPr>
            <w:r w:rsidRPr="00F56CBD">
              <w:rPr>
                <w:rFonts w:ascii="Times New Roman" w:hAnsi="Times New Roman" w:cs="Times New Roman"/>
                <w:lang w:eastAsia="nl-NL"/>
              </w:rPr>
              <w:lastRenderedPageBreak/>
              <w:t xml:space="preserve">Integrity rules state that the sum of the components should be equal to the aggregates. The integrity rules are defined by a set of equations included in the BOP </w:t>
            </w:r>
            <w:proofErr w:type="spellStart"/>
            <w:r w:rsidRPr="00F56CBD">
              <w:rPr>
                <w:rFonts w:ascii="Times New Roman" w:hAnsi="Times New Roman" w:cs="Times New Roman"/>
                <w:lang w:eastAsia="nl-NL"/>
              </w:rPr>
              <w:t>Vademecum</w:t>
            </w:r>
            <w:proofErr w:type="spellEnd"/>
            <w:r w:rsidRPr="00F56CBD">
              <w:rPr>
                <w:rFonts w:ascii="Times New Roman" w:hAnsi="Times New Roman" w:cs="Times New Roman"/>
                <w:lang w:eastAsia="nl-NL"/>
              </w:rPr>
              <w:t>, which should be respected in the datasets transmitted to Eurostat.</w:t>
            </w:r>
          </w:p>
        </w:tc>
      </w:tr>
      <w:tr w:rsidR="00D77562" w:rsidRPr="00493D72" w14:paraId="59C19F15" w14:textId="77777777" w:rsidTr="001178D7">
        <w:trPr>
          <w:gridAfter w:val="1"/>
          <w:wAfter w:w="851" w:type="dxa"/>
          <w:trHeight w:val="611"/>
        </w:trPr>
        <w:tc>
          <w:tcPr>
            <w:tcW w:w="2471" w:type="dxa"/>
            <w:shd w:val="clear" w:color="auto" w:fill="C5E0B3" w:themeFill="accent6" w:themeFillTint="66"/>
            <w:vAlign w:val="center"/>
            <w:hideMark/>
          </w:tcPr>
          <w:p w14:paraId="13FF16CC" w14:textId="77777777" w:rsidR="00D77562" w:rsidRPr="00493D72" w:rsidRDefault="00D77562" w:rsidP="00D77562">
            <w:pPr>
              <w:pStyle w:val="Heading1"/>
              <w:spacing w:before="0"/>
              <w:rPr>
                <w:rFonts w:ascii="Times New Roman" w:eastAsia="Times New Roman" w:hAnsi="Times New Roman" w:cs="Times New Roman"/>
                <w:b w:val="0"/>
                <w:bCs w:val="0"/>
                <w:noProof/>
                <w:color w:val="000000"/>
                <w:sz w:val="24"/>
                <w:szCs w:val="24"/>
                <w:lang w:val="sq-AL" w:eastAsia="sq-AL"/>
              </w:rPr>
            </w:pPr>
            <w:bookmarkStart w:id="15" w:name="_Toc104283935"/>
            <w:r w:rsidRPr="00493D72">
              <w:rPr>
                <w:rFonts w:ascii="Times New Roman" w:eastAsia="Times New Roman" w:hAnsi="Times New Roman" w:cs="Times New Roman"/>
                <w:noProof/>
                <w:color w:val="000000" w:themeColor="text1"/>
                <w:sz w:val="24"/>
                <w:szCs w:val="24"/>
                <w:lang w:val="sq-AL" w:eastAsia="sq-AL"/>
              </w:rPr>
              <w:lastRenderedPageBreak/>
              <w:t>16.</w:t>
            </w:r>
            <w:r w:rsidRPr="00493D72">
              <w:rPr>
                <w:rFonts w:ascii="Times New Roman" w:eastAsia="Times New Roman" w:hAnsi="Times New Roman" w:cs="Times New Roman"/>
                <w:b w:val="0"/>
                <w:bCs w:val="0"/>
                <w:noProof/>
                <w:color w:val="000000"/>
                <w:sz w:val="24"/>
                <w:szCs w:val="24"/>
                <w:lang w:val="sq-AL" w:eastAsia="sq-AL"/>
              </w:rPr>
              <w:t xml:space="preserve"> </w:t>
            </w:r>
            <w:r w:rsidRPr="00493D72">
              <w:rPr>
                <w:rFonts w:ascii="Times New Roman" w:eastAsia="Times New Roman" w:hAnsi="Times New Roman" w:cs="Times New Roman"/>
                <w:noProof/>
                <w:color w:val="000000" w:themeColor="text1"/>
                <w:sz w:val="24"/>
                <w:szCs w:val="24"/>
                <w:lang w:val="sq-AL" w:eastAsia="sq-AL"/>
              </w:rPr>
              <w:t>Cost and burden</w:t>
            </w:r>
            <w:bookmarkEnd w:id="15"/>
          </w:p>
        </w:tc>
        <w:tc>
          <w:tcPr>
            <w:tcW w:w="7872" w:type="dxa"/>
            <w:vAlign w:val="center"/>
          </w:tcPr>
          <w:p w14:paraId="5F22A134" w14:textId="6B336E01" w:rsidR="00E51718" w:rsidRPr="008736BF" w:rsidRDefault="00E51718" w:rsidP="00E51718">
            <w:pPr>
              <w:spacing w:before="30" w:after="30" w:line="240" w:lineRule="auto"/>
              <w:jc w:val="both"/>
              <w:rPr>
                <w:rFonts w:ascii="Times New Roman" w:hAnsi="Times New Roman" w:cs="Times New Roman"/>
                <w:lang w:eastAsia="nl-NL"/>
              </w:rPr>
            </w:pPr>
            <w:r w:rsidRPr="008736BF">
              <w:rPr>
                <w:rFonts w:ascii="Times New Roman" w:hAnsi="Times New Roman" w:cs="Times New Roman"/>
                <w:lang w:eastAsia="nl-NL"/>
              </w:rPr>
              <w:t>Staff working for balance of payments are 5 employees.</w:t>
            </w:r>
          </w:p>
          <w:p w14:paraId="3C1A587E" w14:textId="784DE3A1" w:rsidR="00D77562" w:rsidRPr="008736BF" w:rsidRDefault="00D77562" w:rsidP="00FF27AD">
            <w:pPr>
              <w:spacing w:before="30" w:after="30" w:line="240" w:lineRule="auto"/>
              <w:jc w:val="both"/>
              <w:rPr>
                <w:rFonts w:ascii="Times New Roman" w:hAnsi="Times New Roman" w:cs="Times New Roman"/>
                <w:lang w:eastAsia="nl-NL"/>
              </w:rPr>
            </w:pPr>
          </w:p>
        </w:tc>
      </w:tr>
      <w:tr w:rsidR="00D77562" w:rsidRPr="00493D72" w14:paraId="5C4B261A" w14:textId="77777777" w:rsidTr="00BB1DFF">
        <w:trPr>
          <w:gridAfter w:val="1"/>
          <w:wAfter w:w="851" w:type="dxa"/>
          <w:trHeight w:val="567"/>
        </w:trPr>
        <w:tc>
          <w:tcPr>
            <w:tcW w:w="10343" w:type="dxa"/>
            <w:gridSpan w:val="2"/>
            <w:shd w:val="clear" w:color="auto" w:fill="C5E0B3" w:themeFill="accent6" w:themeFillTint="66"/>
            <w:vAlign w:val="center"/>
            <w:hideMark/>
          </w:tcPr>
          <w:p w14:paraId="7400C324" w14:textId="77777777" w:rsidR="00D77562" w:rsidRPr="00493D72" w:rsidRDefault="00D77562" w:rsidP="00D77562">
            <w:pPr>
              <w:pStyle w:val="Heading1"/>
              <w:spacing w:before="0"/>
              <w:rPr>
                <w:rFonts w:ascii="Times New Roman" w:eastAsia="Times New Roman" w:hAnsi="Times New Roman" w:cs="Times New Roman"/>
                <w:noProof/>
                <w:color w:val="000000"/>
                <w:sz w:val="24"/>
                <w:szCs w:val="24"/>
                <w:lang w:val="sq-AL" w:eastAsia="sq-AL"/>
              </w:rPr>
            </w:pPr>
            <w:bookmarkStart w:id="16" w:name="_Toc104283936"/>
            <w:r w:rsidRPr="00493D72">
              <w:rPr>
                <w:rFonts w:ascii="Times New Roman" w:eastAsia="Times New Roman" w:hAnsi="Times New Roman" w:cs="Times New Roman"/>
                <w:noProof/>
                <w:color w:val="000000" w:themeColor="text1"/>
                <w:sz w:val="24"/>
                <w:szCs w:val="24"/>
                <w:lang w:val="sq-AL" w:eastAsia="sq-AL"/>
              </w:rPr>
              <w:t>17.</w:t>
            </w:r>
            <w:r w:rsidRPr="00493D72">
              <w:rPr>
                <w:rFonts w:ascii="Times New Roman" w:eastAsia="Times New Roman" w:hAnsi="Times New Roman" w:cs="Times New Roman"/>
                <w:b w:val="0"/>
                <w:bCs w:val="0"/>
                <w:noProof/>
                <w:color w:val="000000"/>
                <w:sz w:val="24"/>
                <w:szCs w:val="24"/>
                <w:lang w:val="sq-AL" w:eastAsia="sq-AL"/>
              </w:rPr>
              <w:t xml:space="preserve"> </w:t>
            </w:r>
            <w:r w:rsidRPr="00493D72">
              <w:rPr>
                <w:rFonts w:ascii="Times New Roman" w:eastAsia="Times New Roman" w:hAnsi="Times New Roman" w:cs="Times New Roman"/>
                <w:noProof/>
                <w:color w:val="000000" w:themeColor="text1"/>
                <w:sz w:val="24"/>
                <w:szCs w:val="24"/>
                <w:lang w:val="sq-AL" w:eastAsia="sq-AL"/>
              </w:rPr>
              <w:t>Data revision</w:t>
            </w:r>
            <w:bookmarkEnd w:id="16"/>
          </w:p>
        </w:tc>
      </w:tr>
      <w:tr w:rsidR="00D77562" w:rsidRPr="00493D72" w14:paraId="181F56E2" w14:textId="77777777" w:rsidTr="00BB1DFF">
        <w:trPr>
          <w:gridAfter w:val="1"/>
          <w:wAfter w:w="851" w:type="dxa"/>
          <w:trHeight w:val="567"/>
        </w:trPr>
        <w:tc>
          <w:tcPr>
            <w:tcW w:w="2471" w:type="dxa"/>
            <w:shd w:val="clear" w:color="auto" w:fill="FFFFCC"/>
            <w:noWrap/>
            <w:vAlign w:val="center"/>
            <w:hideMark/>
          </w:tcPr>
          <w:p w14:paraId="4A018E2F" w14:textId="77777777" w:rsidR="00D77562" w:rsidRPr="001178D7" w:rsidRDefault="00D77562" w:rsidP="00D77562">
            <w:pPr>
              <w:spacing w:after="0"/>
              <w:rPr>
                <w:rFonts w:ascii="Times New Roman" w:eastAsia="Times New Roman" w:hAnsi="Times New Roman" w:cs="Times New Roman"/>
                <w:noProof/>
                <w:color w:val="000000"/>
                <w:sz w:val="20"/>
                <w:szCs w:val="20"/>
                <w:lang w:val="sq-AL" w:eastAsia="sq-AL"/>
              </w:rPr>
            </w:pPr>
            <w:bookmarkStart w:id="17" w:name="_Hlk166490529"/>
            <w:r w:rsidRPr="005A1732">
              <w:rPr>
                <w:rFonts w:ascii="Times New Roman" w:eastAsia="Times New Roman" w:hAnsi="Times New Roman" w:cs="Times New Roman"/>
                <w:noProof/>
                <w:color w:val="000000"/>
                <w:sz w:val="24"/>
                <w:szCs w:val="24"/>
                <w:lang w:val="sq-AL" w:eastAsia="sq-AL"/>
              </w:rPr>
              <w:t>17.1. Data revision - policy</w:t>
            </w:r>
          </w:p>
        </w:tc>
        <w:tc>
          <w:tcPr>
            <w:tcW w:w="7872" w:type="dxa"/>
          </w:tcPr>
          <w:p w14:paraId="4F3CB45A" w14:textId="77777777" w:rsidR="007432D9" w:rsidRPr="001178D7" w:rsidRDefault="007432D9" w:rsidP="007432D9">
            <w:pPr>
              <w:spacing w:before="30" w:after="30"/>
              <w:jc w:val="both"/>
              <w:rPr>
                <w:rFonts w:ascii="Times New Roman" w:hAnsi="Times New Roman" w:cs="Times New Roman"/>
                <w:lang w:eastAsia="nl-NL"/>
              </w:rPr>
            </w:pPr>
            <w:r w:rsidRPr="001178D7">
              <w:rPr>
                <w:rFonts w:ascii="Times New Roman" w:hAnsi="Times New Roman" w:cs="Times New Roman"/>
                <w:lang w:eastAsia="nl-NL"/>
              </w:rPr>
              <w:t xml:space="preserve">The revision procedure is predetermined, consistent in time and available to public. The revision calendar, available at the official website of Bank of Albania, informs the users in advance regarding possible revisions of statistical indicators. </w:t>
            </w:r>
          </w:p>
          <w:p w14:paraId="66DFD249" w14:textId="77777777" w:rsidR="007432D9" w:rsidRPr="001178D7" w:rsidRDefault="007432D9" w:rsidP="007432D9">
            <w:pPr>
              <w:spacing w:before="30" w:after="30"/>
              <w:jc w:val="both"/>
              <w:rPr>
                <w:rFonts w:ascii="Times New Roman" w:hAnsi="Times New Roman" w:cs="Times New Roman"/>
                <w:lang w:eastAsia="nl-NL"/>
              </w:rPr>
            </w:pPr>
            <w:r w:rsidRPr="001178D7">
              <w:rPr>
                <w:rFonts w:ascii="Times New Roman" w:hAnsi="Times New Roman" w:cs="Times New Roman"/>
                <w:lang w:eastAsia="nl-NL"/>
              </w:rPr>
              <w:t>The revision policy by Bank of Albania follows a consistent and transparent publication calendar where the revisions cycle is predetermined and available to public. The revision policy is in accordance with main principles established by the European Central Bank, Data Quality Assessment Framework and EUROSTAT and as such are being reflected in the Code of Practice of Bank of Albania Statistics.</w:t>
            </w:r>
          </w:p>
          <w:p w14:paraId="33932272" w14:textId="77777777" w:rsidR="007432D9" w:rsidRPr="001178D7" w:rsidRDefault="007432D9" w:rsidP="007432D9">
            <w:pPr>
              <w:spacing w:before="30" w:after="30"/>
              <w:jc w:val="both"/>
              <w:rPr>
                <w:rFonts w:ascii="Times New Roman" w:hAnsi="Times New Roman" w:cs="Times New Roman"/>
                <w:lang w:eastAsia="nl-NL"/>
              </w:rPr>
            </w:pPr>
            <w:r w:rsidRPr="001178D7">
              <w:rPr>
                <w:rFonts w:ascii="Times New Roman" w:hAnsi="Times New Roman" w:cs="Times New Roman"/>
                <w:lang w:eastAsia="nl-NL"/>
              </w:rPr>
              <w:t xml:space="preserve">The main principles include the following: </w:t>
            </w:r>
          </w:p>
          <w:p w14:paraId="2E9D46C8" w14:textId="48D519EF" w:rsidR="007432D9" w:rsidRPr="001178D7" w:rsidRDefault="007432D9" w:rsidP="007432D9">
            <w:pPr>
              <w:spacing w:before="30" w:after="30"/>
              <w:jc w:val="both"/>
              <w:rPr>
                <w:rFonts w:ascii="Times New Roman" w:hAnsi="Times New Roman" w:cs="Times New Roman"/>
                <w:lang w:eastAsia="nl-NL"/>
              </w:rPr>
            </w:pPr>
            <w:r w:rsidRPr="001178D7">
              <w:rPr>
                <w:rFonts w:ascii="Times New Roman" w:hAnsi="Times New Roman" w:cs="Times New Roman"/>
                <w:lang w:eastAsia="nl-NL"/>
              </w:rPr>
              <w:t>• Revisions follow a rational procedure – revisions of already published statistical data are limited to only those cases when revisions change material value of statistics.</w:t>
            </w:r>
          </w:p>
          <w:p w14:paraId="62B1388D" w14:textId="77777777" w:rsidR="007432D9" w:rsidRPr="001178D7" w:rsidRDefault="007432D9" w:rsidP="007432D9">
            <w:pPr>
              <w:spacing w:before="30" w:after="30"/>
              <w:jc w:val="both"/>
              <w:rPr>
                <w:rFonts w:ascii="Times New Roman" w:hAnsi="Times New Roman" w:cs="Times New Roman"/>
                <w:lang w:eastAsia="nl-NL"/>
              </w:rPr>
            </w:pPr>
            <w:r w:rsidRPr="001178D7">
              <w:rPr>
                <w:rFonts w:ascii="Times New Roman" w:hAnsi="Times New Roman" w:cs="Times New Roman"/>
                <w:lang w:eastAsia="nl-NL"/>
              </w:rPr>
              <w:t xml:space="preserve">• Revisions include explanatory notes – when historic statistical data already published include major revisions, the revised statistics are accompanied by explanatory notes on major indicators revised. </w:t>
            </w:r>
          </w:p>
          <w:p w14:paraId="4B6A68B3" w14:textId="4C3F67AE" w:rsidR="001178D7" w:rsidRPr="001178D7" w:rsidRDefault="007432D9" w:rsidP="007432D9">
            <w:pPr>
              <w:spacing w:before="30" w:after="30"/>
              <w:jc w:val="both"/>
              <w:rPr>
                <w:rFonts w:ascii="Times New Roman" w:hAnsi="Times New Roman" w:cs="Times New Roman"/>
                <w:lang w:eastAsia="nl-NL"/>
              </w:rPr>
            </w:pPr>
            <w:r w:rsidRPr="001178D7">
              <w:rPr>
                <w:rFonts w:ascii="Times New Roman" w:hAnsi="Times New Roman" w:cs="Times New Roman"/>
                <w:lang w:eastAsia="nl-NL"/>
              </w:rPr>
              <w:t>• Revisions are planned of time – Statistics of Bank of Albania are revised in accordance with the publication calendar published at the beginning of each calendar year at the official website of Bank of Albania. The procedure to be followed is summarized in the</w:t>
            </w:r>
            <w:r w:rsidR="001178D7" w:rsidRPr="001178D7">
              <w:rPr>
                <w:rFonts w:ascii="Times New Roman" w:hAnsi="Times New Roman" w:cs="Times New Roman"/>
                <w:lang w:eastAsia="nl-NL"/>
              </w:rPr>
              <w:t xml:space="preserve"> </w:t>
            </w:r>
          </w:p>
          <w:p w14:paraId="38415590" w14:textId="3D7C53B9" w:rsidR="00E2522D" w:rsidRPr="001178D7" w:rsidRDefault="001178D7" w:rsidP="007432D9">
            <w:pPr>
              <w:spacing w:before="30" w:after="30"/>
              <w:jc w:val="both"/>
              <w:rPr>
                <w:rFonts w:ascii="Times New Roman" w:hAnsi="Times New Roman" w:cs="Times New Roman"/>
                <w:lang w:eastAsia="nl-NL"/>
              </w:rPr>
            </w:pPr>
            <w:r w:rsidRPr="001178D7">
              <w:rPr>
                <w:rFonts w:ascii="Times New Roman" w:hAnsi="Times New Roman" w:cs="Times New Roman"/>
                <w:lang w:eastAsia="nl-NL"/>
              </w:rPr>
              <w:t>table below.</w:t>
            </w:r>
          </w:p>
          <w:p w14:paraId="43D36784" w14:textId="241F0AAE" w:rsidR="007432D9" w:rsidRPr="001178D7" w:rsidRDefault="001178D7" w:rsidP="007432D9">
            <w:pPr>
              <w:spacing w:before="30" w:after="30"/>
              <w:jc w:val="both"/>
              <w:rPr>
                <w:rFonts w:ascii="Times New Roman" w:hAnsi="Times New Roman" w:cs="Times New Roman"/>
                <w:sz w:val="20"/>
                <w:szCs w:val="20"/>
                <w:lang w:eastAsia="nl-NL"/>
              </w:rPr>
            </w:pPr>
            <w:r w:rsidRPr="001178D7">
              <w:rPr>
                <w:rFonts w:ascii="Times New Roman" w:hAnsi="Times New Roman" w:cs="Times New Roman"/>
                <w:sz w:val="20"/>
                <w:szCs w:val="20"/>
                <w:lang w:eastAsia="nl-NL"/>
              </w:rPr>
              <w:t>* Note: “Q” stands for quarterly, “A” for current year and “A-1” for previous year.</w:t>
            </w:r>
          </w:p>
          <w:tbl>
            <w:tblPr>
              <w:tblpPr w:leftFromText="180" w:rightFromText="180" w:vertAnchor="text" w:horzAnchor="margin" w:tblpY="-114"/>
              <w:tblOverlap w:val="never"/>
              <w:tblW w:w="7682" w:type="dxa"/>
              <w:tblLook w:val="04A0" w:firstRow="1" w:lastRow="0" w:firstColumn="1" w:lastColumn="0" w:noHBand="0" w:noVBand="1"/>
            </w:tblPr>
            <w:tblGrid>
              <w:gridCol w:w="1536"/>
              <w:gridCol w:w="1536"/>
              <w:gridCol w:w="1536"/>
              <w:gridCol w:w="1537"/>
              <w:gridCol w:w="1537"/>
            </w:tblGrid>
            <w:tr w:rsidR="007432D9" w:rsidRPr="001178D7" w14:paraId="6EDD9B86" w14:textId="77777777" w:rsidTr="007432D9">
              <w:trPr>
                <w:trHeight w:val="295"/>
              </w:trPr>
              <w:tc>
                <w:tcPr>
                  <w:tcW w:w="1536" w:type="dxa"/>
                </w:tcPr>
                <w:p w14:paraId="534DC739" w14:textId="77777777" w:rsidR="007432D9" w:rsidRPr="001178D7" w:rsidRDefault="007432D9" w:rsidP="007432D9">
                  <w:pPr>
                    <w:ind w:left="420"/>
                    <w:rPr>
                      <w:rFonts w:ascii="Times New Roman" w:hAnsi="Times New Roman"/>
                      <w:color w:val="2E74B5" w:themeColor="accent5" w:themeShade="BF"/>
                      <w:sz w:val="20"/>
                      <w:szCs w:val="20"/>
                    </w:rPr>
                  </w:pPr>
                  <w:r w:rsidRPr="001178D7">
                    <w:rPr>
                      <w:rFonts w:ascii="Times New Roman" w:hAnsi="Times New Roman"/>
                      <w:color w:val="000000" w:themeColor="text1"/>
                      <w:sz w:val="20"/>
                      <w:szCs w:val="20"/>
                    </w:rPr>
                    <w:lastRenderedPageBreak/>
                    <w:t>Statistics</w:t>
                  </w:r>
                </w:p>
              </w:tc>
              <w:tc>
                <w:tcPr>
                  <w:tcW w:w="1536" w:type="dxa"/>
                </w:tcPr>
                <w:p w14:paraId="69E0BA09"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sz w:val="20"/>
                      <w:szCs w:val="20"/>
                    </w:rPr>
                    <w:t>Periodicity</w:t>
                  </w:r>
                </w:p>
              </w:tc>
              <w:tc>
                <w:tcPr>
                  <w:tcW w:w="1536" w:type="dxa"/>
                </w:tcPr>
                <w:p w14:paraId="6D4DCD6C"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color w:val="000000" w:themeColor="text1"/>
                      <w:sz w:val="20"/>
                      <w:szCs w:val="20"/>
                    </w:rPr>
                    <w:t>Publication date</w:t>
                  </w:r>
                </w:p>
              </w:tc>
              <w:tc>
                <w:tcPr>
                  <w:tcW w:w="1537" w:type="dxa"/>
                </w:tcPr>
                <w:p w14:paraId="5CCEA67D"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color w:val="000000" w:themeColor="text1"/>
                      <w:sz w:val="20"/>
                      <w:szCs w:val="20"/>
                    </w:rPr>
                    <w:t>Reference period*</w:t>
                  </w:r>
                </w:p>
              </w:tc>
              <w:tc>
                <w:tcPr>
                  <w:tcW w:w="1537" w:type="dxa"/>
                </w:tcPr>
                <w:p w14:paraId="7ED5E5CB"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sz w:val="20"/>
                      <w:szCs w:val="20"/>
                    </w:rPr>
                    <w:t>Reference period revisions</w:t>
                  </w:r>
                </w:p>
              </w:tc>
            </w:tr>
            <w:tr w:rsidR="007432D9" w:rsidRPr="001178D7" w14:paraId="3CF40679" w14:textId="77777777" w:rsidTr="007432D9">
              <w:trPr>
                <w:trHeight w:val="1278"/>
              </w:trPr>
              <w:tc>
                <w:tcPr>
                  <w:tcW w:w="1536" w:type="dxa"/>
                  <w:vMerge w:val="restart"/>
                </w:tcPr>
                <w:p w14:paraId="46A44A68" w14:textId="77777777" w:rsidR="007432D9" w:rsidRPr="001178D7" w:rsidRDefault="007432D9" w:rsidP="007432D9">
                  <w:pPr>
                    <w:jc w:val="center"/>
                    <w:rPr>
                      <w:rFonts w:ascii="Times New Roman" w:hAnsi="Times New Roman"/>
                      <w:color w:val="2E74B5" w:themeColor="accent5" w:themeShade="BF"/>
                      <w:sz w:val="20"/>
                      <w:szCs w:val="20"/>
                    </w:rPr>
                  </w:pPr>
                </w:p>
                <w:p w14:paraId="27C752D2" w14:textId="77777777" w:rsidR="007432D9" w:rsidRPr="001178D7" w:rsidRDefault="007432D9" w:rsidP="007432D9">
                  <w:pPr>
                    <w:jc w:val="center"/>
                    <w:rPr>
                      <w:rFonts w:ascii="Times New Roman" w:hAnsi="Times New Roman"/>
                      <w:color w:val="2E74B5" w:themeColor="accent5" w:themeShade="BF"/>
                      <w:sz w:val="20"/>
                      <w:szCs w:val="20"/>
                    </w:rPr>
                  </w:pPr>
                </w:p>
                <w:p w14:paraId="24C1105E" w14:textId="77777777" w:rsidR="007432D9" w:rsidRPr="001178D7" w:rsidRDefault="007432D9" w:rsidP="007432D9">
                  <w:pPr>
                    <w:jc w:val="center"/>
                    <w:rPr>
                      <w:rFonts w:ascii="Times New Roman" w:hAnsi="Times New Roman"/>
                      <w:color w:val="2E74B5" w:themeColor="accent5" w:themeShade="BF"/>
                      <w:sz w:val="20"/>
                      <w:szCs w:val="20"/>
                    </w:rPr>
                  </w:pPr>
                </w:p>
                <w:p w14:paraId="1D9DA3F7" w14:textId="77777777" w:rsidR="007432D9" w:rsidRPr="001178D7" w:rsidRDefault="007432D9" w:rsidP="007432D9">
                  <w:pPr>
                    <w:jc w:val="center"/>
                    <w:rPr>
                      <w:rFonts w:ascii="Times New Roman" w:hAnsi="Times New Roman"/>
                      <w:color w:val="2E74B5" w:themeColor="accent5" w:themeShade="BF"/>
                      <w:sz w:val="20"/>
                      <w:szCs w:val="20"/>
                    </w:rPr>
                  </w:pPr>
                </w:p>
                <w:p w14:paraId="43A80EF3" w14:textId="77777777" w:rsidR="007432D9" w:rsidRPr="001178D7" w:rsidRDefault="007432D9" w:rsidP="007432D9">
                  <w:pPr>
                    <w:jc w:val="center"/>
                    <w:rPr>
                      <w:rFonts w:ascii="Times New Roman" w:hAnsi="Times New Roman"/>
                      <w:color w:val="2E74B5" w:themeColor="accent5" w:themeShade="BF"/>
                      <w:sz w:val="20"/>
                      <w:szCs w:val="20"/>
                    </w:rPr>
                  </w:pPr>
                </w:p>
                <w:p w14:paraId="2152606A" w14:textId="77777777" w:rsidR="007432D9" w:rsidRPr="001178D7" w:rsidRDefault="007432D9" w:rsidP="007432D9">
                  <w:pPr>
                    <w:jc w:val="center"/>
                    <w:rPr>
                      <w:rFonts w:ascii="Times New Roman" w:hAnsi="Times New Roman"/>
                      <w:color w:val="2E74B5" w:themeColor="accent5" w:themeShade="BF"/>
                      <w:sz w:val="20"/>
                      <w:szCs w:val="20"/>
                    </w:rPr>
                  </w:pPr>
                  <w:r w:rsidRPr="001178D7">
                    <w:rPr>
                      <w:rFonts w:ascii="Times New Roman" w:hAnsi="Times New Roman"/>
                      <w:sz w:val="20"/>
                      <w:szCs w:val="20"/>
                    </w:rPr>
                    <w:t>Balance of Payments</w:t>
                  </w:r>
                </w:p>
              </w:tc>
              <w:tc>
                <w:tcPr>
                  <w:tcW w:w="1536" w:type="dxa"/>
                  <w:vMerge w:val="restart"/>
                </w:tcPr>
                <w:p w14:paraId="704977B4" w14:textId="77777777" w:rsidR="007432D9" w:rsidRPr="001178D7" w:rsidRDefault="007432D9" w:rsidP="007432D9">
                  <w:pPr>
                    <w:jc w:val="center"/>
                    <w:rPr>
                      <w:rFonts w:ascii="Times New Roman" w:hAnsi="Times New Roman"/>
                      <w:color w:val="2E74B5" w:themeColor="accent5" w:themeShade="BF"/>
                      <w:sz w:val="20"/>
                      <w:szCs w:val="20"/>
                    </w:rPr>
                  </w:pPr>
                </w:p>
                <w:p w14:paraId="4D82333E" w14:textId="77777777" w:rsidR="007432D9" w:rsidRPr="001178D7" w:rsidRDefault="007432D9" w:rsidP="007432D9">
                  <w:pPr>
                    <w:jc w:val="center"/>
                    <w:rPr>
                      <w:rFonts w:ascii="Times New Roman" w:hAnsi="Times New Roman"/>
                      <w:color w:val="2E74B5" w:themeColor="accent5" w:themeShade="BF"/>
                      <w:sz w:val="20"/>
                      <w:szCs w:val="20"/>
                    </w:rPr>
                  </w:pPr>
                </w:p>
                <w:p w14:paraId="16F4BF4C" w14:textId="77777777" w:rsidR="007432D9" w:rsidRPr="001178D7" w:rsidRDefault="007432D9" w:rsidP="007432D9">
                  <w:pPr>
                    <w:jc w:val="center"/>
                    <w:rPr>
                      <w:rFonts w:ascii="Times New Roman" w:hAnsi="Times New Roman"/>
                      <w:color w:val="2E74B5" w:themeColor="accent5" w:themeShade="BF"/>
                      <w:sz w:val="20"/>
                      <w:szCs w:val="20"/>
                    </w:rPr>
                  </w:pPr>
                </w:p>
                <w:p w14:paraId="465B7E0E" w14:textId="77777777" w:rsidR="007432D9" w:rsidRPr="001178D7" w:rsidRDefault="007432D9" w:rsidP="007432D9">
                  <w:pPr>
                    <w:jc w:val="center"/>
                    <w:rPr>
                      <w:rFonts w:ascii="Times New Roman" w:hAnsi="Times New Roman"/>
                      <w:color w:val="2E74B5" w:themeColor="accent5" w:themeShade="BF"/>
                      <w:sz w:val="20"/>
                      <w:szCs w:val="20"/>
                    </w:rPr>
                  </w:pPr>
                </w:p>
                <w:p w14:paraId="3EFFC8CF" w14:textId="77777777" w:rsidR="007432D9" w:rsidRPr="001178D7" w:rsidRDefault="007432D9" w:rsidP="007432D9">
                  <w:pPr>
                    <w:jc w:val="center"/>
                    <w:rPr>
                      <w:rFonts w:ascii="Times New Roman" w:hAnsi="Times New Roman"/>
                      <w:color w:val="2E74B5" w:themeColor="accent5" w:themeShade="BF"/>
                      <w:sz w:val="20"/>
                      <w:szCs w:val="20"/>
                    </w:rPr>
                  </w:pPr>
                </w:p>
                <w:p w14:paraId="75C79259" w14:textId="77777777" w:rsidR="007432D9" w:rsidRPr="001178D7" w:rsidRDefault="007432D9" w:rsidP="007432D9">
                  <w:pPr>
                    <w:jc w:val="center"/>
                    <w:rPr>
                      <w:rFonts w:ascii="Times New Roman" w:hAnsi="Times New Roman"/>
                      <w:color w:val="2E74B5" w:themeColor="accent5" w:themeShade="BF"/>
                      <w:sz w:val="20"/>
                      <w:szCs w:val="20"/>
                    </w:rPr>
                  </w:pPr>
                  <w:r w:rsidRPr="001178D7">
                    <w:rPr>
                      <w:rFonts w:ascii="Times New Roman" w:hAnsi="Times New Roman"/>
                      <w:sz w:val="20"/>
                      <w:szCs w:val="20"/>
                    </w:rPr>
                    <w:t>Quarterly</w:t>
                  </w:r>
                </w:p>
              </w:tc>
              <w:tc>
                <w:tcPr>
                  <w:tcW w:w="1536" w:type="dxa"/>
                </w:tcPr>
                <w:p w14:paraId="044668C8"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color w:val="000000" w:themeColor="text1"/>
                      <w:sz w:val="20"/>
                      <w:szCs w:val="20"/>
                    </w:rPr>
                    <w:t>March</w:t>
                  </w:r>
                </w:p>
              </w:tc>
              <w:tc>
                <w:tcPr>
                  <w:tcW w:w="1537" w:type="dxa"/>
                </w:tcPr>
                <w:p w14:paraId="1C2E6B4B"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color w:val="000000" w:themeColor="text1"/>
                      <w:sz w:val="20"/>
                      <w:szCs w:val="20"/>
                    </w:rPr>
                    <w:t>Q4 (A-1)</w:t>
                  </w:r>
                </w:p>
              </w:tc>
              <w:tc>
                <w:tcPr>
                  <w:tcW w:w="1537" w:type="dxa"/>
                </w:tcPr>
                <w:p w14:paraId="3BD6DD49"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sz w:val="20"/>
                      <w:szCs w:val="20"/>
                    </w:rPr>
                    <w:t>Q1, Q2 and Q3 of previous year A-1 and every quarter for reference years A-2, A-3 and A-4.</w:t>
                  </w:r>
                </w:p>
              </w:tc>
            </w:tr>
            <w:tr w:rsidR="007432D9" w:rsidRPr="001178D7" w14:paraId="1F8AE1DE" w14:textId="77777777" w:rsidTr="007432D9">
              <w:trPr>
                <w:trHeight w:val="876"/>
              </w:trPr>
              <w:tc>
                <w:tcPr>
                  <w:tcW w:w="1536" w:type="dxa"/>
                  <w:vMerge/>
                </w:tcPr>
                <w:p w14:paraId="78A91856" w14:textId="77777777" w:rsidR="007432D9" w:rsidRPr="001178D7" w:rsidRDefault="007432D9" w:rsidP="007432D9">
                  <w:pPr>
                    <w:rPr>
                      <w:color w:val="2E74B5" w:themeColor="accent5" w:themeShade="BF"/>
                      <w:sz w:val="20"/>
                      <w:szCs w:val="20"/>
                    </w:rPr>
                  </w:pPr>
                </w:p>
              </w:tc>
              <w:tc>
                <w:tcPr>
                  <w:tcW w:w="1536" w:type="dxa"/>
                  <w:vMerge/>
                </w:tcPr>
                <w:p w14:paraId="0A1786EB" w14:textId="77777777" w:rsidR="007432D9" w:rsidRPr="001178D7" w:rsidRDefault="007432D9" w:rsidP="007432D9">
                  <w:pPr>
                    <w:rPr>
                      <w:rFonts w:ascii="Times New Roman" w:hAnsi="Times New Roman"/>
                      <w:color w:val="2E74B5" w:themeColor="accent5" w:themeShade="BF"/>
                      <w:sz w:val="20"/>
                      <w:szCs w:val="20"/>
                    </w:rPr>
                  </w:pPr>
                </w:p>
              </w:tc>
              <w:tc>
                <w:tcPr>
                  <w:tcW w:w="1536" w:type="dxa"/>
                </w:tcPr>
                <w:p w14:paraId="439F9999"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sz w:val="20"/>
                      <w:szCs w:val="20"/>
                    </w:rPr>
                    <w:t>June</w:t>
                  </w:r>
                </w:p>
              </w:tc>
              <w:tc>
                <w:tcPr>
                  <w:tcW w:w="1537" w:type="dxa"/>
                </w:tcPr>
                <w:p w14:paraId="5CD44D36"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sz w:val="20"/>
                      <w:szCs w:val="20"/>
                    </w:rPr>
                    <w:t>Q1 (A)</w:t>
                  </w:r>
                </w:p>
              </w:tc>
              <w:tc>
                <w:tcPr>
                  <w:tcW w:w="1537" w:type="dxa"/>
                </w:tcPr>
                <w:p w14:paraId="57A2E729"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sz w:val="20"/>
                      <w:szCs w:val="20"/>
                    </w:rPr>
                    <w:t>Q1, Q2, Q3 and Q4 of the previous year A-1</w:t>
                  </w:r>
                </w:p>
              </w:tc>
            </w:tr>
            <w:tr w:rsidR="007432D9" w:rsidRPr="001178D7" w14:paraId="4FBC3547" w14:textId="77777777" w:rsidTr="007432D9">
              <w:trPr>
                <w:trHeight w:val="1096"/>
              </w:trPr>
              <w:tc>
                <w:tcPr>
                  <w:tcW w:w="1536" w:type="dxa"/>
                  <w:vMerge/>
                </w:tcPr>
                <w:p w14:paraId="2E07D08D" w14:textId="77777777" w:rsidR="007432D9" w:rsidRPr="001178D7" w:rsidRDefault="007432D9" w:rsidP="007432D9">
                  <w:pPr>
                    <w:rPr>
                      <w:color w:val="2E74B5" w:themeColor="accent5" w:themeShade="BF"/>
                      <w:sz w:val="20"/>
                      <w:szCs w:val="20"/>
                    </w:rPr>
                  </w:pPr>
                </w:p>
              </w:tc>
              <w:tc>
                <w:tcPr>
                  <w:tcW w:w="1536" w:type="dxa"/>
                  <w:vMerge/>
                </w:tcPr>
                <w:p w14:paraId="7CD86EF6" w14:textId="77777777" w:rsidR="007432D9" w:rsidRPr="001178D7" w:rsidRDefault="007432D9" w:rsidP="007432D9">
                  <w:pPr>
                    <w:rPr>
                      <w:rFonts w:ascii="Times New Roman" w:hAnsi="Times New Roman"/>
                      <w:color w:val="2E74B5" w:themeColor="accent5" w:themeShade="BF"/>
                      <w:sz w:val="20"/>
                      <w:szCs w:val="20"/>
                    </w:rPr>
                  </w:pPr>
                </w:p>
              </w:tc>
              <w:tc>
                <w:tcPr>
                  <w:tcW w:w="1536" w:type="dxa"/>
                </w:tcPr>
                <w:p w14:paraId="1625C6FC" w14:textId="77777777" w:rsidR="007432D9" w:rsidRPr="001178D7" w:rsidRDefault="007432D9" w:rsidP="007432D9">
                  <w:pPr>
                    <w:rPr>
                      <w:rFonts w:ascii="Times New Roman" w:hAnsi="Times New Roman"/>
                      <w:sz w:val="20"/>
                      <w:szCs w:val="20"/>
                    </w:rPr>
                  </w:pPr>
                  <w:r w:rsidRPr="001178D7">
                    <w:rPr>
                      <w:rFonts w:ascii="Times New Roman" w:hAnsi="Times New Roman"/>
                      <w:sz w:val="20"/>
                      <w:szCs w:val="20"/>
                    </w:rPr>
                    <w:t>September</w:t>
                  </w:r>
                </w:p>
              </w:tc>
              <w:tc>
                <w:tcPr>
                  <w:tcW w:w="1537" w:type="dxa"/>
                </w:tcPr>
                <w:p w14:paraId="424F6F83" w14:textId="77777777"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sz w:val="20"/>
                      <w:szCs w:val="20"/>
                    </w:rPr>
                    <w:t>Q2 (A)</w:t>
                  </w:r>
                </w:p>
              </w:tc>
              <w:tc>
                <w:tcPr>
                  <w:tcW w:w="1537" w:type="dxa"/>
                </w:tcPr>
                <w:p w14:paraId="7C75D6BE" w14:textId="46380E7E"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color w:val="000000" w:themeColor="text1"/>
                      <w:sz w:val="20"/>
                      <w:szCs w:val="20"/>
                    </w:rPr>
                    <w:t xml:space="preserve">Q1 of year A-1 and every quarter </w:t>
                  </w:r>
                  <w:r w:rsidR="001178D7" w:rsidRPr="001178D7">
                    <w:rPr>
                      <w:rFonts w:ascii="Times New Roman" w:hAnsi="Times New Roman"/>
                      <w:color w:val="000000" w:themeColor="text1"/>
                      <w:sz w:val="20"/>
                      <w:szCs w:val="20"/>
                    </w:rPr>
                    <w:t>for</w:t>
                  </w:r>
                  <w:r w:rsidRPr="001178D7">
                    <w:rPr>
                      <w:rFonts w:ascii="Times New Roman" w:hAnsi="Times New Roman"/>
                      <w:color w:val="000000" w:themeColor="text1"/>
                      <w:sz w:val="20"/>
                      <w:szCs w:val="20"/>
                    </w:rPr>
                    <w:t xml:space="preserve"> the reference years A-2, A-3 and A-4.</w:t>
                  </w:r>
                </w:p>
              </w:tc>
            </w:tr>
            <w:tr w:rsidR="007432D9" w:rsidRPr="001178D7" w14:paraId="4427670C" w14:textId="77777777" w:rsidTr="007432D9">
              <w:trPr>
                <w:trHeight w:val="849"/>
              </w:trPr>
              <w:tc>
                <w:tcPr>
                  <w:tcW w:w="1536" w:type="dxa"/>
                  <w:vMerge/>
                </w:tcPr>
                <w:p w14:paraId="0254C12F" w14:textId="77777777" w:rsidR="007432D9" w:rsidRPr="001178D7" w:rsidRDefault="007432D9" w:rsidP="007432D9">
                  <w:pPr>
                    <w:rPr>
                      <w:color w:val="2E74B5" w:themeColor="accent5" w:themeShade="BF"/>
                      <w:sz w:val="20"/>
                      <w:szCs w:val="20"/>
                    </w:rPr>
                  </w:pPr>
                </w:p>
              </w:tc>
              <w:tc>
                <w:tcPr>
                  <w:tcW w:w="1536" w:type="dxa"/>
                  <w:vMerge/>
                </w:tcPr>
                <w:p w14:paraId="0883DA21" w14:textId="77777777" w:rsidR="007432D9" w:rsidRPr="001178D7" w:rsidRDefault="007432D9" w:rsidP="007432D9">
                  <w:pPr>
                    <w:rPr>
                      <w:rFonts w:ascii="Times New Roman" w:hAnsi="Times New Roman"/>
                      <w:color w:val="2E74B5" w:themeColor="accent5" w:themeShade="BF"/>
                      <w:sz w:val="20"/>
                      <w:szCs w:val="20"/>
                    </w:rPr>
                  </w:pPr>
                </w:p>
              </w:tc>
              <w:tc>
                <w:tcPr>
                  <w:tcW w:w="1536" w:type="dxa"/>
                </w:tcPr>
                <w:p w14:paraId="4553E45B" w14:textId="77777777" w:rsidR="007432D9" w:rsidRPr="001178D7" w:rsidRDefault="007432D9" w:rsidP="007432D9">
                  <w:pPr>
                    <w:rPr>
                      <w:rFonts w:ascii="Times New Roman" w:hAnsi="Times New Roman"/>
                      <w:sz w:val="20"/>
                      <w:szCs w:val="20"/>
                    </w:rPr>
                  </w:pPr>
                  <w:r w:rsidRPr="001178D7">
                    <w:rPr>
                      <w:rFonts w:ascii="Times New Roman" w:hAnsi="Times New Roman"/>
                      <w:sz w:val="20"/>
                      <w:szCs w:val="20"/>
                    </w:rPr>
                    <w:t>December</w:t>
                  </w:r>
                </w:p>
              </w:tc>
              <w:tc>
                <w:tcPr>
                  <w:tcW w:w="1537" w:type="dxa"/>
                </w:tcPr>
                <w:p w14:paraId="3E6C42A7" w14:textId="77777777" w:rsidR="007432D9" w:rsidRPr="001178D7" w:rsidRDefault="007432D9" w:rsidP="007432D9">
                  <w:pPr>
                    <w:rPr>
                      <w:rFonts w:ascii="Times New Roman" w:hAnsi="Times New Roman"/>
                      <w:sz w:val="20"/>
                      <w:szCs w:val="20"/>
                    </w:rPr>
                  </w:pPr>
                  <w:r w:rsidRPr="001178D7">
                    <w:rPr>
                      <w:rFonts w:ascii="Times New Roman" w:hAnsi="Times New Roman"/>
                      <w:sz w:val="20"/>
                      <w:szCs w:val="20"/>
                    </w:rPr>
                    <w:t>Q3 (A)</w:t>
                  </w:r>
                </w:p>
              </w:tc>
              <w:tc>
                <w:tcPr>
                  <w:tcW w:w="1537" w:type="dxa"/>
                </w:tcPr>
                <w:p w14:paraId="5A45D5C9" w14:textId="7A735D1B" w:rsidR="007432D9" w:rsidRPr="001178D7" w:rsidRDefault="007432D9" w:rsidP="007432D9">
                  <w:pPr>
                    <w:rPr>
                      <w:rFonts w:ascii="Times New Roman" w:hAnsi="Times New Roman"/>
                      <w:color w:val="2E74B5" w:themeColor="accent5" w:themeShade="BF"/>
                      <w:sz w:val="20"/>
                      <w:szCs w:val="20"/>
                    </w:rPr>
                  </w:pPr>
                  <w:r w:rsidRPr="001178D7">
                    <w:rPr>
                      <w:rFonts w:ascii="Times New Roman" w:hAnsi="Times New Roman"/>
                      <w:sz w:val="20"/>
                      <w:szCs w:val="20"/>
                    </w:rPr>
                    <w:t xml:space="preserve">Q1 and Q2 of the current year A and every quarter for </w:t>
                  </w:r>
                  <w:r w:rsidR="001178D7" w:rsidRPr="001178D7">
                    <w:rPr>
                      <w:rFonts w:ascii="Times New Roman" w:hAnsi="Times New Roman"/>
                      <w:sz w:val="20"/>
                      <w:szCs w:val="20"/>
                    </w:rPr>
                    <w:t>reference</w:t>
                  </w:r>
                  <w:r w:rsidRPr="001178D7">
                    <w:rPr>
                      <w:rFonts w:ascii="Times New Roman" w:hAnsi="Times New Roman"/>
                      <w:sz w:val="20"/>
                      <w:szCs w:val="20"/>
                    </w:rPr>
                    <w:t xml:space="preserve"> year A-1.</w:t>
                  </w:r>
                </w:p>
              </w:tc>
            </w:tr>
          </w:tbl>
          <w:p w14:paraId="38B879A4" w14:textId="77777777" w:rsidR="00D77562" w:rsidRPr="001178D7" w:rsidRDefault="00D77562" w:rsidP="007432D9">
            <w:pPr>
              <w:spacing w:before="120" w:after="240" w:line="240" w:lineRule="auto"/>
              <w:ind w:right="85"/>
              <w:jc w:val="both"/>
              <w:rPr>
                <w:rFonts w:ascii="Times New Roman" w:hAnsi="Times New Roman" w:cs="Times New Roman"/>
                <w:sz w:val="20"/>
                <w:szCs w:val="20"/>
                <w:lang w:eastAsia="nl-NL"/>
              </w:rPr>
            </w:pPr>
          </w:p>
        </w:tc>
      </w:tr>
      <w:bookmarkEnd w:id="17"/>
      <w:tr w:rsidR="00D77562" w:rsidRPr="00493D72" w14:paraId="79F68076" w14:textId="77777777" w:rsidTr="00BB1DFF">
        <w:trPr>
          <w:gridAfter w:val="1"/>
          <w:wAfter w:w="851" w:type="dxa"/>
          <w:trHeight w:val="567"/>
        </w:trPr>
        <w:tc>
          <w:tcPr>
            <w:tcW w:w="2471" w:type="dxa"/>
            <w:shd w:val="clear" w:color="auto" w:fill="FFFFCC"/>
            <w:noWrap/>
            <w:vAlign w:val="center"/>
            <w:hideMark/>
          </w:tcPr>
          <w:p w14:paraId="0554C877"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17.2. Data revision - practise</w:t>
            </w:r>
          </w:p>
        </w:tc>
        <w:tc>
          <w:tcPr>
            <w:tcW w:w="7872" w:type="dxa"/>
          </w:tcPr>
          <w:p w14:paraId="10CF428B" w14:textId="3FCF0715" w:rsidR="001178D7" w:rsidRPr="00F56CBD" w:rsidRDefault="001178D7" w:rsidP="00FF27AD">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Revisions are done because of newly received information and are carried out at fixed moments of publication. In case of changes of methodology, a separate short document is published.</w:t>
            </w:r>
          </w:p>
          <w:p w14:paraId="7A38790D" w14:textId="7B60252D" w:rsidR="001178D7" w:rsidRPr="00F56CBD" w:rsidRDefault="001178D7" w:rsidP="00FF27AD">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The published data which are revised are based on revision policies of the statistics department. The quarterly compilation of the balance of payments and international investments position are subject of two types of revisions: routine and major revisions.</w:t>
            </w:r>
          </w:p>
          <w:p w14:paraId="6388EE84" w14:textId="77777777" w:rsidR="001178D7" w:rsidRPr="00F56CBD" w:rsidRDefault="001178D7" w:rsidP="00FF27AD">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Routine revisions: The quarterly and annual revisions stem from the late arrival of reports or corrections of errors in previous reports, as well as the inclusion of data that are only available on a semi-annual basis, for the quarterly revisions, or on an annual basis, for the annual revisions. Once a year, the balance of payments and the international investment position data from the last three years are revised and the revisions are presented.</w:t>
            </w:r>
          </w:p>
          <w:p w14:paraId="209B1EBA" w14:textId="17333577" w:rsidR="00D77562" w:rsidRPr="00344520" w:rsidRDefault="001178D7" w:rsidP="00FF27AD">
            <w:pPr>
              <w:spacing w:before="30" w:after="30" w:line="240" w:lineRule="auto"/>
              <w:jc w:val="both"/>
              <w:rPr>
                <w:rFonts w:ascii="Times New Roman" w:hAnsi="Times New Roman" w:cs="Times New Roman"/>
                <w:lang w:eastAsia="nl-NL"/>
              </w:rPr>
            </w:pPr>
            <w:r w:rsidRPr="00F56CBD">
              <w:rPr>
                <w:rFonts w:ascii="Times New Roman" w:hAnsi="Times New Roman" w:cs="Times New Roman"/>
                <w:lang w:eastAsia="nl-NL"/>
              </w:rPr>
              <w:t>Major revisions: Major revisions are linked with international methodology revisions (introduced by BPM6 manual), changes in definitions, methods and classifications, as well as incorporation of a widening scope of various data sources</w:t>
            </w:r>
          </w:p>
        </w:tc>
      </w:tr>
      <w:tr w:rsidR="00D77562" w:rsidRPr="00493D72" w14:paraId="40E6668C" w14:textId="77777777" w:rsidTr="00BB1DFF">
        <w:trPr>
          <w:gridAfter w:val="1"/>
          <w:wAfter w:w="851" w:type="dxa"/>
          <w:trHeight w:val="567"/>
        </w:trPr>
        <w:tc>
          <w:tcPr>
            <w:tcW w:w="10343" w:type="dxa"/>
            <w:gridSpan w:val="2"/>
            <w:shd w:val="clear" w:color="auto" w:fill="C5E0B3" w:themeFill="accent6" w:themeFillTint="66"/>
            <w:vAlign w:val="center"/>
            <w:hideMark/>
          </w:tcPr>
          <w:p w14:paraId="00AB263B" w14:textId="77777777" w:rsidR="00D77562" w:rsidRPr="00493D72" w:rsidRDefault="00D77562" w:rsidP="00D77562">
            <w:pPr>
              <w:pStyle w:val="Heading1"/>
              <w:spacing w:before="0"/>
              <w:rPr>
                <w:rFonts w:ascii="Times New Roman" w:eastAsia="Times New Roman" w:hAnsi="Times New Roman" w:cs="Times New Roman"/>
                <w:noProof/>
                <w:color w:val="000000"/>
                <w:sz w:val="24"/>
                <w:szCs w:val="24"/>
                <w:lang w:val="sq-AL" w:eastAsia="sq-AL"/>
              </w:rPr>
            </w:pPr>
            <w:bookmarkStart w:id="18" w:name="_Toc104283937"/>
            <w:r w:rsidRPr="00BF587C">
              <w:rPr>
                <w:rFonts w:ascii="Times New Roman" w:eastAsia="Times New Roman" w:hAnsi="Times New Roman" w:cs="Times New Roman"/>
                <w:bCs w:val="0"/>
                <w:noProof/>
                <w:color w:val="000000"/>
                <w:sz w:val="24"/>
                <w:szCs w:val="24"/>
                <w:lang w:val="sq-AL" w:eastAsia="sq-AL"/>
              </w:rPr>
              <w:t>18.</w:t>
            </w:r>
            <w:r w:rsidRPr="00493D72">
              <w:rPr>
                <w:rFonts w:ascii="Times New Roman" w:eastAsia="Times New Roman" w:hAnsi="Times New Roman" w:cs="Times New Roman"/>
                <w:b w:val="0"/>
                <w:bCs w:val="0"/>
                <w:noProof/>
                <w:color w:val="000000"/>
                <w:sz w:val="24"/>
                <w:szCs w:val="24"/>
                <w:lang w:val="sq-AL" w:eastAsia="sq-AL"/>
              </w:rPr>
              <w:t xml:space="preserve"> </w:t>
            </w:r>
            <w:r w:rsidRPr="00493D72">
              <w:rPr>
                <w:rFonts w:ascii="Times New Roman" w:eastAsia="Times New Roman" w:hAnsi="Times New Roman" w:cs="Times New Roman"/>
                <w:noProof/>
                <w:color w:val="000000" w:themeColor="text1"/>
                <w:sz w:val="24"/>
                <w:szCs w:val="24"/>
                <w:lang w:val="sq-AL" w:eastAsia="sq-AL"/>
              </w:rPr>
              <w:t>Statistical processing</w:t>
            </w:r>
            <w:bookmarkEnd w:id="18"/>
          </w:p>
        </w:tc>
      </w:tr>
      <w:tr w:rsidR="00D77562" w:rsidRPr="00493D72" w14:paraId="1E26D145" w14:textId="77777777" w:rsidTr="00BB1DFF">
        <w:trPr>
          <w:gridAfter w:val="1"/>
          <w:wAfter w:w="851" w:type="dxa"/>
          <w:trHeight w:val="567"/>
        </w:trPr>
        <w:tc>
          <w:tcPr>
            <w:tcW w:w="2471" w:type="dxa"/>
            <w:shd w:val="clear" w:color="auto" w:fill="FFFFCC"/>
            <w:vAlign w:val="center"/>
            <w:hideMark/>
          </w:tcPr>
          <w:p w14:paraId="61F8DCC7" w14:textId="77777777" w:rsidR="00D77562" w:rsidRPr="00493D72" w:rsidRDefault="00D77562" w:rsidP="00D77562">
            <w:pPr>
              <w:spacing w:after="0"/>
              <w:rPr>
                <w:rFonts w:ascii="Times New Roman" w:hAnsi="Times New Roman" w:cs="Times New Roman"/>
                <w:noProof/>
                <w:sz w:val="24"/>
                <w:szCs w:val="24"/>
                <w:lang w:val="sq-AL"/>
              </w:rPr>
            </w:pPr>
            <w:r w:rsidRPr="00493D72">
              <w:rPr>
                <w:rFonts w:ascii="Times New Roman" w:hAnsi="Times New Roman" w:cs="Times New Roman"/>
                <w:noProof/>
                <w:sz w:val="24"/>
                <w:szCs w:val="24"/>
                <w:lang w:val="sq-AL"/>
              </w:rPr>
              <w:t>18.1. Source data </w:t>
            </w:r>
          </w:p>
        </w:tc>
        <w:tc>
          <w:tcPr>
            <w:tcW w:w="7872" w:type="dxa"/>
          </w:tcPr>
          <w:p w14:paraId="233AB462" w14:textId="70F93ED5" w:rsidR="00D77562" w:rsidRPr="00172BEE" w:rsidRDefault="001178D7" w:rsidP="00FF27AD">
            <w:pPr>
              <w:spacing w:before="30" w:after="30" w:line="240" w:lineRule="auto"/>
              <w:jc w:val="both"/>
              <w:rPr>
                <w:rFonts w:ascii="Times New Roman" w:hAnsi="Times New Roman" w:cs="Times New Roman"/>
                <w:sz w:val="24"/>
                <w:lang w:eastAsia="nl-NL"/>
              </w:rPr>
            </w:pPr>
            <w:r w:rsidRPr="00FF27AD">
              <w:rPr>
                <w:rFonts w:ascii="Times New Roman" w:eastAsia="Times New Roman" w:hAnsi="Times New Roman" w:cs="Times New Roman"/>
                <w:lang w:val="en-GB" w:eastAsia="en-GB"/>
              </w:rPr>
              <w:t xml:space="preserve">The first (and major) data source to be mentioned is the monthly reporting by banks on bank cross-border customer transactions and banks’ own transactions in the framework of ITRS. Commercial banks record daily cross-border settlements – both inflow and outflows – and classify these transactions with the help of BOP codes (manual of ITRS). Bank customer transactions are reported monthly for individual transaction data. The actual data collection system in BOA guarantees complete coverage of data reported by the banking sector and by non-banking financial institutions. Also, BOA undertakes surveys and estimations for specific items of the services and income account and uses a full range of data from administrative registers: data from non-bank financial </w:t>
            </w:r>
            <w:r w:rsidRPr="00FF27AD">
              <w:rPr>
                <w:rFonts w:ascii="Times New Roman" w:eastAsia="Times New Roman" w:hAnsi="Times New Roman" w:cs="Times New Roman"/>
                <w:lang w:val="en-GB" w:eastAsia="en-GB"/>
              </w:rPr>
              <w:lastRenderedPageBreak/>
              <w:t xml:space="preserve">institutions, Customs data, National Business </w:t>
            </w:r>
            <w:proofErr w:type="spellStart"/>
            <w:r w:rsidRPr="00FF27AD">
              <w:rPr>
                <w:rFonts w:ascii="Times New Roman" w:eastAsia="Times New Roman" w:hAnsi="Times New Roman" w:cs="Times New Roman"/>
                <w:lang w:val="en-GB" w:eastAsia="en-GB"/>
              </w:rPr>
              <w:t>Center</w:t>
            </w:r>
            <w:proofErr w:type="spellEnd"/>
            <w:r w:rsidRPr="00FF27AD">
              <w:rPr>
                <w:rFonts w:ascii="Times New Roman" w:eastAsia="Times New Roman" w:hAnsi="Times New Roman" w:cs="Times New Roman"/>
                <w:lang w:val="en-GB" w:eastAsia="en-GB"/>
              </w:rPr>
              <w:t>, Financial Supervisory Authority, Tax Authority, etc.</w:t>
            </w:r>
          </w:p>
        </w:tc>
      </w:tr>
      <w:tr w:rsidR="001178D7" w:rsidRPr="00493D72" w14:paraId="7E7D5A90" w14:textId="77777777" w:rsidTr="00BB1DFF">
        <w:trPr>
          <w:gridAfter w:val="1"/>
          <w:wAfter w:w="851" w:type="dxa"/>
          <w:trHeight w:val="567"/>
        </w:trPr>
        <w:tc>
          <w:tcPr>
            <w:tcW w:w="2471" w:type="dxa"/>
            <w:shd w:val="clear" w:color="auto" w:fill="FFFFCC"/>
            <w:vAlign w:val="center"/>
            <w:hideMark/>
          </w:tcPr>
          <w:p w14:paraId="52370A59"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18.2. Frequency of data collection</w:t>
            </w:r>
          </w:p>
        </w:tc>
        <w:tc>
          <w:tcPr>
            <w:tcW w:w="7872" w:type="dxa"/>
            <w:noWrap/>
          </w:tcPr>
          <w:p w14:paraId="2494E0B6" w14:textId="51772259" w:rsidR="001178D7" w:rsidRPr="00172BEE" w:rsidRDefault="001178D7" w:rsidP="00FF27AD">
            <w:pPr>
              <w:spacing w:before="30" w:after="30" w:line="240" w:lineRule="auto"/>
              <w:jc w:val="both"/>
              <w:rPr>
                <w:sz w:val="24"/>
              </w:rPr>
            </w:pPr>
            <w:r w:rsidRPr="00FF27AD">
              <w:rPr>
                <w:rFonts w:ascii="Times New Roman" w:eastAsia="Times New Roman" w:hAnsi="Times New Roman" w:cs="Times New Roman"/>
                <w:lang w:val="en-GB" w:eastAsia="en-GB"/>
              </w:rPr>
              <w:t>Annual, quarterly and monthly</w:t>
            </w:r>
          </w:p>
        </w:tc>
      </w:tr>
      <w:tr w:rsidR="001178D7" w:rsidRPr="00493D72" w14:paraId="5FC9AE13" w14:textId="77777777" w:rsidTr="00BB1DFF">
        <w:trPr>
          <w:gridAfter w:val="1"/>
          <w:wAfter w:w="851" w:type="dxa"/>
          <w:trHeight w:val="567"/>
        </w:trPr>
        <w:tc>
          <w:tcPr>
            <w:tcW w:w="2471" w:type="dxa"/>
            <w:shd w:val="clear" w:color="auto" w:fill="FFFFCC"/>
            <w:vAlign w:val="center"/>
            <w:hideMark/>
          </w:tcPr>
          <w:p w14:paraId="2A084C36"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18.3. Data collection</w:t>
            </w:r>
          </w:p>
        </w:tc>
        <w:tc>
          <w:tcPr>
            <w:tcW w:w="7872" w:type="dxa"/>
          </w:tcPr>
          <w:p w14:paraId="1291819B" w14:textId="77777777" w:rsidR="001178D7" w:rsidRPr="0045237C" w:rsidRDefault="001178D7" w:rsidP="001178D7">
            <w:pPr>
              <w:spacing w:before="30" w:after="30"/>
              <w:jc w:val="both"/>
              <w:rPr>
                <w:rFonts w:ascii="Times New Roman" w:hAnsi="Times New Roman" w:cs="Times New Roman"/>
                <w:lang w:eastAsia="nl-NL"/>
              </w:rPr>
            </w:pPr>
            <w:r w:rsidRPr="0045237C">
              <w:rPr>
                <w:rFonts w:ascii="Times New Roman" w:hAnsi="Times New Roman" w:cs="Times New Roman"/>
                <w:lang w:eastAsia="nl-NL"/>
              </w:rPr>
              <w:t>The first (and major) data source to be mentioned is the monthly reporting by banks on cross-border bank customer transactions and banks’ own transactions. Banks’ own transactions regard e.g. purchase by banks of goods and services from non-residents. Information on banks’ cross-border financial transactions (and positions) are acquired via monetary and banking statistical reporting to the B</w:t>
            </w:r>
            <w:r>
              <w:rPr>
                <w:rFonts w:ascii="Times New Roman" w:hAnsi="Times New Roman" w:cs="Times New Roman"/>
                <w:lang w:eastAsia="nl-NL"/>
              </w:rPr>
              <w:t xml:space="preserve">ank </w:t>
            </w:r>
            <w:r w:rsidRPr="0045237C">
              <w:rPr>
                <w:rFonts w:ascii="Times New Roman" w:hAnsi="Times New Roman" w:cs="Times New Roman"/>
                <w:lang w:eastAsia="nl-NL"/>
              </w:rPr>
              <w:t>o</w:t>
            </w:r>
            <w:r>
              <w:rPr>
                <w:rFonts w:ascii="Times New Roman" w:hAnsi="Times New Roman" w:cs="Times New Roman"/>
                <w:lang w:eastAsia="nl-NL"/>
              </w:rPr>
              <w:t xml:space="preserve">f </w:t>
            </w:r>
            <w:r w:rsidRPr="0045237C">
              <w:rPr>
                <w:rFonts w:ascii="Times New Roman" w:hAnsi="Times New Roman" w:cs="Times New Roman"/>
                <w:lang w:eastAsia="nl-NL"/>
              </w:rPr>
              <w:t>A</w:t>
            </w:r>
            <w:r>
              <w:rPr>
                <w:rFonts w:ascii="Times New Roman" w:hAnsi="Times New Roman" w:cs="Times New Roman"/>
                <w:lang w:eastAsia="nl-NL"/>
              </w:rPr>
              <w:t>lbania</w:t>
            </w:r>
            <w:r w:rsidRPr="0045237C">
              <w:rPr>
                <w:rFonts w:ascii="Times New Roman" w:hAnsi="Times New Roman" w:cs="Times New Roman"/>
                <w:lang w:eastAsia="nl-NL"/>
              </w:rPr>
              <w:t>. The monthly reporting by banks on cross-border settlements forms a lion’s share of the reporting phenomenon for Balance-of-Payments (B</w:t>
            </w:r>
            <w:r>
              <w:rPr>
                <w:rFonts w:ascii="Times New Roman" w:hAnsi="Times New Roman" w:cs="Times New Roman"/>
                <w:lang w:eastAsia="nl-NL"/>
              </w:rPr>
              <w:t>O</w:t>
            </w:r>
            <w:r w:rsidRPr="0045237C">
              <w:rPr>
                <w:rFonts w:ascii="Times New Roman" w:hAnsi="Times New Roman" w:cs="Times New Roman"/>
                <w:lang w:eastAsia="nl-NL"/>
              </w:rPr>
              <w:t xml:space="preserve">P) purposes which is called the International Transaction Reporting System or ITRS. </w:t>
            </w:r>
          </w:p>
          <w:p w14:paraId="7325D173" w14:textId="264FAC1B" w:rsidR="001178D7" w:rsidRPr="0045237C" w:rsidRDefault="001178D7" w:rsidP="001178D7">
            <w:pPr>
              <w:spacing w:before="30" w:after="30"/>
              <w:jc w:val="both"/>
              <w:rPr>
                <w:rFonts w:ascii="Times New Roman" w:hAnsi="Times New Roman" w:cs="Times New Roman"/>
                <w:lang w:eastAsia="nl-NL"/>
              </w:rPr>
            </w:pPr>
            <w:r w:rsidRPr="0045237C">
              <w:rPr>
                <w:rFonts w:ascii="Times New Roman" w:hAnsi="Times New Roman" w:cs="Times New Roman"/>
                <w:lang w:eastAsia="nl-NL"/>
              </w:rPr>
              <w:t>Commercial banks record daily cross-border settlements – both incoming and outgoing – and classify these transactions with B</w:t>
            </w:r>
            <w:r>
              <w:rPr>
                <w:rFonts w:ascii="Times New Roman" w:hAnsi="Times New Roman" w:cs="Times New Roman"/>
                <w:lang w:eastAsia="nl-NL"/>
              </w:rPr>
              <w:t>O</w:t>
            </w:r>
            <w:r w:rsidRPr="0045237C">
              <w:rPr>
                <w:rFonts w:ascii="Times New Roman" w:hAnsi="Times New Roman" w:cs="Times New Roman"/>
                <w:lang w:eastAsia="nl-NL"/>
              </w:rPr>
              <w:t>P codes, apart from reporting the verbal description of the transaction retrieved from the Swift message as well. For this encoding or classification work, banks have been provided by the B</w:t>
            </w:r>
            <w:r>
              <w:rPr>
                <w:rFonts w:ascii="Times New Roman" w:hAnsi="Times New Roman" w:cs="Times New Roman"/>
                <w:lang w:eastAsia="nl-NL"/>
              </w:rPr>
              <w:t xml:space="preserve">ank </w:t>
            </w:r>
            <w:r w:rsidRPr="0045237C">
              <w:rPr>
                <w:rFonts w:ascii="Times New Roman" w:hAnsi="Times New Roman" w:cs="Times New Roman"/>
                <w:lang w:eastAsia="nl-NL"/>
              </w:rPr>
              <w:t>o</w:t>
            </w:r>
            <w:r>
              <w:rPr>
                <w:rFonts w:ascii="Times New Roman" w:hAnsi="Times New Roman" w:cs="Times New Roman"/>
                <w:lang w:eastAsia="nl-NL"/>
              </w:rPr>
              <w:t xml:space="preserve">f </w:t>
            </w:r>
            <w:r w:rsidRPr="0045237C">
              <w:rPr>
                <w:rFonts w:ascii="Times New Roman" w:hAnsi="Times New Roman" w:cs="Times New Roman"/>
                <w:lang w:eastAsia="nl-NL"/>
              </w:rPr>
              <w:t>A</w:t>
            </w:r>
            <w:r>
              <w:rPr>
                <w:rFonts w:ascii="Times New Roman" w:hAnsi="Times New Roman" w:cs="Times New Roman"/>
                <w:lang w:eastAsia="nl-NL"/>
              </w:rPr>
              <w:t>lbania</w:t>
            </w:r>
            <w:r w:rsidRPr="0045237C">
              <w:rPr>
                <w:rFonts w:ascii="Times New Roman" w:hAnsi="Times New Roman" w:cs="Times New Roman"/>
                <w:lang w:eastAsia="nl-NL"/>
              </w:rPr>
              <w:t xml:space="preserve"> with a list of 134 codes with transaction descriptions covering in general goods, services, primary and secondary income and foreign direct investment. From Q4 2016 onward banks report cross-border bank customer settlements as individual transactions replacing the practice of bank reporting of transaction aggregates by B</w:t>
            </w:r>
            <w:r>
              <w:rPr>
                <w:rFonts w:ascii="Times New Roman" w:hAnsi="Times New Roman" w:cs="Times New Roman"/>
                <w:lang w:eastAsia="nl-NL"/>
              </w:rPr>
              <w:t>O</w:t>
            </w:r>
            <w:r w:rsidRPr="0045237C">
              <w:rPr>
                <w:rFonts w:ascii="Times New Roman" w:hAnsi="Times New Roman" w:cs="Times New Roman"/>
                <w:lang w:eastAsia="nl-NL"/>
              </w:rPr>
              <w:t>P code. ITRS fosters data quality as individual transactions can be checked on proper classification. There is much more grip on the quality of data reported. Another highly important advantage of this approach is that the breakdown by partner country of a major part of data reported to the B</w:t>
            </w:r>
            <w:r>
              <w:rPr>
                <w:rFonts w:ascii="Times New Roman" w:hAnsi="Times New Roman" w:cs="Times New Roman"/>
                <w:lang w:eastAsia="nl-NL"/>
              </w:rPr>
              <w:t xml:space="preserve">ank </w:t>
            </w:r>
            <w:r w:rsidRPr="0045237C">
              <w:rPr>
                <w:rFonts w:ascii="Times New Roman" w:hAnsi="Times New Roman" w:cs="Times New Roman"/>
                <w:lang w:eastAsia="nl-NL"/>
              </w:rPr>
              <w:t>o</w:t>
            </w:r>
            <w:r>
              <w:rPr>
                <w:rFonts w:ascii="Times New Roman" w:hAnsi="Times New Roman" w:cs="Times New Roman"/>
                <w:lang w:eastAsia="nl-NL"/>
              </w:rPr>
              <w:t xml:space="preserve">f </w:t>
            </w:r>
            <w:r w:rsidRPr="0045237C">
              <w:rPr>
                <w:rFonts w:ascii="Times New Roman" w:hAnsi="Times New Roman" w:cs="Times New Roman"/>
                <w:lang w:eastAsia="nl-NL"/>
              </w:rPr>
              <w:t>A</w:t>
            </w:r>
            <w:r>
              <w:rPr>
                <w:rFonts w:ascii="Times New Roman" w:hAnsi="Times New Roman" w:cs="Times New Roman"/>
                <w:lang w:eastAsia="nl-NL"/>
              </w:rPr>
              <w:t>lbania</w:t>
            </w:r>
            <w:r w:rsidRPr="0045237C">
              <w:rPr>
                <w:rFonts w:ascii="Times New Roman" w:hAnsi="Times New Roman" w:cs="Times New Roman"/>
                <w:lang w:eastAsia="nl-NL"/>
              </w:rPr>
              <w:t xml:space="preserve"> has become available. Other data sources, other than ITRS, disposed already of the possibility to estimate the country’s breakdown in </w:t>
            </w:r>
            <w:r w:rsidR="00F4517E" w:rsidRPr="0045237C">
              <w:rPr>
                <w:rFonts w:ascii="Times New Roman" w:hAnsi="Times New Roman" w:cs="Times New Roman"/>
                <w:lang w:eastAsia="nl-NL"/>
              </w:rPr>
              <w:t>most</w:t>
            </w:r>
            <w:r w:rsidRPr="0045237C">
              <w:rPr>
                <w:rFonts w:ascii="Times New Roman" w:hAnsi="Times New Roman" w:cs="Times New Roman"/>
                <w:lang w:eastAsia="nl-NL"/>
              </w:rPr>
              <w:t xml:space="preserve"> cases. </w:t>
            </w:r>
          </w:p>
          <w:p w14:paraId="0CE1272F" w14:textId="77777777" w:rsidR="001178D7" w:rsidRPr="0045237C" w:rsidRDefault="001178D7" w:rsidP="001178D7">
            <w:pPr>
              <w:spacing w:before="30" w:after="30"/>
              <w:jc w:val="both"/>
              <w:rPr>
                <w:rFonts w:ascii="Times New Roman" w:hAnsi="Times New Roman" w:cs="Times New Roman"/>
                <w:lang w:eastAsia="nl-NL"/>
              </w:rPr>
            </w:pPr>
            <w:r w:rsidRPr="0045237C">
              <w:rPr>
                <w:rFonts w:ascii="Times New Roman" w:hAnsi="Times New Roman" w:cs="Times New Roman"/>
                <w:lang w:eastAsia="nl-NL"/>
              </w:rPr>
              <w:t>ITRS is data source – partially or completely – for the following components including non-service items:</w:t>
            </w:r>
          </w:p>
          <w:p w14:paraId="34A8FA09"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Personal transfers other than workers’ remittances.</w:t>
            </w:r>
          </w:p>
          <w:p w14:paraId="518CFB71"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 xml:space="preserve">Workers’ remittances – apart from other sources like MTOs (money </w:t>
            </w:r>
            <w:r>
              <w:rPr>
                <w:rFonts w:ascii="Times New Roman" w:hAnsi="Times New Roman" w:cs="Times New Roman"/>
                <w:sz w:val="22"/>
                <w:szCs w:val="22"/>
                <w:lang w:eastAsia="nl-NL"/>
              </w:rPr>
              <w:t>t</w:t>
            </w:r>
            <w:r w:rsidRPr="002B627F">
              <w:rPr>
                <w:rFonts w:ascii="Times New Roman" w:hAnsi="Times New Roman" w:cs="Times New Roman"/>
                <w:sz w:val="22"/>
                <w:szCs w:val="22"/>
                <w:lang w:eastAsia="nl-NL"/>
              </w:rPr>
              <w:t xml:space="preserve">ransfer </w:t>
            </w:r>
            <w:r>
              <w:rPr>
                <w:rFonts w:ascii="Times New Roman" w:hAnsi="Times New Roman" w:cs="Times New Roman"/>
                <w:sz w:val="22"/>
                <w:szCs w:val="22"/>
                <w:lang w:eastAsia="nl-NL"/>
              </w:rPr>
              <w:t>o</w:t>
            </w:r>
            <w:r w:rsidRPr="002B627F">
              <w:rPr>
                <w:rFonts w:ascii="Times New Roman" w:hAnsi="Times New Roman" w:cs="Times New Roman"/>
                <w:sz w:val="22"/>
                <w:szCs w:val="22"/>
                <w:lang w:eastAsia="nl-NL"/>
              </w:rPr>
              <w:t>perators) and specific border survey.</w:t>
            </w:r>
          </w:p>
          <w:p w14:paraId="28970587"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Compensation of employees, debit side.</w:t>
            </w:r>
          </w:p>
          <w:p w14:paraId="44BBDFF6"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Air passenger transport.</w:t>
            </w:r>
          </w:p>
          <w:p w14:paraId="768BCAFD"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Sea and road passenger transport for business travel and for personal travel only as additional source, when applicable, to basic estimate from other data source.</w:t>
            </w:r>
          </w:p>
          <w:p w14:paraId="6BF737F4"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 xml:space="preserve">Other transport concerning air, sea and road. </w:t>
            </w:r>
          </w:p>
          <w:p w14:paraId="062A8926"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Postal and courier services.</w:t>
            </w:r>
          </w:p>
          <w:p w14:paraId="28DC33DF"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Construction services.</w:t>
            </w:r>
          </w:p>
          <w:p w14:paraId="22BECD47"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Insurance services, life and non-life, import side as main, but not sole, source.</w:t>
            </w:r>
          </w:p>
          <w:p w14:paraId="0CD5D96A"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Financial services, explicitly charged.</w:t>
            </w:r>
          </w:p>
          <w:p w14:paraId="030268F7"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Charges for the use of intellectual property n.i.e.</w:t>
            </w:r>
          </w:p>
          <w:p w14:paraId="0E817AB7"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Telecommunications.</w:t>
            </w:r>
          </w:p>
          <w:p w14:paraId="184D6DB1"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Computer services.</w:t>
            </w:r>
          </w:p>
          <w:p w14:paraId="6D75D40C"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Information services.</w:t>
            </w:r>
          </w:p>
          <w:p w14:paraId="5C54CBC4"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Other business services.</w:t>
            </w:r>
          </w:p>
          <w:p w14:paraId="3C19FE56"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Personal, cultural and recreational services.</w:t>
            </w:r>
          </w:p>
          <w:p w14:paraId="4C3F04CE"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 xml:space="preserve">Government services, credit side and for debit side as data source in addition to MoF (Ministry of Finance) survey. </w:t>
            </w:r>
          </w:p>
          <w:p w14:paraId="28A82B54" w14:textId="28D47CE4" w:rsidR="001178D7" w:rsidRDefault="001178D7" w:rsidP="001178D7">
            <w:pPr>
              <w:spacing w:before="30" w:after="30"/>
              <w:jc w:val="both"/>
              <w:rPr>
                <w:rFonts w:ascii="Times New Roman" w:hAnsi="Times New Roman" w:cs="Times New Roman"/>
                <w:lang w:eastAsia="nl-NL"/>
              </w:rPr>
            </w:pPr>
            <w:r w:rsidRPr="0045237C">
              <w:rPr>
                <w:rFonts w:ascii="Times New Roman" w:hAnsi="Times New Roman" w:cs="Times New Roman"/>
                <w:lang w:eastAsia="nl-NL"/>
              </w:rPr>
              <w:t xml:space="preserve">A second category of data sources regards surveys followed up by an estimation procedure </w:t>
            </w:r>
            <w:r w:rsidR="00F4517E" w:rsidRPr="0045237C">
              <w:rPr>
                <w:rFonts w:ascii="Times New Roman" w:hAnsi="Times New Roman" w:cs="Times New Roman"/>
                <w:lang w:eastAsia="nl-NL"/>
              </w:rPr>
              <w:t>to</w:t>
            </w:r>
            <w:r w:rsidRPr="0045237C">
              <w:rPr>
                <w:rFonts w:ascii="Times New Roman" w:hAnsi="Times New Roman" w:cs="Times New Roman"/>
                <w:lang w:eastAsia="nl-NL"/>
              </w:rPr>
              <w:t xml:space="preserve"> arrive at B</w:t>
            </w:r>
            <w:r>
              <w:rPr>
                <w:rFonts w:ascii="Times New Roman" w:hAnsi="Times New Roman" w:cs="Times New Roman"/>
                <w:lang w:eastAsia="nl-NL"/>
              </w:rPr>
              <w:t>O</w:t>
            </w:r>
            <w:r w:rsidRPr="0045237C">
              <w:rPr>
                <w:rFonts w:ascii="Times New Roman" w:hAnsi="Times New Roman" w:cs="Times New Roman"/>
                <w:lang w:eastAsia="nl-NL"/>
              </w:rPr>
              <w:t>P entries needed. Data validation, where applicable, is done through direct contact with respondent(s). Also, plausibility checks carried out on reports received. For the following</w:t>
            </w:r>
            <w:r>
              <w:rPr>
                <w:rFonts w:ascii="Times New Roman" w:hAnsi="Times New Roman" w:cs="Times New Roman"/>
                <w:lang w:eastAsia="nl-NL"/>
              </w:rPr>
              <w:t xml:space="preserve"> other</w:t>
            </w:r>
            <w:r w:rsidRPr="0045237C">
              <w:rPr>
                <w:rFonts w:ascii="Times New Roman" w:hAnsi="Times New Roman" w:cs="Times New Roman"/>
                <w:lang w:eastAsia="nl-NL"/>
              </w:rPr>
              <w:t xml:space="preserve"> components, surveys are used: </w:t>
            </w:r>
          </w:p>
          <w:p w14:paraId="5692FCD9"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lastRenderedPageBreak/>
              <w:t>Personal transfers other than workers’ remittances, use of direct reporting by MTOs, apart from ITRS.</w:t>
            </w:r>
          </w:p>
          <w:p w14:paraId="5FFAE7AC"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Workers’ remittances, credit side, on basis of both monthly direct reports of MTOs and semi-annual (sample) border survey focused on interviewing Albanian nationals living in another country. Apart from both sources, also ITRS data are used for estimation of the B</w:t>
            </w:r>
            <w:r>
              <w:rPr>
                <w:rFonts w:ascii="Times New Roman" w:hAnsi="Times New Roman" w:cs="Times New Roman"/>
                <w:sz w:val="22"/>
                <w:szCs w:val="22"/>
                <w:lang w:eastAsia="nl-NL"/>
              </w:rPr>
              <w:t>O</w:t>
            </w:r>
            <w:r w:rsidRPr="002B627F">
              <w:rPr>
                <w:rFonts w:ascii="Times New Roman" w:hAnsi="Times New Roman" w:cs="Times New Roman"/>
                <w:sz w:val="22"/>
                <w:szCs w:val="22"/>
                <w:lang w:eastAsia="nl-NL"/>
              </w:rPr>
              <w:t xml:space="preserve">P component. </w:t>
            </w:r>
          </w:p>
          <w:p w14:paraId="37969F55"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 xml:space="preserve">Travel on basis of quarterly (sample) border survey. </w:t>
            </w:r>
          </w:p>
          <w:p w14:paraId="286B3E4C"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 xml:space="preserve">Insurance services estimated through use of quarterly direct report by supervisor for all insurance companies together. Input for credit side for direct insurance (life and non-life) and for credit and debit side for reinsurance. New, methodologically improved, </w:t>
            </w:r>
            <w:r>
              <w:rPr>
                <w:rFonts w:ascii="Times New Roman" w:hAnsi="Times New Roman" w:cs="Times New Roman"/>
                <w:sz w:val="22"/>
                <w:szCs w:val="22"/>
                <w:lang w:eastAsia="nl-NL"/>
              </w:rPr>
              <w:t xml:space="preserve">new direct reporting form </w:t>
            </w:r>
            <w:r w:rsidRPr="002B627F">
              <w:rPr>
                <w:rFonts w:ascii="Times New Roman" w:hAnsi="Times New Roman" w:cs="Times New Roman"/>
                <w:sz w:val="22"/>
                <w:szCs w:val="22"/>
                <w:lang w:eastAsia="nl-NL"/>
              </w:rPr>
              <w:t xml:space="preserve"> implemented in Q4 2018. </w:t>
            </w:r>
          </w:p>
          <w:p w14:paraId="3541A8DA"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Passenger transport by sea and road estimated with help of information from border survey on travel (apart from also data from Ministry of Interior, see below).</w:t>
            </w:r>
          </w:p>
          <w:p w14:paraId="32F7725C" w14:textId="77777777" w:rsidR="001178D7" w:rsidRPr="002B627F"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Government services, debit side, based on MoF reporting form.</w:t>
            </w:r>
          </w:p>
          <w:p w14:paraId="59EB11FB" w14:textId="77777777" w:rsidR="001178D7" w:rsidRDefault="001178D7" w:rsidP="001178D7">
            <w:pPr>
              <w:pStyle w:val="ListParagraph"/>
              <w:numPr>
                <w:ilvl w:val="0"/>
                <w:numId w:val="5"/>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 xml:space="preserve">Financial services explicitly charged, use of MoF reporting form as additional source apart from ITRS. </w:t>
            </w:r>
          </w:p>
          <w:p w14:paraId="2A1DACDE" w14:textId="0B5CF020" w:rsidR="001178D7" w:rsidRPr="00BD3A7E" w:rsidRDefault="001178D7" w:rsidP="001178D7">
            <w:pPr>
              <w:spacing w:before="30" w:after="30"/>
              <w:jc w:val="both"/>
              <w:rPr>
                <w:rFonts w:ascii="Times New Roman" w:hAnsi="Times New Roman" w:cs="Times New Roman"/>
                <w:lang w:eastAsia="nl-NL"/>
              </w:rPr>
            </w:pPr>
            <w:r w:rsidRPr="00BD3A7E">
              <w:rPr>
                <w:rFonts w:ascii="Times New Roman" w:hAnsi="Times New Roman" w:cs="Times New Roman"/>
                <w:lang w:eastAsia="nl-NL"/>
              </w:rPr>
              <w:t xml:space="preserve">The receipts and expenditures on travel services </w:t>
            </w:r>
            <w:r w:rsidR="00F4517E" w:rsidRPr="00BD3A7E">
              <w:rPr>
                <w:rFonts w:ascii="Times New Roman" w:hAnsi="Times New Roman" w:cs="Times New Roman"/>
                <w:lang w:eastAsia="nl-NL"/>
              </w:rPr>
              <w:t>were</w:t>
            </w:r>
            <w:r w:rsidRPr="00BD3A7E">
              <w:rPr>
                <w:rFonts w:ascii="Times New Roman" w:hAnsi="Times New Roman" w:cs="Times New Roman"/>
                <w:lang w:eastAsia="nl-NL"/>
              </w:rPr>
              <w:t xml:space="preserve"> based mainly on the number of travelers and indexed average expenditure and duration of stay of previous years.</w:t>
            </w:r>
          </w:p>
          <w:p w14:paraId="4F7D7C97" w14:textId="77777777" w:rsidR="001178D7" w:rsidRPr="0045237C" w:rsidRDefault="001178D7" w:rsidP="001178D7">
            <w:pPr>
              <w:spacing w:before="30" w:after="30"/>
              <w:jc w:val="both"/>
              <w:rPr>
                <w:rFonts w:ascii="Times New Roman" w:hAnsi="Times New Roman" w:cs="Times New Roman"/>
                <w:lang w:eastAsia="nl-NL"/>
              </w:rPr>
            </w:pPr>
            <w:r w:rsidRPr="0045237C">
              <w:rPr>
                <w:rFonts w:ascii="Times New Roman" w:hAnsi="Times New Roman" w:cs="Times New Roman"/>
                <w:lang w:eastAsia="nl-NL"/>
              </w:rPr>
              <w:t>A third category of data sources concern administrative data and other data sources. It regards the following data sources:</w:t>
            </w:r>
          </w:p>
          <w:p w14:paraId="1C2192AF" w14:textId="77777777" w:rsidR="001178D7" w:rsidRPr="002B627F" w:rsidRDefault="001178D7" w:rsidP="001178D7">
            <w:pPr>
              <w:pStyle w:val="ListParagraph"/>
              <w:numPr>
                <w:ilvl w:val="0"/>
                <w:numId w:val="6"/>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Customs database in behalf of:</w:t>
            </w:r>
          </w:p>
          <w:p w14:paraId="4F0517A5" w14:textId="77777777" w:rsidR="001178D7" w:rsidRPr="004C7453" w:rsidRDefault="001178D7" w:rsidP="001178D7">
            <w:pPr>
              <w:pStyle w:val="ListParagraph"/>
              <w:numPr>
                <w:ilvl w:val="0"/>
                <w:numId w:val="7"/>
              </w:numPr>
              <w:spacing w:before="30" w:after="30"/>
              <w:jc w:val="both"/>
              <w:rPr>
                <w:rFonts w:ascii="Times New Roman" w:hAnsi="Times New Roman" w:cs="Times New Roman"/>
                <w:sz w:val="22"/>
                <w:szCs w:val="22"/>
                <w:lang w:eastAsia="nl-NL"/>
              </w:rPr>
            </w:pPr>
            <w:r w:rsidRPr="004C7453">
              <w:rPr>
                <w:rFonts w:ascii="Times New Roman" w:hAnsi="Times New Roman" w:cs="Times New Roman"/>
                <w:sz w:val="22"/>
                <w:szCs w:val="22"/>
                <w:lang w:eastAsia="nl-NL"/>
              </w:rPr>
              <w:t>Import-export of goods</w:t>
            </w:r>
          </w:p>
          <w:p w14:paraId="1168E724" w14:textId="77777777" w:rsidR="001178D7" w:rsidRPr="004C7453" w:rsidRDefault="001178D7" w:rsidP="001178D7">
            <w:pPr>
              <w:pStyle w:val="ListParagraph"/>
              <w:numPr>
                <w:ilvl w:val="0"/>
                <w:numId w:val="7"/>
              </w:numPr>
              <w:spacing w:before="30" w:after="30"/>
              <w:jc w:val="both"/>
              <w:rPr>
                <w:rFonts w:ascii="Times New Roman" w:hAnsi="Times New Roman" w:cs="Times New Roman"/>
                <w:sz w:val="22"/>
                <w:szCs w:val="22"/>
                <w:lang w:eastAsia="nl-NL"/>
              </w:rPr>
            </w:pPr>
            <w:r w:rsidRPr="004C7453">
              <w:rPr>
                <w:rFonts w:ascii="Times New Roman" w:hAnsi="Times New Roman" w:cs="Times New Roman"/>
                <w:sz w:val="22"/>
                <w:szCs w:val="22"/>
                <w:lang w:eastAsia="nl-NL"/>
              </w:rPr>
              <w:t>Freight and insurance costs of imports and exports of goods.</w:t>
            </w:r>
          </w:p>
          <w:p w14:paraId="00780D86" w14:textId="77777777" w:rsidR="001178D7" w:rsidRPr="004C7453" w:rsidRDefault="001178D7" w:rsidP="001178D7">
            <w:pPr>
              <w:pStyle w:val="ListParagraph"/>
              <w:numPr>
                <w:ilvl w:val="0"/>
                <w:numId w:val="7"/>
              </w:numPr>
              <w:spacing w:before="30" w:after="30"/>
              <w:jc w:val="both"/>
              <w:rPr>
                <w:rFonts w:ascii="Times New Roman" w:hAnsi="Times New Roman" w:cs="Times New Roman"/>
                <w:sz w:val="22"/>
                <w:szCs w:val="22"/>
                <w:lang w:eastAsia="nl-NL"/>
              </w:rPr>
            </w:pPr>
            <w:r w:rsidRPr="004C7453">
              <w:rPr>
                <w:rFonts w:ascii="Times New Roman" w:hAnsi="Times New Roman" w:cs="Times New Roman"/>
                <w:sz w:val="22"/>
                <w:szCs w:val="22"/>
                <w:lang w:eastAsia="nl-NL"/>
              </w:rPr>
              <w:t>Processing.</w:t>
            </w:r>
          </w:p>
          <w:p w14:paraId="18AB7F0F" w14:textId="77777777" w:rsidR="001178D7" w:rsidRPr="004C7453" w:rsidRDefault="001178D7" w:rsidP="001178D7">
            <w:pPr>
              <w:pStyle w:val="ListParagraph"/>
              <w:numPr>
                <w:ilvl w:val="0"/>
                <w:numId w:val="7"/>
              </w:numPr>
              <w:spacing w:before="30" w:after="30"/>
              <w:jc w:val="both"/>
              <w:rPr>
                <w:rFonts w:ascii="Times New Roman" w:hAnsi="Times New Roman" w:cs="Times New Roman"/>
                <w:sz w:val="22"/>
                <w:szCs w:val="22"/>
                <w:lang w:eastAsia="nl-NL"/>
              </w:rPr>
            </w:pPr>
            <w:r w:rsidRPr="004C7453">
              <w:rPr>
                <w:rFonts w:ascii="Times New Roman" w:hAnsi="Times New Roman" w:cs="Times New Roman"/>
                <w:sz w:val="22"/>
                <w:szCs w:val="22"/>
                <w:lang w:eastAsia="nl-NL"/>
              </w:rPr>
              <w:t>Repair services.</w:t>
            </w:r>
          </w:p>
          <w:p w14:paraId="063630D4" w14:textId="77777777" w:rsidR="001178D7" w:rsidRPr="002B627F" w:rsidRDefault="001178D7" w:rsidP="001178D7">
            <w:pPr>
              <w:pStyle w:val="ListParagraph"/>
              <w:numPr>
                <w:ilvl w:val="0"/>
                <w:numId w:val="6"/>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Ministry of the Interior in behalf of:</w:t>
            </w:r>
          </w:p>
          <w:p w14:paraId="67FBF3D7" w14:textId="77777777" w:rsidR="001178D7" w:rsidRPr="004C7453" w:rsidRDefault="001178D7" w:rsidP="001178D7">
            <w:pPr>
              <w:pStyle w:val="ListParagraph"/>
              <w:numPr>
                <w:ilvl w:val="0"/>
                <w:numId w:val="7"/>
              </w:numPr>
              <w:spacing w:before="30" w:after="30"/>
              <w:jc w:val="both"/>
              <w:rPr>
                <w:rFonts w:ascii="Times New Roman" w:hAnsi="Times New Roman" w:cs="Times New Roman"/>
                <w:sz w:val="22"/>
                <w:szCs w:val="22"/>
                <w:lang w:eastAsia="nl-NL"/>
              </w:rPr>
            </w:pPr>
            <w:r w:rsidRPr="004C7453">
              <w:rPr>
                <w:rFonts w:ascii="Times New Roman" w:hAnsi="Times New Roman" w:cs="Times New Roman"/>
                <w:sz w:val="22"/>
                <w:szCs w:val="22"/>
                <w:lang w:eastAsia="nl-NL"/>
              </w:rPr>
              <w:t>Travel; data on number of travellers passing the border as a measure to gross up sample results.</w:t>
            </w:r>
          </w:p>
          <w:p w14:paraId="47C677DA" w14:textId="77777777" w:rsidR="001178D7" w:rsidRPr="004C7453" w:rsidRDefault="001178D7" w:rsidP="001178D7">
            <w:pPr>
              <w:pStyle w:val="ListParagraph"/>
              <w:numPr>
                <w:ilvl w:val="0"/>
                <w:numId w:val="7"/>
              </w:numPr>
              <w:spacing w:before="30" w:after="30"/>
              <w:jc w:val="both"/>
              <w:rPr>
                <w:rFonts w:ascii="Times New Roman" w:hAnsi="Times New Roman" w:cs="Times New Roman"/>
                <w:sz w:val="22"/>
                <w:szCs w:val="22"/>
                <w:lang w:eastAsia="nl-NL"/>
              </w:rPr>
            </w:pPr>
            <w:r w:rsidRPr="002B627F">
              <w:rPr>
                <w:rFonts w:ascii="Times New Roman" w:hAnsi="Times New Roman" w:cs="Times New Roman"/>
                <w:sz w:val="22"/>
                <w:szCs w:val="22"/>
                <w:lang w:eastAsia="nl-NL"/>
              </w:rPr>
              <w:t>P</w:t>
            </w:r>
            <w:r w:rsidRPr="004C7453">
              <w:rPr>
                <w:rFonts w:ascii="Times New Roman" w:hAnsi="Times New Roman" w:cs="Times New Roman"/>
                <w:sz w:val="22"/>
                <w:szCs w:val="22"/>
                <w:lang w:eastAsia="nl-NL"/>
              </w:rPr>
              <w:t xml:space="preserve">assenger transport services – in case of personal travel - by sea and road, credit and debit side on input for number of travellers (sea and road) and share of transport means (sea). </w:t>
            </w:r>
          </w:p>
          <w:p w14:paraId="23F0C834" w14:textId="77777777" w:rsidR="001178D7" w:rsidRPr="004C7453" w:rsidRDefault="001178D7" w:rsidP="001178D7">
            <w:pPr>
              <w:pStyle w:val="ListParagraph"/>
              <w:numPr>
                <w:ilvl w:val="0"/>
                <w:numId w:val="7"/>
              </w:numPr>
              <w:spacing w:before="30" w:after="30"/>
              <w:jc w:val="both"/>
              <w:rPr>
                <w:rFonts w:ascii="Times New Roman" w:hAnsi="Times New Roman" w:cs="Times New Roman"/>
                <w:sz w:val="22"/>
                <w:szCs w:val="22"/>
                <w:lang w:eastAsia="nl-NL"/>
              </w:rPr>
            </w:pPr>
            <w:r w:rsidRPr="004C7453">
              <w:rPr>
                <w:rFonts w:ascii="Times New Roman" w:hAnsi="Times New Roman" w:cs="Times New Roman"/>
                <w:sz w:val="22"/>
                <w:szCs w:val="22"/>
                <w:lang w:eastAsia="nl-NL"/>
              </w:rPr>
              <w:t>Compensation of employees, credit side for feeding the estimation model with the number of Albanian seasonal workers being active abroad.</w:t>
            </w:r>
          </w:p>
          <w:p w14:paraId="673D3CD8" w14:textId="77777777" w:rsidR="001178D7" w:rsidRPr="004C7453" w:rsidRDefault="001178D7" w:rsidP="001178D7">
            <w:pPr>
              <w:pStyle w:val="ListParagraph"/>
              <w:numPr>
                <w:ilvl w:val="0"/>
                <w:numId w:val="6"/>
              </w:numPr>
              <w:spacing w:before="30" w:after="30"/>
              <w:jc w:val="both"/>
              <w:rPr>
                <w:rFonts w:ascii="Times New Roman" w:hAnsi="Times New Roman" w:cs="Times New Roman"/>
                <w:sz w:val="22"/>
                <w:szCs w:val="22"/>
                <w:lang w:eastAsia="nl-NL"/>
              </w:rPr>
            </w:pPr>
            <w:r w:rsidRPr="004C7453">
              <w:rPr>
                <w:rFonts w:ascii="Times New Roman" w:hAnsi="Times New Roman" w:cs="Times New Roman"/>
                <w:sz w:val="22"/>
                <w:szCs w:val="22"/>
                <w:lang w:eastAsia="nl-NL"/>
              </w:rPr>
              <w:t xml:space="preserve">Other data sources: </w:t>
            </w:r>
          </w:p>
          <w:p w14:paraId="33540F06" w14:textId="77777777" w:rsidR="001178D7" w:rsidRPr="002B627F" w:rsidRDefault="001178D7" w:rsidP="001178D7">
            <w:pPr>
              <w:pStyle w:val="ListParagraph"/>
              <w:numPr>
                <w:ilvl w:val="0"/>
                <w:numId w:val="7"/>
              </w:numPr>
              <w:spacing w:before="30" w:after="30"/>
              <w:jc w:val="both"/>
              <w:rPr>
                <w:rFonts w:ascii="Times New Roman" w:hAnsi="Times New Roman" w:cs="Times New Roman"/>
                <w:sz w:val="22"/>
                <w:szCs w:val="22"/>
                <w:lang w:eastAsia="nl-NL"/>
              </w:rPr>
            </w:pPr>
            <w:r w:rsidRPr="004C7453">
              <w:rPr>
                <w:rFonts w:ascii="Times New Roman" w:hAnsi="Times New Roman" w:cs="Times New Roman"/>
                <w:sz w:val="22"/>
                <w:szCs w:val="22"/>
                <w:lang w:eastAsia="nl-NL"/>
              </w:rPr>
              <w:t>ECFIN statistics in behalf of compensation of employees, credit side, as input for the estimation model</w:t>
            </w:r>
            <w:r w:rsidRPr="002B627F">
              <w:rPr>
                <w:rFonts w:ascii="Times New Roman" w:hAnsi="Times New Roman" w:cs="Times New Roman"/>
                <w:sz w:val="22"/>
                <w:szCs w:val="22"/>
                <w:lang w:eastAsia="nl-NL"/>
              </w:rPr>
              <w:t xml:space="preserve"> concerning the wage element.  </w:t>
            </w:r>
          </w:p>
          <w:p w14:paraId="3AD129E1" w14:textId="77777777" w:rsidR="001178D7" w:rsidRDefault="001178D7" w:rsidP="001178D7">
            <w:pPr>
              <w:pStyle w:val="ListParagraph"/>
              <w:numPr>
                <w:ilvl w:val="0"/>
                <w:numId w:val="7"/>
              </w:numPr>
              <w:spacing w:before="30" w:after="30"/>
              <w:jc w:val="both"/>
              <w:rPr>
                <w:rFonts w:ascii="Times New Roman" w:hAnsi="Times New Roman" w:cs="Times New Roman"/>
                <w:sz w:val="22"/>
                <w:szCs w:val="22"/>
                <w:lang w:eastAsia="nl-NL"/>
              </w:rPr>
            </w:pPr>
            <w:r w:rsidRPr="004C7453">
              <w:rPr>
                <w:rFonts w:ascii="Times New Roman" w:hAnsi="Times New Roman" w:cs="Times New Roman"/>
                <w:sz w:val="22"/>
                <w:szCs w:val="22"/>
                <w:lang w:eastAsia="nl-NL"/>
              </w:rPr>
              <w:t>Monetary statistics, sectorial balance sheets of banks and an interbank questionnaire in behalf of estimation of FISIM exports (credit side).</w:t>
            </w:r>
          </w:p>
          <w:p w14:paraId="05406845" w14:textId="77777777" w:rsidR="001178D7" w:rsidRPr="00BD3A7E" w:rsidRDefault="001178D7" w:rsidP="001178D7">
            <w:pPr>
              <w:spacing w:before="30" w:after="30"/>
              <w:jc w:val="both"/>
              <w:rPr>
                <w:rFonts w:ascii="Times New Roman" w:hAnsi="Times New Roman" w:cs="Times New Roman"/>
                <w:lang w:eastAsia="nl-NL"/>
              </w:rPr>
            </w:pPr>
            <w:r w:rsidRPr="00BD3A7E">
              <w:rPr>
                <w:rFonts w:ascii="Times New Roman" w:hAnsi="Times New Roman" w:cs="Times New Roman"/>
                <w:lang w:eastAsia="nl-NL"/>
              </w:rPr>
              <w:t xml:space="preserve">Data on investments are estimated using data from the monthly reporting system of financial institutions (bank customer transactions, ITRS); the monthly and quarterly balance sheets of the financial institutions including banks and non-banks; direct reporting of the biggest foreign direct companies; other administrative institutions, such as Ministry of Finance and Economy, the annual data on direct investment are collected from the National Business Center and currently monthly data on income from Tax Authority. Data for portfolio investments (assets) are collected from monthly reporting system of financial institutions (banks and non –banks) on a security level data  </w:t>
            </w:r>
          </w:p>
          <w:p w14:paraId="12ECD624" w14:textId="28F9D016" w:rsidR="001178D7" w:rsidRPr="00344520" w:rsidRDefault="001178D7" w:rsidP="001178D7">
            <w:pPr>
              <w:spacing w:before="30" w:after="30"/>
              <w:jc w:val="both"/>
              <w:rPr>
                <w:rFonts w:ascii="Times New Roman" w:hAnsi="Times New Roman" w:cs="Times New Roman"/>
                <w:lang w:eastAsia="nl-NL"/>
              </w:rPr>
            </w:pPr>
            <w:r w:rsidRPr="003016D8">
              <w:rPr>
                <w:rFonts w:ascii="Times New Roman" w:hAnsi="Times New Roman" w:cs="Times New Roman"/>
                <w:lang w:eastAsia="nl-NL"/>
              </w:rPr>
              <w:t xml:space="preserve">To include informal import (i.e., smuggling to avoid import duties), </w:t>
            </w:r>
            <w:r w:rsidR="00FA07A5" w:rsidRPr="003016D8">
              <w:rPr>
                <w:rFonts w:ascii="Times New Roman" w:hAnsi="Times New Roman" w:cs="Times New Roman"/>
                <w:lang w:eastAsia="nl-NL"/>
              </w:rPr>
              <w:t>coefficients are used which</w:t>
            </w:r>
            <w:r w:rsidRPr="003016D8">
              <w:rPr>
                <w:rFonts w:ascii="Times New Roman" w:hAnsi="Times New Roman" w:cs="Times New Roman"/>
                <w:lang w:eastAsia="nl-NL"/>
              </w:rPr>
              <w:t xml:space="preserve"> were obtained from the foreign trade survey of goods.  </w:t>
            </w:r>
          </w:p>
          <w:p w14:paraId="22DFE9F6" w14:textId="77777777" w:rsidR="001178D7" w:rsidRPr="00344520" w:rsidRDefault="001178D7" w:rsidP="001178D7">
            <w:pPr>
              <w:spacing w:before="30" w:after="30"/>
              <w:jc w:val="both"/>
              <w:rPr>
                <w:rFonts w:ascii="Times New Roman" w:hAnsi="Times New Roman" w:cs="Times New Roman"/>
                <w:color w:val="0563C1" w:themeColor="hyperlink"/>
                <w:u w:val="single"/>
                <w:lang w:eastAsia="nl-NL"/>
              </w:rPr>
            </w:pPr>
            <w:r w:rsidRPr="00344520">
              <w:rPr>
                <w:rFonts w:ascii="Times New Roman" w:hAnsi="Times New Roman" w:cs="Times New Roman"/>
                <w:lang w:eastAsia="nl-NL"/>
              </w:rPr>
              <w:t>Further information could be found on the BOA’s webpage (Albanian version):</w:t>
            </w:r>
          </w:p>
          <w:p w14:paraId="1B607DE0" w14:textId="1E58BBED" w:rsidR="001178D7" w:rsidRPr="00BD48E4" w:rsidRDefault="001178D7" w:rsidP="001178D7">
            <w:pPr>
              <w:spacing w:after="240" w:line="240" w:lineRule="auto"/>
              <w:ind w:right="85"/>
              <w:jc w:val="both"/>
              <w:rPr>
                <w:rFonts w:ascii="Times New Roman" w:hAnsi="Times New Roman" w:cs="Times New Roman"/>
                <w:color w:val="0563C1" w:themeColor="hyperlink"/>
                <w:sz w:val="24"/>
                <w:szCs w:val="24"/>
                <w:u w:val="single"/>
                <w:lang w:eastAsia="nl-NL"/>
              </w:rPr>
            </w:pPr>
            <w:hyperlink r:id="rId16" w:history="1">
              <w:r w:rsidRPr="00117EFE">
                <w:rPr>
                  <w:rStyle w:val="Hyperlink"/>
                  <w:rFonts w:ascii="Times New Roman" w:hAnsi="Times New Roman" w:cs="Times New Roman"/>
                  <w:lang w:eastAsia="nl-NL"/>
                </w:rPr>
                <w:t>https://www.bankofalbania.org/Statistikat/Statistikat_e_Sektorit_te_Jashtem/Bilanci_i_Pagesave/</w:t>
              </w:r>
            </w:hyperlink>
          </w:p>
        </w:tc>
      </w:tr>
      <w:tr w:rsidR="001178D7" w:rsidRPr="00493D72" w14:paraId="5182E177" w14:textId="77777777" w:rsidTr="00BB1DFF">
        <w:trPr>
          <w:gridAfter w:val="1"/>
          <w:wAfter w:w="851" w:type="dxa"/>
          <w:trHeight w:val="567"/>
        </w:trPr>
        <w:tc>
          <w:tcPr>
            <w:tcW w:w="2471" w:type="dxa"/>
            <w:shd w:val="clear" w:color="auto" w:fill="FFFFCC"/>
            <w:vAlign w:val="center"/>
            <w:hideMark/>
          </w:tcPr>
          <w:p w14:paraId="5727F57A" w14:textId="77777777" w:rsidR="001178D7" w:rsidRPr="00572EF2" w:rsidRDefault="001178D7" w:rsidP="001178D7">
            <w:pPr>
              <w:spacing w:after="0"/>
              <w:rPr>
                <w:rFonts w:ascii="Times New Roman" w:eastAsia="Times New Roman" w:hAnsi="Times New Roman" w:cs="Times New Roman"/>
                <w:noProof/>
                <w:color w:val="000000"/>
                <w:lang w:val="sq-AL" w:eastAsia="sq-AL"/>
              </w:rPr>
            </w:pPr>
            <w:r w:rsidRPr="00572EF2">
              <w:rPr>
                <w:rFonts w:ascii="Times New Roman" w:eastAsia="Times New Roman" w:hAnsi="Times New Roman" w:cs="Times New Roman"/>
                <w:noProof/>
                <w:color w:val="000000"/>
                <w:sz w:val="24"/>
                <w:szCs w:val="24"/>
                <w:lang w:val="sq-AL" w:eastAsia="sq-AL"/>
              </w:rPr>
              <w:lastRenderedPageBreak/>
              <w:t>18.4. Data validation</w:t>
            </w:r>
          </w:p>
        </w:tc>
        <w:tc>
          <w:tcPr>
            <w:tcW w:w="7872" w:type="dxa"/>
          </w:tcPr>
          <w:p w14:paraId="67282C23" w14:textId="77777777" w:rsidR="00F56CBD" w:rsidRPr="00572EF2" w:rsidRDefault="00F56CBD" w:rsidP="00F56CBD">
            <w:pPr>
              <w:autoSpaceDE w:val="0"/>
              <w:autoSpaceDN w:val="0"/>
              <w:adjustRightInd w:val="0"/>
              <w:spacing w:after="0" w:line="240" w:lineRule="auto"/>
              <w:rPr>
                <w:rFonts w:ascii="Times New Roman" w:hAnsi="Times New Roman" w:cs="Times New Roman"/>
                <w:lang w:eastAsia="nl-NL"/>
              </w:rPr>
            </w:pPr>
            <w:r w:rsidRPr="00572EF2">
              <w:rPr>
                <w:rFonts w:ascii="Times New Roman" w:hAnsi="Times New Roman" w:cs="Times New Roman"/>
                <w:lang w:eastAsia="nl-NL"/>
              </w:rPr>
              <w:t>Data are checked according to:</w:t>
            </w:r>
          </w:p>
          <w:p w14:paraId="0B3229FD" w14:textId="77777777" w:rsidR="00F56CBD" w:rsidRPr="00572EF2" w:rsidRDefault="00F56CBD" w:rsidP="00F56CBD">
            <w:pPr>
              <w:autoSpaceDE w:val="0"/>
              <w:autoSpaceDN w:val="0"/>
              <w:adjustRightInd w:val="0"/>
              <w:spacing w:after="0" w:line="240" w:lineRule="auto"/>
              <w:rPr>
                <w:rFonts w:ascii="Times New Roman" w:hAnsi="Times New Roman" w:cs="Times New Roman"/>
                <w:lang w:eastAsia="nl-NL"/>
              </w:rPr>
            </w:pPr>
            <w:r w:rsidRPr="00572EF2">
              <w:rPr>
                <w:rFonts w:ascii="Times New Roman" w:hAnsi="Times New Roman" w:cs="Times New Roman"/>
                <w:lang w:eastAsia="nl-NL"/>
              </w:rPr>
              <w:t>- Validation level 1 - Quality checks related to information included in the file,</w:t>
            </w:r>
          </w:p>
          <w:p w14:paraId="1E817846" w14:textId="77777777" w:rsidR="00F56CBD" w:rsidRPr="00572EF2" w:rsidRDefault="00F56CBD" w:rsidP="00F56CBD">
            <w:pPr>
              <w:autoSpaceDE w:val="0"/>
              <w:autoSpaceDN w:val="0"/>
              <w:adjustRightInd w:val="0"/>
              <w:spacing w:after="0" w:line="240" w:lineRule="auto"/>
              <w:rPr>
                <w:rFonts w:ascii="Times New Roman" w:hAnsi="Times New Roman" w:cs="Times New Roman"/>
                <w:lang w:eastAsia="nl-NL"/>
              </w:rPr>
            </w:pPr>
            <w:r w:rsidRPr="00572EF2">
              <w:rPr>
                <w:rFonts w:ascii="Times New Roman" w:hAnsi="Times New Roman" w:cs="Times New Roman"/>
                <w:lang w:eastAsia="nl-NL"/>
              </w:rPr>
              <w:lastRenderedPageBreak/>
              <w:t>- Validation level 2- Consistency checks between international trade in goods statistics data available and BOP goods data,</w:t>
            </w:r>
          </w:p>
          <w:p w14:paraId="67EFD318" w14:textId="05585DA1" w:rsidR="00F56CBD" w:rsidRPr="00572EF2" w:rsidRDefault="00F56CBD" w:rsidP="00F56CBD">
            <w:pPr>
              <w:autoSpaceDE w:val="0"/>
              <w:autoSpaceDN w:val="0"/>
              <w:adjustRightInd w:val="0"/>
              <w:spacing w:after="0" w:line="240" w:lineRule="auto"/>
              <w:rPr>
                <w:rFonts w:ascii="Times New Roman" w:hAnsi="Times New Roman" w:cs="Times New Roman"/>
                <w:lang w:eastAsia="nl-NL"/>
              </w:rPr>
            </w:pPr>
            <w:r w:rsidRPr="00572EF2">
              <w:rPr>
                <w:rFonts w:ascii="Times New Roman" w:hAnsi="Times New Roman" w:cs="Times New Roman"/>
                <w:lang w:eastAsia="nl-NL"/>
              </w:rPr>
              <w:t>- Validation level 3 - Consistency with national accounts</w:t>
            </w:r>
          </w:p>
          <w:p w14:paraId="76822C5D" w14:textId="77777777" w:rsidR="00F56CBD" w:rsidRPr="00572EF2" w:rsidRDefault="00F56CBD" w:rsidP="00F56CBD">
            <w:pPr>
              <w:autoSpaceDE w:val="0"/>
              <w:autoSpaceDN w:val="0"/>
              <w:adjustRightInd w:val="0"/>
              <w:spacing w:after="0" w:line="240" w:lineRule="auto"/>
              <w:rPr>
                <w:rFonts w:ascii="Times New Roman" w:hAnsi="Times New Roman" w:cs="Times New Roman"/>
                <w:lang w:eastAsia="nl-NL"/>
              </w:rPr>
            </w:pPr>
            <w:r w:rsidRPr="00572EF2">
              <w:rPr>
                <w:rFonts w:ascii="Times New Roman" w:hAnsi="Times New Roman" w:cs="Times New Roman"/>
                <w:lang w:eastAsia="nl-NL"/>
              </w:rPr>
              <w:t>- Validation level 4 - Revision checks,</w:t>
            </w:r>
          </w:p>
          <w:p w14:paraId="7AECD428" w14:textId="27191222" w:rsidR="00F56CBD" w:rsidRPr="00572EF2" w:rsidRDefault="00F56CBD" w:rsidP="00F56CBD">
            <w:pPr>
              <w:autoSpaceDE w:val="0"/>
              <w:autoSpaceDN w:val="0"/>
              <w:adjustRightInd w:val="0"/>
              <w:spacing w:after="0" w:line="240" w:lineRule="auto"/>
              <w:jc w:val="both"/>
              <w:rPr>
                <w:rFonts w:ascii="Times New Roman" w:hAnsi="Times New Roman" w:cs="Times New Roman"/>
                <w:lang w:eastAsia="nl-NL"/>
              </w:rPr>
            </w:pPr>
            <w:r w:rsidRPr="00572EF2">
              <w:rPr>
                <w:rFonts w:ascii="Times New Roman" w:hAnsi="Times New Roman" w:cs="Times New Roman"/>
                <w:lang w:eastAsia="nl-NL"/>
              </w:rPr>
              <w:t>BOA has sole responsibility for data collection and compilation of the balance of payments. For each source, the internal and external coherence of individual data of transactions and enterprise level is checked by ascertaining that accounts are balanced, and the data in different sources are consistent to choose the most reliable data, based on the appropriate coherency check.</w:t>
            </w:r>
            <w:r w:rsidRPr="00572EF2">
              <w:t xml:space="preserve"> </w:t>
            </w:r>
            <w:r w:rsidRPr="00572EF2">
              <w:rPr>
                <w:rFonts w:ascii="Times New Roman" w:hAnsi="Times New Roman" w:cs="Times New Roman"/>
                <w:lang w:eastAsia="nl-NL"/>
              </w:rPr>
              <w:t>Information on individual transactions is available at BOA from reporting system and BOA can obtain further details of data if needed for the purpose of quality control. In case banks have difficulty with the classification of transactions, ad-hoc advice will be asked from BOA. BOA organizes training of commercial bank staff for coding work on a regular basis.</w:t>
            </w:r>
          </w:p>
          <w:p w14:paraId="6A9403C8" w14:textId="3C0E4607" w:rsidR="00F56CBD" w:rsidRPr="00572EF2" w:rsidRDefault="00F56CBD" w:rsidP="00F56CBD">
            <w:pPr>
              <w:autoSpaceDE w:val="0"/>
              <w:autoSpaceDN w:val="0"/>
              <w:adjustRightInd w:val="0"/>
              <w:spacing w:after="0" w:line="240" w:lineRule="auto"/>
              <w:jc w:val="both"/>
              <w:rPr>
                <w:rFonts w:ascii="Times New Roman" w:hAnsi="Times New Roman" w:cs="Times New Roman"/>
                <w:lang w:eastAsia="nl-NL"/>
              </w:rPr>
            </w:pPr>
            <w:r w:rsidRPr="00572EF2">
              <w:rPr>
                <w:rFonts w:ascii="Times New Roman" w:hAnsi="Times New Roman" w:cs="Times New Roman"/>
                <w:lang w:eastAsia="nl-NL"/>
              </w:rPr>
              <w:t xml:space="preserve">Integrity rules state that the sum of the components should be equal to the aggregates. The integrity rules are defined by a set of equations included in the BOP </w:t>
            </w:r>
            <w:proofErr w:type="spellStart"/>
            <w:r w:rsidRPr="00572EF2">
              <w:rPr>
                <w:rFonts w:ascii="Times New Roman" w:hAnsi="Times New Roman" w:cs="Times New Roman"/>
                <w:lang w:eastAsia="nl-NL"/>
              </w:rPr>
              <w:t>Vademecum</w:t>
            </w:r>
            <w:proofErr w:type="spellEnd"/>
            <w:r w:rsidRPr="00572EF2">
              <w:rPr>
                <w:rFonts w:ascii="Times New Roman" w:hAnsi="Times New Roman" w:cs="Times New Roman"/>
                <w:lang w:eastAsia="nl-NL"/>
              </w:rPr>
              <w:t>, which should be complied with the datasets transmitted to Eurostat.</w:t>
            </w:r>
          </w:p>
          <w:p w14:paraId="4B61F63C" w14:textId="60D2B809" w:rsidR="00F56CBD" w:rsidRPr="00572EF2" w:rsidRDefault="00F56CBD" w:rsidP="00F56CBD">
            <w:pPr>
              <w:autoSpaceDE w:val="0"/>
              <w:autoSpaceDN w:val="0"/>
              <w:adjustRightInd w:val="0"/>
              <w:spacing w:after="0" w:line="240" w:lineRule="auto"/>
              <w:jc w:val="both"/>
              <w:rPr>
                <w:rFonts w:ascii="Times New Roman" w:hAnsi="Times New Roman" w:cs="Times New Roman"/>
                <w:lang w:eastAsia="nl-NL"/>
              </w:rPr>
            </w:pPr>
            <w:r w:rsidRPr="00572EF2">
              <w:rPr>
                <w:rFonts w:ascii="Times New Roman" w:hAnsi="Times New Roman" w:cs="Times New Roman"/>
                <w:lang w:eastAsia="nl-NL"/>
              </w:rPr>
              <w:t>No differences in concepts and definitions are generated by the fact that BOP requires a “change of ownership” to record a transaction, whereas ITGS record physical cross-border movements of goods. Transactions linked to merchanting are included only in BOP goods, as goods involved in transactions are not present in the compiling economy. After the methodological change introduced by the BPM6, transactions linked to goods sent abroad for processing have been removed from the BOP goods item but are still included in international trade in goods statistics. In BOP, only fees charged by the processor are recorded as a service, under “manufacturing services on physical inputs owned by others”. Differences in valuation occur because imports/debits are valued free on board (f.o.b.) in the BOP, but are valued cost, insurance and freight (c.i.f.) in ITGS.</w:t>
            </w:r>
          </w:p>
          <w:p w14:paraId="083028D4" w14:textId="77777777" w:rsidR="00F56CBD" w:rsidRPr="00572EF2" w:rsidRDefault="00F56CBD" w:rsidP="00F56CBD">
            <w:pPr>
              <w:autoSpaceDE w:val="0"/>
              <w:autoSpaceDN w:val="0"/>
              <w:adjustRightInd w:val="0"/>
              <w:spacing w:after="0" w:line="240" w:lineRule="auto"/>
              <w:jc w:val="both"/>
              <w:rPr>
                <w:rFonts w:ascii="Times New Roman" w:hAnsi="Times New Roman" w:cs="Times New Roman"/>
                <w:lang w:eastAsia="nl-NL"/>
              </w:rPr>
            </w:pPr>
            <w:r w:rsidRPr="00572EF2">
              <w:rPr>
                <w:rFonts w:ascii="Times New Roman" w:hAnsi="Times New Roman" w:cs="Times New Roman"/>
                <w:lang w:eastAsia="nl-NL"/>
              </w:rPr>
              <w:t>Consistency with national accounts</w:t>
            </w:r>
          </w:p>
          <w:p w14:paraId="3A9AF601" w14:textId="7B481D4B" w:rsidR="00F56CBD" w:rsidRPr="00572EF2" w:rsidRDefault="00F56CBD" w:rsidP="00F56CBD">
            <w:pPr>
              <w:spacing w:before="30" w:after="30"/>
              <w:jc w:val="both"/>
              <w:rPr>
                <w:rFonts w:ascii="Times New Roman" w:hAnsi="Times New Roman" w:cs="Times New Roman"/>
                <w:lang w:eastAsia="nl-NL"/>
              </w:rPr>
            </w:pPr>
            <w:r w:rsidRPr="00572EF2">
              <w:rPr>
                <w:rFonts w:ascii="Times New Roman" w:hAnsi="Times New Roman" w:cs="Times New Roman"/>
                <w:lang w:eastAsia="nl-NL"/>
              </w:rPr>
              <w:t xml:space="preserve">There is close cooperation in fields of FISIM and other BOP issues of relevance for the ROW account of National Accounts. BOP estimates must fit with NA estimates where applicable. INSTAT uses solely International Trade in Services data from the balance of payments (excluding export of FISIM that is calculated by INSTAT, and the phenomenon is currently not yet recorded in the balance of payments but is recorded in National Accounts). </w:t>
            </w:r>
          </w:p>
          <w:p w14:paraId="65DC458D" w14:textId="2D23CEBE" w:rsidR="00F56CBD" w:rsidRPr="00572EF2" w:rsidRDefault="00F56CBD" w:rsidP="00F56CBD">
            <w:pPr>
              <w:spacing w:before="30" w:after="30"/>
              <w:jc w:val="both"/>
              <w:rPr>
                <w:rFonts w:ascii="Times New Roman" w:hAnsi="Times New Roman" w:cs="Times New Roman"/>
                <w:lang w:eastAsia="nl-NL"/>
              </w:rPr>
            </w:pPr>
            <w:r w:rsidRPr="00572EF2">
              <w:rPr>
                <w:rFonts w:ascii="Times New Roman" w:hAnsi="Times New Roman" w:cs="Times New Roman"/>
                <w:lang w:eastAsia="nl-NL"/>
              </w:rPr>
              <w:t xml:space="preserve">Also, other sources are used as double check. INSTAT survey results on services are studied to discover possible trends and variations in data captured/compiled.     </w:t>
            </w:r>
          </w:p>
          <w:p w14:paraId="4E650D1C" w14:textId="77777777" w:rsidR="00F56CBD" w:rsidRPr="00572EF2" w:rsidRDefault="00F56CBD" w:rsidP="00F56CBD">
            <w:pPr>
              <w:spacing w:before="30" w:after="30"/>
              <w:jc w:val="both"/>
              <w:rPr>
                <w:rFonts w:ascii="Times New Roman" w:hAnsi="Times New Roman" w:cs="Times New Roman"/>
                <w:lang w:eastAsia="nl-NL"/>
              </w:rPr>
            </w:pPr>
            <w:r w:rsidRPr="00572EF2">
              <w:rPr>
                <w:rFonts w:ascii="Times New Roman" w:hAnsi="Times New Roman" w:cs="Times New Roman"/>
                <w:lang w:eastAsia="nl-NL"/>
              </w:rPr>
              <w:t>Internal consistency (including components summing to totals and quarters summing to annuals)</w:t>
            </w:r>
          </w:p>
          <w:p w14:paraId="0BC33BE6" w14:textId="77777777" w:rsidR="00F56CBD" w:rsidRPr="00572EF2" w:rsidRDefault="00F56CBD" w:rsidP="00F56CBD">
            <w:pPr>
              <w:spacing w:before="30" w:after="30"/>
              <w:jc w:val="both"/>
              <w:rPr>
                <w:rFonts w:ascii="Times New Roman" w:hAnsi="Times New Roman" w:cs="Times New Roman"/>
                <w:lang w:eastAsia="nl-NL"/>
              </w:rPr>
            </w:pPr>
            <w:r w:rsidRPr="00572EF2">
              <w:rPr>
                <w:rFonts w:ascii="Times New Roman" w:hAnsi="Times New Roman" w:cs="Times New Roman"/>
                <w:lang w:eastAsia="nl-NL"/>
              </w:rPr>
              <w:t xml:space="preserve">In principle, when annual data are available, quarterly data should be adjusted accordingly. Each subsequent quarterly publication includes common revisions of previous years and sometimes up to 5 years, depending on availability of data. </w:t>
            </w:r>
          </w:p>
          <w:p w14:paraId="33013CB6" w14:textId="5120327B" w:rsidR="001178D7" w:rsidRPr="00572EF2" w:rsidRDefault="00F56CBD" w:rsidP="00F56CBD">
            <w:pPr>
              <w:spacing w:before="30" w:after="30"/>
              <w:jc w:val="both"/>
              <w:rPr>
                <w:rFonts w:ascii="Times New Roman" w:hAnsi="Times New Roman" w:cs="Times New Roman"/>
                <w:lang w:eastAsia="nl-NL"/>
              </w:rPr>
            </w:pPr>
            <w:r w:rsidRPr="00572EF2">
              <w:rPr>
                <w:rFonts w:ascii="Times New Roman" w:hAnsi="Times New Roman" w:cs="Times New Roman"/>
                <w:lang w:eastAsia="nl-NL"/>
              </w:rPr>
              <w:t>There were almost no discrepancies for quarterly and annual ITSS data in the datasets delivered at the end of Septem</w:t>
            </w:r>
            <w:r w:rsidR="00A31949">
              <w:rPr>
                <w:rFonts w:ascii="Times New Roman" w:hAnsi="Times New Roman" w:cs="Times New Roman"/>
                <w:lang w:eastAsia="nl-NL"/>
              </w:rPr>
              <w:t>ber</w:t>
            </w:r>
            <w:r w:rsidR="00E26BF8">
              <w:rPr>
                <w:rFonts w:ascii="Times New Roman" w:hAnsi="Times New Roman" w:cs="Times New Roman"/>
                <w:lang w:eastAsia="nl-NL"/>
              </w:rPr>
              <w:t>.</w:t>
            </w:r>
          </w:p>
        </w:tc>
      </w:tr>
      <w:tr w:rsidR="001178D7" w:rsidRPr="00493D72" w14:paraId="5F4662FF" w14:textId="77777777" w:rsidTr="00BB1DFF">
        <w:trPr>
          <w:gridAfter w:val="1"/>
          <w:wAfter w:w="851" w:type="dxa"/>
          <w:trHeight w:val="567"/>
        </w:trPr>
        <w:tc>
          <w:tcPr>
            <w:tcW w:w="2471" w:type="dxa"/>
            <w:shd w:val="clear" w:color="auto" w:fill="FFFFCC"/>
            <w:vAlign w:val="center"/>
            <w:hideMark/>
          </w:tcPr>
          <w:p w14:paraId="251079C9"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18.5. Data compilation </w:t>
            </w:r>
          </w:p>
        </w:tc>
        <w:tc>
          <w:tcPr>
            <w:tcW w:w="7872" w:type="dxa"/>
          </w:tcPr>
          <w:p w14:paraId="041CC88C" w14:textId="48EAD6FD" w:rsidR="001178D7" w:rsidRDefault="00F56CBD" w:rsidP="00F56CBD">
            <w:pPr>
              <w:spacing w:before="30" w:after="30"/>
              <w:jc w:val="both"/>
              <w:rPr>
                <w:sz w:val="24"/>
              </w:rPr>
            </w:pPr>
            <w:r w:rsidRPr="00344520">
              <w:rPr>
                <w:rFonts w:ascii="Times New Roman" w:hAnsi="Times New Roman" w:cs="Times New Roman"/>
                <w:lang w:eastAsia="nl-NL"/>
              </w:rPr>
              <w:t xml:space="preserve">Time of recording: broadly in line with the BPM6, recording is on a transaction basis ("accruals principle"), meaning that transactions have to be recorded when economic value is created, transformed, transferred or extinguished for manufacturing services, insurance services, </w:t>
            </w:r>
            <w:r w:rsidRPr="00F56CBD">
              <w:rPr>
                <w:rFonts w:ascii="Times New Roman" w:hAnsi="Times New Roman" w:cs="Times New Roman"/>
                <w:lang w:eastAsia="nl-NL"/>
              </w:rPr>
              <w:t>most</w:t>
            </w:r>
            <w:r w:rsidRPr="00344520">
              <w:rPr>
                <w:rFonts w:ascii="Times New Roman" w:hAnsi="Times New Roman" w:cs="Times New Roman"/>
                <w:lang w:eastAsia="nl-NL"/>
              </w:rPr>
              <w:t xml:space="preserve"> of the services, as rely on ITRS, are compiled on cash basis. Travel </w:t>
            </w:r>
            <w:r w:rsidR="007E6B01" w:rsidRPr="00344520">
              <w:rPr>
                <w:rFonts w:ascii="Times New Roman" w:hAnsi="Times New Roman" w:cs="Times New Roman"/>
                <w:lang w:eastAsia="nl-NL"/>
              </w:rPr>
              <w:t>is</w:t>
            </w:r>
            <w:r w:rsidRPr="00344520">
              <w:rPr>
                <w:rFonts w:ascii="Times New Roman" w:hAnsi="Times New Roman" w:cs="Times New Roman"/>
                <w:lang w:eastAsia="nl-NL"/>
              </w:rPr>
              <w:t xml:space="preserve"> compiled based on the time of provision of the services. Government services are </w:t>
            </w:r>
            <w:r w:rsidRPr="00BD3A7E">
              <w:rPr>
                <w:rFonts w:ascii="Times New Roman" w:hAnsi="Times New Roman" w:cs="Times New Roman"/>
                <w:lang w:eastAsia="nl-NL"/>
              </w:rPr>
              <w:t xml:space="preserve">compiled </w:t>
            </w:r>
            <w:r w:rsidRPr="00F56CBD">
              <w:rPr>
                <w:rFonts w:ascii="Times New Roman" w:hAnsi="Times New Roman" w:cs="Times New Roman"/>
                <w:lang w:eastAsia="nl-NL"/>
              </w:rPr>
              <w:t>on a cash</w:t>
            </w:r>
            <w:r w:rsidRPr="00BD3A7E">
              <w:rPr>
                <w:rFonts w:ascii="Times New Roman" w:hAnsi="Times New Roman" w:cs="Times New Roman"/>
                <w:lang w:eastAsia="nl-NL"/>
              </w:rPr>
              <w:t xml:space="preserve"> basis.</w:t>
            </w:r>
            <w:r w:rsidRPr="00344520">
              <w:rPr>
                <w:rFonts w:ascii="Times New Roman" w:hAnsi="Times New Roman" w:cs="Times New Roman"/>
                <w:lang w:eastAsia="nl-NL"/>
              </w:rPr>
              <w:t xml:space="preserve"> The main criterion is change of ownership. The change may be legal or economic. Valuation: in principle, market prices are used (income from investment book value).</w:t>
            </w:r>
          </w:p>
        </w:tc>
      </w:tr>
      <w:tr w:rsidR="001178D7" w:rsidRPr="00493D72" w14:paraId="04430D8D" w14:textId="77777777" w:rsidTr="00BB1DFF">
        <w:trPr>
          <w:gridAfter w:val="1"/>
          <w:wAfter w:w="851" w:type="dxa"/>
          <w:trHeight w:val="567"/>
        </w:trPr>
        <w:tc>
          <w:tcPr>
            <w:tcW w:w="2471" w:type="dxa"/>
            <w:shd w:val="clear" w:color="auto" w:fill="FFFFCC"/>
            <w:vAlign w:val="center"/>
            <w:hideMark/>
          </w:tcPr>
          <w:p w14:paraId="2A50BD0F" w14:textId="77777777" w:rsidR="001178D7" w:rsidRPr="00493D72" w:rsidRDefault="001178D7" w:rsidP="001178D7">
            <w:pPr>
              <w:spacing w:after="0"/>
              <w:rPr>
                <w:rFonts w:ascii="Times New Roman" w:hAnsi="Times New Roman" w:cs="Times New Roman"/>
                <w:noProof/>
                <w:sz w:val="24"/>
                <w:szCs w:val="24"/>
                <w:lang w:val="sq-AL"/>
              </w:rPr>
            </w:pPr>
            <w:r w:rsidRPr="00493D72">
              <w:rPr>
                <w:rFonts w:ascii="Times New Roman" w:hAnsi="Times New Roman" w:cs="Times New Roman"/>
                <w:noProof/>
                <w:sz w:val="24"/>
                <w:szCs w:val="24"/>
                <w:lang w:val="sq-AL"/>
              </w:rPr>
              <w:t>18.6. Adjustment</w:t>
            </w:r>
          </w:p>
        </w:tc>
        <w:tc>
          <w:tcPr>
            <w:tcW w:w="7872" w:type="dxa"/>
            <w:noWrap/>
          </w:tcPr>
          <w:p w14:paraId="7671BBEB" w14:textId="751F6B5A" w:rsidR="001178D7" w:rsidRDefault="00F56CBD" w:rsidP="00F56CBD">
            <w:pPr>
              <w:pStyle w:val="TableParagraph"/>
              <w:spacing w:before="240" w:after="240"/>
              <w:ind w:right="85"/>
              <w:jc w:val="both"/>
              <w:rPr>
                <w:sz w:val="24"/>
              </w:rPr>
            </w:pPr>
            <w:r w:rsidRPr="00F56CBD">
              <w:rPr>
                <w:rFonts w:eastAsiaTheme="minorEastAsia"/>
                <w:lang w:eastAsia="nl-NL"/>
              </w:rPr>
              <w:t>Adjustments in BOP data are applied in current account/import of goods for smuggling</w:t>
            </w:r>
          </w:p>
        </w:tc>
      </w:tr>
      <w:tr w:rsidR="001178D7" w:rsidRPr="00493D72" w14:paraId="317E9AA4" w14:textId="77777777" w:rsidTr="00BB1DFF">
        <w:trPr>
          <w:gridAfter w:val="1"/>
          <w:wAfter w:w="851" w:type="dxa"/>
          <w:trHeight w:val="567"/>
        </w:trPr>
        <w:tc>
          <w:tcPr>
            <w:tcW w:w="2471" w:type="dxa"/>
            <w:shd w:val="clear" w:color="auto" w:fill="C5E0B3" w:themeFill="accent6" w:themeFillTint="66"/>
            <w:vAlign w:val="center"/>
            <w:hideMark/>
          </w:tcPr>
          <w:p w14:paraId="1B6B9259" w14:textId="77777777" w:rsidR="001178D7" w:rsidRPr="00493D72" w:rsidRDefault="001178D7" w:rsidP="001178D7">
            <w:pPr>
              <w:pStyle w:val="Heading1"/>
              <w:spacing w:before="0"/>
              <w:rPr>
                <w:rFonts w:ascii="Times New Roman" w:eastAsia="Times New Roman" w:hAnsi="Times New Roman" w:cs="Times New Roman"/>
                <w:b w:val="0"/>
                <w:bCs w:val="0"/>
                <w:noProof/>
                <w:color w:val="000000"/>
                <w:sz w:val="24"/>
                <w:szCs w:val="24"/>
                <w:lang w:val="sq-AL" w:eastAsia="sq-AL"/>
              </w:rPr>
            </w:pPr>
            <w:bookmarkStart w:id="19" w:name="_Toc104283938"/>
            <w:r w:rsidRPr="00493D72">
              <w:rPr>
                <w:rFonts w:ascii="Times New Roman" w:eastAsia="Times New Roman" w:hAnsi="Times New Roman" w:cs="Times New Roman"/>
                <w:noProof/>
                <w:color w:val="000000" w:themeColor="text1"/>
                <w:sz w:val="24"/>
                <w:szCs w:val="24"/>
                <w:lang w:val="sq-AL" w:eastAsia="sq-AL"/>
              </w:rPr>
              <w:lastRenderedPageBreak/>
              <w:t>19. Comment</w:t>
            </w:r>
            <w:bookmarkEnd w:id="19"/>
          </w:p>
        </w:tc>
        <w:tc>
          <w:tcPr>
            <w:tcW w:w="7872" w:type="dxa"/>
            <w:noWrap/>
            <w:vAlign w:val="center"/>
            <w:hideMark/>
          </w:tcPr>
          <w:p w14:paraId="08DA15AF"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p>
        </w:tc>
      </w:tr>
      <w:tr w:rsidR="001178D7" w:rsidRPr="00493D72" w14:paraId="3BFA2BB6" w14:textId="77777777" w:rsidTr="00BB1DFF">
        <w:trPr>
          <w:gridAfter w:val="1"/>
          <w:wAfter w:w="851" w:type="dxa"/>
          <w:trHeight w:val="567"/>
        </w:trPr>
        <w:tc>
          <w:tcPr>
            <w:tcW w:w="10343" w:type="dxa"/>
            <w:gridSpan w:val="2"/>
            <w:shd w:val="clear" w:color="auto" w:fill="C5E0B3" w:themeFill="accent6" w:themeFillTint="66"/>
            <w:vAlign w:val="center"/>
            <w:hideMark/>
          </w:tcPr>
          <w:p w14:paraId="60FF44AB" w14:textId="77777777" w:rsidR="001178D7" w:rsidRPr="00493D72" w:rsidRDefault="001178D7" w:rsidP="001178D7">
            <w:pPr>
              <w:pStyle w:val="Heading1"/>
              <w:spacing w:before="0"/>
              <w:rPr>
                <w:rFonts w:ascii="Times New Roman" w:eastAsia="Times New Roman" w:hAnsi="Times New Roman" w:cs="Times New Roman"/>
                <w:noProof/>
                <w:color w:val="000000"/>
                <w:sz w:val="24"/>
                <w:szCs w:val="24"/>
                <w:lang w:val="sq-AL" w:eastAsia="sq-AL"/>
              </w:rPr>
            </w:pPr>
            <w:bookmarkStart w:id="20" w:name="_Toc104283939"/>
            <w:r w:rsidRPr="00493D72">
              <w:rPr>
                <w:rFonts w:ascii="Times New Roman" w:eastAsia="Times New Roman" w:hAnsi="Times New Roman" w:cs="Times New Roman"/>
                <w:bCs w:val="0"/>
                <w:noProof/>
                <w:color w:val="000000"/>
                <w:sz w:val="24"/>
                <w:szCs w:val="24"/>
                <w:lang w:val="sq-AL" w:eastAsia="sq-AL"/>
              </w:rPr>
              <w:t>Annex</w:t>
            </w:r>
            <w:bookmarkEnd w:id="20"/>
          </w:p>
        </w:tc>
      </w:tr>
    </w:tbl>
    <w:p w14:paraId="076BCBEC" w14:textId="77777777" w:rsidR="0055533F" w:rsidRDefault="0055533F" w:rsidP="0055533F">
      <w:pPr>
        <w:tabs>
          <w:tab w:val="left" w:pos="4182"/>
        </w:tabs>
        <w:spacing w:after="0"/>
        <w:rPr>
          <w:b/>
          <w:highlight w:val="yellow"/>
        </w:rPr>
      </w:pPr>
    </w:p>
    <w:p w14:paraId="4D7AD84D" w14:textId="77777777" w:rsidR="0055533F" w:rsidRDefault="0055533F" w:rsidP="0055533F">
      <w:pPr>
        <w:tabs>
          <w:tab w:val="left" w:pos="4182"/>
        </w:tabs>
        <w:spacing w:after="0"/>
        <w:rPr>
          <w:b/>
          <w:highlight w:val="yellow"/>
        </w:rPr>
      </w:pPr>
    </w:p>
    <w:p w14:paraId="7CC8EB52" w14:textId="77777777" w:rsidR="0055533F" w:rsidRDefault="0055533F" w:rsidP="0055533F">
      <w:pPr>
        <w:tabs>
          <w:tab w:val="left" w:pos="4182"/>
        </w:tabs>
        <w:spacing w:after="0"/>
        <w:rPr>
          <w:b/>
          <w:highlight w:val="yellow"/>
        </w:rPr>
      </w:pPr>
    </w:p>
    <w:p w14:paraId="42F89177" w14:textId="77777777" w:rsidR="0055533F" w:rsidRDefault="0055533F" w:rsidP="0055533F">
      <w:pPr>
        <w:tabs>
          <w:tab w:val="left" w:pos="4182"/>
        </w:tabs>
        <w:spacing w:after="0"/>
        <w:rPr>
          <w:b/>
          <w:highlight w:val="yellow"/>
        </w:rPr>
      </w:pPr>
    </w:p>
    <w:p w14:paraId="54F152A1" w14:textId="77777777" w:rsidR="0055533F" w:rsidRDefault="0055533F" w:rsidP="0055533F">
      <w:pPr>
        <w:tabs>
          <w:tab w:val="left" w:pos="4182"/>
        </w:tabs>
        <w:spacing w:after="0"/>
        <w:rPr>
          <w:b/>
          <w:highlight w:val="yellow"/>
        </w:rPr>
      </w:pPr>
    </w:p>
    <w:p w14:paraId="48FBC081" w14:textId="77777777" w:rsidR="0055533F" w:rsidRDefault="0055533F" w:rsidP="0055533F">
      <w:pPr>
        <w:tabs>
          <w:tab w:val="left" w:pos="4182"/>
        </w:tabs>
        <w:spacing w:after="0"/>
        <w:rPr>
          <w:b/>
          <w:highlight w:val="yellow"/>
        </w:rPr>
      </w:pPr>
    </w:p>
    <w:p w14:paraId="7D1502C8" w14:textId="77777777" w:rsidR="0055533F" w:rsidRDefault="0055533F" w:rsidP="0055533F">
      <w:pPr>
        <w:tabs>
          <w:tab w:val="left" w:pos="4182"/>
        </w:tabs>
        <w:spacing w:after="0"/>
        <w:rPr>
          <w:b/>
          <w:highlight w:val="yellow"/>
        </w:rPr>
      </w:pPr>
    </w:p>
    <w:p w14:paraId="2A189E68" w14:textId="77777777" w:rsidR="0055533F" w:rsidRDefault="0055533F" w:rsidP="0055533F">
      <w:pPr>
        <w:tabs>
          <w:tab w:val="left" w:pos="4182"/>
        </w:tabs>
        <w:spacing w:after="0"/>
        <w:rPr>
          <w:b/>
          <w:highlight w:val="yellow"/>
        </w:rPr>
      </w:pPr>
    </w:p>
    <w:p w14:paraId="0D81B70E" w14:textId="77777777" w:rsidR="0055533F" w:rsidRDefault="0055533F" w:rsidP="0055533F">
      <w:pPr>
        <w:tabs>
          <w:tab w:val="left" w:pos="4182"/>
        </w:tabs>
        <w:spacing w:after="0"/>
        <w:rPr>
          <w:b/>
          <w:highlight w:val="yellow"/>
        </w:rPr>
      </w:pPr>
    </w:p>
    <w:p w14:paraId="44583B33" w14:textId="77777777" w:rsidR="0055533F" w:rsidRDefault="0055533F" w:rsidP="0055533F">
      <w:pPr>
        <w:tabs>
          <w:tab w:val="left" w:pos="4182"/>
        </w:tabs>
        <w:spacing w:after="0"/>
        <w:rPr>
          <w:b/>
          <w:highlight w:val="yellow"/>
        </w:rPr>
      </w:pPr>
    </w:p>
    <w:p w14:paraId="07E3E654" w14:textId="77777777" w:rsidR="007952CE" w:rsidRDefault="007952CE"/>
    <w:sectPr w:rsidR="007952CE" w:rsidSect="00BB1DFF">
      <w:footerReference w:type="default" r:id="rId17"/>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A434" w14:textId="77777777" w:rsidR="001F7EDA" w:rsidRDefault="001F7EDA">
      <w:pPr>
        <w:spacing w:after="0" w:line="240" w:lineRule="auto"/>
      </w:pPr>
      <w:r>
        <w:separator/>
      </w:r>
    </w:p>
  </w:endnote>
  <w:endnote w:type="continuationSeparator" w:id="0">
    <w:p w14:paraId="4EA8F9C0" w14:textId="77777777" w:rsidR="001F7EDA" w:rsidRDefault="001F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6670"/>
      <w:docPartObj>
        <w:docPartGallery w:val="Page Numbers (Bottom of Page)"/>
        <w:docPartUnique/>
      </w:docPartObj>
    </w:sdtPr>
    <w:sdtContent>
      <w:p w14:paraId="6AA75FF0" w14:textId="77777777" w:rsidR="00F439C4" w:rsidRDefault="00E8224C">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2187B97" w14:textId="77777777" w:rsidR="00F439C4" w:rsidRDefault="00F43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58F1" w14:textId="77777777" w:rsidR="001F7EDA" w:rsidRDefault="001F7EDA">
      <w:pPr>
        <w:spacing w:after="0" w:line="240" w:lineRule="auto"/>
      </w:pPr>
      <w:r>
        <w:separator/>
      </w:r>
    </w:p>
  </w:footnote>
  <w:footnote w:type="continuationSeparator" w:id="0">
    <w:p w14:paraId="75838F69" w14:textId="77777777" w:rsidR="001F7EDA" w:rsidRDefault="001F7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8A0"/>
    <w:multiLevelType w:val="hybridMultilevel"/>
    <w:tmpl w:val="2C6818C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36743C05"/>
    <w:multiLevelType w:val="hybridMultilevel"/>
    <w:tmpl w:val="90242CB8"/>
    <w:lvl w:ilvl="0" w:tplc="5E7083A0">
      <w:start w:val="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3B197DC3"/>
    <w:multiLevelType w:val="hybridMultilevel"/>
    <w:tmpl w:val="F5AC5332"/>
    <w:lvl w:ilvl="0" w:tplc="EC8443E0">
      <w:start w:val="1"/>
      <w:numFmt w:val="bullet"/>
      <w:lvlText w:val="•"/>
      <w:lvlJc w:val="left"/>
      <w:pPr>
        <w:ind w:left="360" w:hanging="360"/>
      </w:pPr>
      <w:rPr>
        <w:rFonts w:ascii="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40F2529F"/>
    <w:multiLevelType w:val="hybridMultilevel"/>
    <w:tmpl w:val="DE08645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44065268"/>
    <w:multiLevelType w:val="hybridMultilevel"/>
    <w:tmpl w:val="16F2CA56"/>
    <w:lvl w:ilvl="0" w:tplc="EC8443E0">
      <w:start w:val="1"/>
      <w:numFmt w:val="bullet"/>
      <w:lvlText w:val="•"/>
      <w:lvlJc w:val="left"/>
      <w:pPr>
        <w:ind w:left="360" w:hanging="360"/>
      </w:pPr>
      <w:rPr>
        <w:rFonts w:ascii="Times New Roman"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 w15:restartNumberingAfterBreak="0">
    <w:nsid w:val="4F4830ED"/>
    <w:multiLevelType w:val="hybridMultilevel"/>
    <w:tmpl w:val="96827680"/>
    <w:lvl w:ilvl="0" w:tplc="9B8276E4">
      <w:start w:val="1"/>
      <w:numFmt w:val="bullet"/>
      <w:lvlText w:val=""/>
      <w:lvlJc w:val="left"/>
      <w:pPr>
        <w:ind w:left="720" w:hanging="360"/>
      </w:pPr>
      <w:rPr>
        <w:rFonts w:ascii="Symbol" w:hAnsi="Symbol" w:hint="default"/>
        <w:color w:val="auto"/>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50825DF6"/>
    <w:multiLevelType w:val="hybridMultilevel"/>
    <w:tmpl w:val="F83E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E0A38"/>
    <w:multiLevelType w:val="hybridMultilevel"/>
    <w:tmpl w:val="7E74968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977414103">
    <w:abstractNumId w:val="7"/>
  </w:num>
  <w:num w:numId="2" w16cid:durableId="61562561">
    <w:abstractNumId w:val="5"/>
  </w:num>
  <w:num w:numId="3" w16cid:durableId="1652247753">
    <w:abstractNumId w:val="3"/>
  </w:num>
  <w:num w:numId="4" w16cid:durableId="1484934791">
    <w:abstractNumId w:val="0"/>
  </w:num>
  <w:num w:numId="5" w16cid:durableId="1451584770">
    <w:abstractNumId w:val="4"/>
  </w:num>
  <w:num w:numId="6" w16cid:durableId="435489307">
    <w:abstractNumId w:val="2"/>
  </w:num>
  <w:num w:numId="7" w16cid:durableId="1711029405">
    <w:abstractNumId w:val="1"/>
  </w:num>
  <w:num w:numId="8" w16cid:durableId="1234972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3F"/>
    <w:rsid w:val="00002748"/>
    <w:rsid w:val="000F183C"/>
    <w:rsid w:val="001178D7"/>
    <w:rsid w:val="001F7EDA"/>
    <w:rsid w:val="00227F83"/>
    <w:rsid w:val="002661D3"/>
    <w:rsid w:val="002D773D"/>
    <w:rsid w:val="002F2B74"/>
    <w:rsid w:val="003405CC"/>
    <w:rsid w:val="003625DE"/>
    <w:rsid w:val="00433C55"/>
    <w:rsid w:val="004C1092"/>
    <w:rsid w:val="005330D3"/>
    <w:rsid w:val="00552ED3"/>
    <w:rsid w:val="0055533F"/>
    <w:rsid w:val="00555F42"/>
    <w:rsid w:val="00572EF2"/>
    <w:rsid w:val="00575193"/>
    <w:rsid w:val="005A1732"/>
    <w:rsid w:val="005F6C36"/>
    <w:rsid w:val="007063E1"/>
    <w:rsid w:val="007432D9"/>
    <w:rsid w:val="007773EE"/>
    <w:rsid w:val="00784AFE"/>
    <w:rsid w:val="007952CE"/>
    <w:rsid w:val="007A0F45"/>
    <w:rsid w:val="007A2EA3"/>
    <w:rsid w:val="007A5872"/>
    <w:rsid w:val="007C39E2"/>
    <w:rsid w:val="007E6B01"/>
    <w:rsid w:val="0082765B"/>
    <w:rsid w:val="00846414"/>
    <w:rsid w:val="008736BF"/>
    <w:rsid w:val="008B6019"/>
    <w:rsid w:val="0090153B"/>
    <w:rsid w:val="00902132"/>
    <w:rsid w:val="00904D43"/>
    <w:rsid w:val="00A31949"/>
    <w:rsid w:val="00A647E2"/>
    <w:rsid w:val="00A8585B"/>
    <w:rsid w:val="00B52CD4"/>
    <w:rsid w:val="00B91205"/>
    <w:rsid w:val="00BB1DFF"/>
    <w:rsid w:val="00C33C5A"/>
    <w:rsid w:val="00C55509"/>
    <w:rsid w:val="00C9326F"/>
    <w:rsid w:val="00CA41DB"/>
    <w:rsid w:val="00CD02CE"/>
    <w:rsid w:val="00D75A71"/>
    <w:rsid w:val="00D77562"/>
    <w:rsid w:val="00DD2574"/>
    <w:rsid w:val="00DE34D2"/>
    <w:rsid w:val="00E12122"/>
    <w:rsid w:val="00E2522D"/>
    <w:rsid w:val="00E26BF8"/>
    <w:rsid w:val="00E40078"/>
    <w:rsid w:val="00E51718"/>
    <w:rsid w:val="00E63ABD"/>
    <w:rsid w:val="00E8224C"/>
    <w:rsid w:val="00EC4A17"/>
    <w:rsid w:val="00EE3BE5"/>
    <w:rsid w:val="00F07017"/>
    <w:rsid w:val="00F439C4"/>
    <w:rsid w:val="00F4517E"/>
    <w:rsid w:val="00F52F8C"/>
    <w:rsid w:val="00F56CBD"/>
    <w:rsid w:val="00FA07A5"/>
    <w:rsid w:val="00FB5A42"/>
    <w:rsid w:val="00FF2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CC1D"/>
  <w15:chartTrackingRefBased/>
  <w15:docId w15:val="{6322F491-C071-4F6A-B049-776A4978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33F"/>
    <w:pPr>
      <w:spacing w:after="200" w:line="276" w:lineRule="auto"/>
    </w:pPr>
    <w:rPr>
      <w:rFonts w:eastAsiaTheme="minorEastAsia"/>
      <w:lang w:val="en-US"/>
    </w:rPr>
  </w:style>
  <w:style w:type="paragraph" w:styleId="Heading1">
    <w:name w:val="heading 1"/>
    <w:basedOn w:val="Normal"/>
    <w:next w:val="Normal"/>
    <w:link w:val="Heading1Char"/>
    <w:uiPriority w:val="9"/>
    <w:qFormat/>
    <w:rsid w:val="0055533F"/>
    <w:pPr>
      <w:keepNext/>
      <w:keepLines/>
      <w:spacing w:before="480" w:after="0"/>
      <w:outlineLvl w:val="0"/>
    </w:pPr>
    <w:rPr>
      <w:rFonts w:asciiTheme="majorHAnsi" w:eastAsiaTheme="majorEastAsia" w:hAnsiTheme="majorHAnsi" w:cstheme="majorBidi"/>
      <w:b/>
      <w:bCs/>
      <w:color w:val="2F5496" w:themeColor="accent1" w:themeShade="BF"/>
      <w:sz w:val="28"/>
      <w:szCs w:val="28"/>
      <w:lang w:val="en-GB"/>
    </w:rPr>
  </w:style>
  <w:style w:type="paragraph" w:styleId="Heading2">
    <w:name w:val="heading 2"/>
    <w:basedOn w:val="Normal"/>
    <w:next w:val="Normal"/>
    <w:link w:val="Heading2Char"/>
    <w:uiPriority w:val="9"/>
    <w:unhideWhenUsed/>
    <w:qFormat/>
    <w:rsid w:val="00D77562"/>
    <w:pPr>
      <w:keepNext/>
      <w:keepLines/>
      <w:tabs>
        <w:tab w:val="num" w:pos="756"/>
      </w:tabs>
      <w:spacing w:before="120" w:after="120" w:line="360" w:lineRule="auto"/>
      <w:ind w:left="756" w:hanging="576"/>
      <w:outlineLvl w:val="1"/>
    </w:pPr>
    <w:rPr>
      <w:rFonts w:ascii="Times New Roman" w:eastAsiaTheme="majorEastAsia" w:hAnsi="Times New Roman"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7562"/>
    <w:pPr>
      <w:keepNext/>
      <w:keepLines/>
      <w:tabs>
        <w:tab w:val="num" w:pos="720"/>
      </w:tabs>
      <w:spacing w:before="40" w:after="120" w:line="259" w:lineRule="auto"/>
      <w:ind w:left="720" w:hanging="720"/>
      <w:outlineLvl w:val="2"/>
    </w:pPr>
    <w:rPr>
      <w:rFonts w:ascii="Times New Roman" w:eastAsiaTheme="majorEastAsia" w:hAnsi="Times New Roman"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77562"/>
    <w:pPr>
      <w:keepNext/>
      <w:keepLines/>
      <w:tabs>
        <w:tab w:val="num" w:pos="864"/>
      </w:tabs>
      <w:spacing w:before="40" w:after="0" w:line="259" w:lineRule="auto"/>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7562"/>
    <w:pPr>
      <w:keepNext/>
      <w:keepLines/>
      <w:tabs>
        <w:tab w:val="num" w:pos="1008"/>
      </w:tabs>
      <w:spacing w:before="40" w:after="0" w:line="259" w:lineRule="auto"/>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77562"/>
    <w:pPr>
      <w:keepNext/>
      <w:keepLines/>
      <w:tabs>
        <w:tab w:val="num" w:pos="1152"/>
      </w:tabs>
      <w:spacing w:before="40" w:after="0" w:line="259" w:lineRule="auto"/>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77562"/>
    <w:pPr>
      <w:keepNext/>
      <w:keepLines/>
      <w:tabs>
        <w:tab w:val="num" w:pos="1296"/>
      </w:tabs>
      <w:spacing w:before="40" w:after="0" w:line="259" w:lineRule="auto"/>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77562"/>
    <w:pPr>
      <w:keepNext/>
      <w:keepLines/>
      <w:tabs>
        <w:tab w:val="num" w:pos="1440"/>
      </w:tab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5F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33F"/>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55533F"/>
    <w:rPr>
      <w:color w:val="0000FF"/>
      <w:u w:val="single"/>
    </w:rPr>
  </w:style>
  <w:style w:type="paragraph" w:customStyle="1" w:styleId="Default">
    <w:name w:val="Default"/>
    <w:rsid w:val="0055533F"/>
    <w:pPr>
      <w:autoSpaceDE w:val="0"/>
      <w:autoSpaceDN w:val="0"/>
      <w:adjustRightInd w:val="0"/>
      <w:spacing w:after="0" w:line="240" w:lineRule="auto"/>
    </w:pPr>
    <w:rPr>
      <w:rFonts w:ascii="Arial" w:eastAsia="Times New Roman" w:hAnsi="Arial" w:cs="Arial"/>
      <w:color w:val="000000"/>
      <w:sz w:val="24"/>
      <w:szCs w:val="24"/>
      <w:lang w:val="sq-AL"/>
    </w:rPr>
  </w:style>
  <w:style w:type="table" w:styleId="TableGrid">
    <w:name w:val="Table Grid"/>
    <w:basedOn w:val="TableNormal"/>
    <w:uiPriority w:val="59"/>
    <w:rsid w:val="0055533F"/>
    <w:pPr>
      <w:spacing w:after="0" w:line="240" w:lineRule="auto"/>
    </w:pPr>
    <w:rPr>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5533F"/>
    <w:pPr>
      <w:outlineLvl w:val="9"/>
    </w:pPr>
    <w:rPr>
      <w:lang w:val="en-US"/>
    </w:rPr>
  </w:style>
  <w:style w:type="paragraph" w:styleId="TOC1">
    <w:name w:val="toc 1"/>
    <w:basedOn w:val="Normal"/>
    <w:next w:val="Normal"/>
    <w:autoRedefine/>
    <w:uiPriority w:val="39"/>
    <w:unhideWhenUsed/>
    <w:rsid w:val="0055533F"/>
    <w:pPr>
      <w:spacing w:after="100"/>
    </w:pPr>
    <w:rPr>
      <w:rFonts w:eastAsiaTheme="minorHAnsi"/>
      <w:lang w:val="en-GB"/>
    </w:rPr>
  </w:style>
  <w:style w:type="paragraph" w:styleId="Footer">
    <w:name w:val="footer"/>
    <w:basedOn w:val="Normal"/>
    <w:link w:val="FooterChar"/>
    <w:uiPriority w:val="99"/>
    <w:unhideWhenUsed/>
    <w:rsid w:val="0055533F"/>
    <w:pPr>
      <w:tabs>
        <w:tab w:val="center" w:pos="4513"/>
        <w:tab w:val="right" w:pos="9026"/>
      </w:tabs>
      <w:spacing w:after="0" w:line="240" w:lineRule="auto"/>
    </w:pPr>
    <w:rPr>
      <w:rFonts w:eastAsiaTheme="minorHAnsi"/>
      <w:lang w:val="en-GB"/>
    </w:rPr>
  </w:style>
  <w:style w:type="character" w:customStyle="1" w:styleId="FooterChar">
    <w:name w:val="Footer Char"/>
    <w:basedOn w:val="DefaultParagraphFont"/>
    <w:link w:val="Footer"/>
    <w:uiPriority w:val="99"/>
    <w:rsid w:val="0055533F"/>
  </w:style>
  <w:style w:type="paragraph" w:customStyle="1" w:styleId="TableParagraph">
    <w:name w:val="Table Paragraph"/>
    <w:basedOn w:val="Normal"/>
    <w:uiPriority w:val="1"/>
    <w:qFormat/>
    <w:rsid w:val="0055533F"/>
    <w:pPr>
      <w:widowControl w:val="0"/>
      <w:autoSpaceDE w:val="0"/>
      <w:autoSpaceDN w:val="0"/>
      <w:spacing w:after="0" w:line="240" w:lineRule="auto"/>
    </w:pPr>
    <w:rPr>
      <w:rFonts w:ascii="Times New Roman" w:eastAsia="Times New Roman" w:hAnsi="Times New Roman" w:cs="Times New Roman"/>
    </w:rPr>
  </w:style>
  <w:style w:type="character" w:customStyle="1" w:styleId="Heading9Char">
    <w:name w:val="Heading 9 Char"/>
    <w:basedOn w:val="DefaultParagraphFont"/>
    <w:link w:val="Heading9"/>
    <w:uiPriority w:val="9"/>
    <w:semiHidden/>
    <w:rsid w:val="00555F42"/>
    <w:rPr>
      <w:rFonts w:asciiTheme="majorHAnsi" w:eastAsiaTheme="majorEastAsia" w:hAnsiTheme="majorHAnsi" w:cstheme="majorBidi"/>
      <w:i/>
      <w:iCs/>
      <w:color w:val="272727" w:themeColor="text1" w:themeTint="D8"/>
      <w:sz w:val="21"/>
      <w:szCs w:val="21"/>
      <w:lang w:val="en-US"/>
    </w:rPr>
  </w:style>
  <w:style w:type="character" w:customStyle="1" w:styleId="Heading2Char">
    <w:name w:val="Heading 2 Char"/>
    <w:basedOn w:val="DefaultParagraphFont"/>
    <w:link w:val="Heading2"/>
    <w:uiPriority w:val="9"/>
    <w:rsid w:val="00D77562"/>
    <w:rPr>
      <w:rFonts w:ascii="Times New Roman" w:eastAsiaTheme="majorEastAsia" w:hAnsi="Times New Roman"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D77562"/>
    <w:rPr>
      <w:rFonts w:ascii="Times New Roman" w:eastAsiaTheme="majorEastAsia" w:hAnsi="Times New Roman"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7756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7756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7756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7756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77562"/>
    <w:rPr>
      <w:rFonts w:asciiTheme="majorHAnsi" w:eastAsiaTheme="majorEastAsia" w:hAnsiTheme="majorHAnsi" w:cstheme="majorBidi"/>
      <w:color w:val="272727" w:themeColor="text1" w:themeTint="D8"/>
      <w:sz w:val="21"/>
      <w:szCs w:val="21"/>
      <w:lang w:val="en-US"/>
    </w:rPr>
  </w:style>
  <w:style w:type="paragraph" w:styleId="ListParagraph">
    <w:name w:val="List Paragraph"/>
    <w:basedOn w:val="Normal"/>
    <w:link w:val="ListParagraphChar"/>
    <w:uiPriority w:val="34"/>
    <w:qFormat/>
    <w:rsid w:val="00D77562"/>
    <w:pPr>
      <w:spacing w:after="0" w:line="240" w:lineRule="auto"/>
      <w:ind w:left="720"/>
      <w:contextualSpacing/>
    </w:pPr>
    <w:rPr>
      <w:rFonts w:eastAsiaTheme="minorHAnsi"/>
      <w:sz w:val="24"/>
      <w:szCs w:val="24"/>
      <w:lang w:val="nl-NL"/>
    </w:rPr>
  </w:style>
  <w:style w:type="character" w:customStyle="1" w:styleId="ListParagraphChar">
    <w:name w:val="List Paragraph Char"/>
    <w:basedOn w:val="DefaultParagraphFont"/>
    <w:link w:val="ListParagraph"/>
    <w:uiPriority w:val="34"/>
    <w:rsid w:val="00D77562"/>
    <w:rPr>
      <w:sz w:val="24"/>
      <w:szCs w:val="24"/>
      <w:lang w:val="nl-NL"/>
    </w:rPr>
  </w:style>
  <w:style w:type="character" w:styleId="UnresolvedMention">
    <w:name w:val="Unresolved Mention"/>
    <w:basedOn w:val="DefaultParagraphFont"/>
    <w:uiPriority w:val="99"/>
    <w:semiHidden/>
    <w:unhideWhenUsed/>
    <w:rsid w:val="00DE34D2"/>
    <w:rPr>
      <w:color w:val="605E5C"/>
      <w:shd w:val="clear" w:color="auto" w:fill="E1DFDD"/>
    </w:rPr>
  </w:style>
  <w:style w:type="character" w:styleId="FollowedHyperlink">
    <w:name w:val="FollowedHyperlink"/>
    <w:basedOn w:val="DefaultParagraphFont"/>
    <w:uiPriority w:val="99"/>
    <w:semiHidden/>
    <w:unhideWhenUsed/>
    <w:rsid w:val="004C10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ele@bankofalbania.org" TargetMode="External"/><Relationship Id="rId13" Type="http://schemas.openxmlformats.org/officeDocument/2006/relationships/hyperlink" Target="https://www.bankofalbania.org/Statistics/Statistical_release_calenda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lilaj@bankofalbania.org" TargetMode="External"/><Relationship Id="rId12" Type="http://schemas.openxmlformats.org/officeDocument/2006/relationships/hyperlink" Target="https://www.bankofalbania.org/Statistic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ankofalbania.org/Statistikat/Statistikat_e_Sektorit_te_Jashtem/Bilanci_i_Pagesav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t.gov.al/en/about-us/legislation/" TargetMode="External"/><Relationship Id="rId5" Type="http://schemas.openxmlformats.org/officeDocument/2006/relationships/footnotes" Target="footnotes.xml"/><Relationship Id="rId15" Type="http://schemas.openxmlformats.org/officeDocument/2006/relationships/hyperlink" Target="https://www.bankofalbania.org/Statistikat/Statistikat_e_Sektorit_te_Jashtem/Bilanci_i_Pagesave/" TargetMode="External"/><Relationship Id="rId10" Type="http://schemas.openxmlformats.org/officeDocument/2006/relationships/hyperlink" Target="https://www.instat.gov.al/en/about-us/legisl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ankofalbania.org/About_the_Bank/Legislation/Law_No_8269_dated_23_12_1997_On_Bank_of_Albania.html" TargetMode="External"/><Relationship Id="rId14" Type="http://schemas.openxmlformats.org/officeDocument/2006/relationships/hyperlink" Target="https://www.bankofalbania.org/Statistics/External_sector_statistics/Balance_of_Payments/Main_data_for_Balance_of_Pay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6573</Words>
  <Characters>37471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Anxhela Petriti</dc:creator>
  <cp:keywords/>
  <dc:description/>
  <cp:lastModifiedBy>Rudina Lilaj</cp:lastModifiedBy>
  <cp:revision>32</cp:revision>
  <cp:lastPrinted>2026-01-12T23:32:00Z</cp:lastPrinted>
  <dcterms:created xsi:type="dcterms:W3CDTF">2026-02-17T11:00:00Z</dcterms:created>
  <dcterms:modified xsi:type="dcterms:W3CDTF">2026-04-29T09:09:00Z</dcterms:modified>
</cp:coreProperties>
</file>