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shd w:val="clear" w:color="auto" w:fill="F7CAAC" w:themeFill="accent2" w:themeFillTint="66"/>
        <w:tblLook w:val="04A0" w:firstRow="1" w:lastRow="0" w:firstColumn="1" w:lastColumn="0" w:noHBand="0" w:noVBand="1"/>
      </w:tblPr>
      <w:tblGrid>
        <w:gridCol w:w="8351"/>
      </w:tblGrid>
      <w:tr w:rsidR="0055533F" w14:paraId="4A963986" w14:textId="77777777" w:rsidTr="00F07017">
        <w:trPr>
          <w:trHeight w:val="1979"/>
          <w:jc w:val="center"/>
        </w:trPr>
        <w:tc>
          <w:tcPr>
            <w:tcW w:w="8351" w:type="dxa"/>
            <w:shd w:val="clear" w:color="auto" w:fill="C5E0B3" w:themeFill="accent6" w:themeFillTint="66"/>
          </w:tcPr>
          <w:p w14:paraId="7E0886D0" w14:textId="24BB20C6" w:rsidR="00347A65" w:rsidRDefault="009939BA" w:rsidP="00301553">
            <w:pPr>
              <w:spacing w:before="120" w:after="1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Direct Investment</w:t>
            </w:r>
          </w:p>
          <w:p w14:paraId="699DA354" w14:textId="63D50408" w:rsidR="0055533F" w:rsidRDefault="0055533F" w:rsidP="00301553">
            <w:pPr>
              <w:spacing w:before="120" w:after="120"/>
              <w:jc w:val="center"/>
              <w:rPr>
                <w:rFonts w:ascii="Times New Roman" w:eastAsia="Times New Roman" w:hAnsi="Times New Roman" w:cs="Times New Roman"/>
                <w:color w:val="000000"/>
                <w:sz w:val="28"/>
                <w:szCs w:val="28"/>
              </w:rPr>
            </w:pPr>
            <w:r w:rsidRPr="00110BDE">
              <w:rPr>
                <w:rFonts w:ascii="Times New Roman" w:eastAsia="Times New Roman" w:hAnsi="Times New Roman" w:cs="Times New Roman"/>
                <w:color w:val="000000"/>
                <w:sz w:val="28"/>
                <w:szCs w:val="28"/>
              </w:rPr>
              <w:t xml:space="preserve">Reference Metadata </w:t>
            </w:r>
            <w:r>
              <w:rPr>
                <w:rFonts w:ascii="Times New Roman" w:eastAsia="Times New Roman" w:hAnsi="Times New Roman" w:cs="Times New Roman"/>
                <w:color w:val="000000"/>
                <w:sz w:val="28"/>
                <w:szCs w:val="28"/>
              </w:rPr>
              <w:t>in Euro SDMX Metadata Structure</w:t>
            </w:r>
          </w:p>
          <w:p w14:paraId="5F8FBDD5" w14:textId="77777777" w:rsidR="0055533F" w:rsidRDefault="0055533F" w:rsidP="00301553">
            <w:pPr>
              <w:spacing w:before="120" w:after="120"/>
              <w:jc w:val="center"/>
              <w:rPr>
                <w:rFonts w:ascii="Verdana" w:eastAsia="Times New Roman" w:hAnsi="Verdana" w:cs="Times New Roman"/>
                <w:color w:val="000000"/>
                <w:sz w:val="21"/>
                <w:szCs w:val="21"/>
              </w:rPr>
            </w:pPr>
            <w:r w:rsidRPr="00110BDE">
              <w:rPr>
                <w:rFonts w:ascii="Times New Roman" w:eastAsia="Times New Roman" w:hAnsi="Times New Roman" w:cs="Times New Roman"/>
                <w:color w:val="000000"/>
                <w:sz w:val="28"/>
                <w:szCs w:val="28"/>
              </w:rPr>
              <w:t>(ESMS)</w:t>
            </w:r>
          </w:p>
          <w:p w14:paraId="287278EF" w14:textId="0F46E541" w:rsidR="0055533F" w:rsidRPr="00066D17" w:rsidRDefault="00E63ABD" w:rsidP="00301553">
            <w:pPr>
              <w:jc w:val="center"/>
              <w:rPr>
                <w:rFonts w:ascii="Times New Roman" w:eastAsia="Times New Roman" w:hAnsi="Times New Roman" w:cs="Times New Roman"/>
                <w:bCs/>
                <w:color w:val="000000"/>
                <w:sz w:val="36"/>
              </w:rPr>
            </w:pPr>
            <w:r>
              <w:rPr>
                <w:rFonts w:ascii="Times New Roman" w:eastAsia="Times New Roman" w:hAnsi="Times New Roman" w:cs="Times New Roman"/>
                <w:bCs/>
                <w:color w:val="000000"/>
                <w:sz w:val="36"/>
              </w:rPr>
              <w:t>Bank of Albania</w:t>
            </w:r>
          </w:p>
        </w:tc>
      </w:tr>
    </w:tbl>
    <w:p w14:paraId="00299536" w14:textId="77777777" w:rsidR="0055533F" w:rsidRDefault="0055533F" w:rsidP="0055533F"/>
    <w:p w14:paraId="49964B92" w14:textId="77777777" w:rsidR="007A5872" w:rsidRDefault="007A5872" w:rsidP="0055533F"/>
    <w:sdt>
      <w:sdtPr>
        <w:rPr>
          <w:rFonts w:ascii="Times New Roman" w:eastAsiaTheme="minorHAnsi" w:hAnsi="Times New Roman" w:cs="Times New Roman"/>
          <w:b w:val="0"/>
          <w:bCs w:val="0"/>
          <w:color w:val="auto"/>
          <w:sz w:val="24"/>
          <w:szCs w:val="24"/>
          <w:lang w:val="en-GB"/>
        </w:rPr>
        <w:id w:val="27854821"/>
        <w:docPartObj>
          <w:docPartGallery w:val="Table of Contents"/>
          <w:docPartUnique/>
        </w:docPartObj>
      </w:sdtPr>
      <w:sdtEndPr>
        <w:rPr>
          <w:rFonts w:eastAsiaTheme="minorEastAsia"/>
          <w:lang w:val="en-US"/>
        </w:rPr>
      </w:sdtEndPr>
      <w:sdtContent>
        <w:p w14:paraId="4F40E47D" w14:textId="77777777" w:rsidR="007A5872" w:rsidRDefault="0055533F" w:rsidP="0055533F">
          <w:pPr>
            <w:pStyle w:val="TOCHeading"/>
            <w:rPr>
              <w:rFonts w:ascii="Times New Roman" w:hAnsi="Times New Roman" w:cs="Times New Roman"/>
              <w:szCs w:val="24"/>
            </w:rPr>
          </w:pPr>
          <w:r w:rsidRPr="006A2C16">
            <w:rPr>
              <w:rFonts w:ascii="Times New Roman" w:hAnsi="Times New Roman" w:cs="Times New Roman"/>
              <w:color w:val="000000" w:themeColor="text1"/>
              <w:szCs w:val="24"/>
            </w:rPr>
            <w:t>Reference Metadata</w:t>
          </w:r>
          <w:r w:rsidRPr="006A2C16">
            <w:rPr>
              <w:rFonts w:ascii="Times New Roman" w:hAnsi="Times New Roman" w:cs="Times New Roman"/>
              <w:szCs w:val="24"/>
            </w:rPr>
            <w:t xml:space="preserve"> </w:t>
          </w:r>
        </w:p>
        <w:p w14:paraId="564DEFB0" w14:textId="25DDF65C" w:rsidR="0055533F" w:rsidRPr="00493D72" w:rsidRDefault="0055533F" w:rsidP="0055533F">
          <w:pPr>
            <w:pStyle w:val="TOCHeading"/>
            <w:rPr>
              <w:rFonts w:ascii="Times New Roman" w:hAnsi="Times New Roman" w:cs="Times New Roman"/>
              <w:sz w:val="24"/>
              <w:szCs w:val="24"/>
            </w:rPr>
          </w:pPr>
          <w:r w:rsidRPr="006A2C16">
            <w:rPr>
              <w:rFonts w:ascii="Times New Roman" w:hAnsi="Times New Roman" w:cs="Times New Roman"/>
              <w:szCs w:val="24"/>
            </w:rPr>
            <w:t xml:space="preserve">  </w:t>
          </w:r>
        </w:p>
        <w:p w14:paraId="1D5962D7" w14:textId="7EB24DB9" w:rsidR="00270B43" w:rsidRDefault="0055533F">
          <w:pPr>
            <w:pStyle w:val="TOC1"/>
            <w:tabs>
              <w:tab w:val="right" w:leader="dot" w:pos="10456"/>
            </w:tabs>
            <w:rPr>
              <w:rFonts w:eastAsiaTheme="minorEastAsia"/>
              <w:noProof/>
              <w:kern w:val="2"/>
              <w:sz w:val="24"/>
              <w:szCs w:val="24"/>
              <w:lang w:val="en-US"/>
              <w14:ligatures w14:val="standardContextual"/>
            </w:rPr>
          </w:pPr>
          <w:r w:rsidRPr="00493D72">
            <w:rPr>
              <w:rFonts w:ascii="Times New Roman" w:hAnsi="Times New Roman" w:cs="Times New Roman"/>
              <w:sz w:val="24"/>
              <w:szCs w:val="24"/>
            </w:rPr>
            <w:fldChar w:fldCharType="begin"/>
          </w:r>
          <w:r w:rsidRPr="00493D72">
            <w:rPr>
              <w:rFonts w:ascii="Times New Roman" w:hAnsi="Times New Roman" w:cs="Times New Roman"/>
              <w:sz w:val="24"/>
              <w:szCs w:val="24"/>
            </w:rPr>
            <w:instrText xml:space="preserve"> TOC \o "1-3" \h \z \u </w:instrText>
          </w:r>
          <w:r w:rsidRPr="00493D72">
            <w:rPr>
              <w:rFonts w:ascii="Times New Roman" w:hAnsi="Times New Roman" w:cs="Times New Roman"/>
              <w:sz w:val="24"/>
              <w:szCs w:val="24"/>
            </w:rPr>
            <w:fldChar w:fldCharType="separate"/>
          </w:r>
          <w:hyperlink w:anchor="_Toc222230595" w:history="1">
            <w:r w:rsidR="00270B43" w:rsidRPr="00775FB5">
              <w:rPr>
                <w:rStyle w:val="Hyperlink"/>
                <w:rFonts w:ascii="Times New Roman" w:eastAsia="Times New Roman" w:hAnsi="Times New Roman" w:cs="Times New Roman"/>
                <w:noProof/>
                <w:lang w:val="sq-AL" w:eastAsia="sq-AL"/>
              </w:rPr>
              <w:t>1. Contact</w:t>
            </w:r>
            <w:r w:rsidR="00270B43">
              <w:rPr>
                <w:noProof/>
                <w:webHidden/>
              </w:rPr>
              <w:tab/>
            </w:r>
            <w:r w:rsidR="00270B43">
              <w:rPr>
                <w:noProof/>
                <w:webHidden/>
              </w:rPr>
              <w:fldChar w:fldCharType="begin"/>
            </w:r>
            <w:r w:rsidR="00270B43">
              <w:rPr>
                <w:noProof/>
                <w:webHidden/>
              </w:rPr>
              <w:instrText xml:space="preserve"> PAGEREF _Toc222230595 \h </w:instrText>
            </w:r>
            <w:r w:rsidR="00270B43">
              <w:rPr>
                <w:noProof/>
                <w:webHidden/>
              </w:rPr>
            </w:r>
            <w:r w:rsidR="00270B43">
              <w:rPr>
                <w:noProof/>
                <w:webHidden/>
              </w:rPr>
              <w:fldChar w:fldCharType="separate"/>
            </w:r>
            <w:r w:rsidR="00270B43">
              <w:rPr>
                <w:noProof/>
                <w:webHidden/>
              </w:rPr>
              <w:t>2</w:t>
            </w:r>
            <w:r w:rsidR="00270B43">
              <w:rPr>
                <w:noProof/>
                <w:webHidden/>
              </w:rPr>
              <w:fldChar w:fldCharType="end"/>
            </w:r>
          </w:hyperlink>
        </w:p>
        <w:p w14:paraId="093189B5" w14:textId="14605608"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596" w:history="1">
            <w:r w:rsidRPr="00775FB5">
              <w:rPr>
                <w:rStyle w:val="Hyperlink"/>
                <w:rFonts w:ascii="Times New Roman" w:eastAsia="Times New Roman" w:hAnsi="Times New Roman" w:cs="Times New Roman"/>
                <w:noProof/>
                <w:lang w:val="sq-AL" w:eastAsia="sq-AL"/>
              </w:rPr>
              <w:t>2. Metadata update</w:t>
            </w:r>
            <w:r>
              <w:rPr>
                <w:noProof/>
                <w:webHidden/>
              </w:rPr>
              <w:tab/>
            </w:r>
            <w:r>
              <w:rPr>
                <w:noProof/>
                <w:webHidden/>
              </w:rPr>
              <w:fldChar w:fldCharType="begin"/>
            </w:r>
            <w:r>
              <w:rPr>
                <w:noProof/>
                <w:webHidden/>
              </w:rPr>
              <w:instrText xml:space="preserve"> PAGEREF _Toc222230596 \h </w:instrText>
            </w:r>
            <w:r>
              <w:rPr>
                <w:noProof/>
                <w:webHidden/>
              </w:rPr>
            </w:r>
            <w:r>
              <w:rPr>
                <w:noProof/>
                <w:webHidden/>
              </w:rPr>
              <w:fldChar w:fldCharType="separate"/>
            </w:r>
            <w:r>
              <w:rPr>
                <w:noProof/>
                <w:webHidden/>
              </w:rPr>
              <w:t>2</w:t>
            </w:r>
            <w:r>
              <w:rPr>
                <w:noProof/>
                <w:webHidden/>
              </w:rPr>
              <w:fldChar w:fldCharType="end"/>
            </w:r>
          </w:hyperlink>
        </w:p>
        <w:p w14:paraId="4C7C8FB0" w14:textId="46EF4679"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597" w:history="1">
            <w:r w:rsidRPr="00775FB5">
              <w:rPr>
                <w:rStyle w:val="Hyperlink"/>
                <w:rFonts w:ascii="Times New Roman" w:eastAsia="Times New Roman" w:hAnsi="Times New Roman" w:cs="Times New Roman"/>
                <w:noProof/>
                <w:lang w:val="sq-AL" w:eastAsia="sq-AL"/>
              </w:rPr>
              <w:t>3. Statistical presentation</w:t>
            </w:r>
            <w:r>
              <w:rPr>
                <w:noProof/>
                <w:webHidden/>
              </w:rPr>
              <w:tab/>
            </w:r>
            <w:r>
              <w:rPr>
                <w:noProof/>
                <w:webHidden/>
              </w:rPr>
              <w:fldChar w:fldCharType="begin"/>
            </w:r>
            <w:r>
              <w:rPr>
                <w:noProof/>
                <w:webHidden/>
              </w:rPr>
              <w:instrText xml:space="preserve"> PAGEREF _Toc222230597 \h </w:instrText>
            </w:r>
            <w:r>
              <w:rPr>
                <w:noProof/>
                <w:webHidden/>
              </w:rPr>
            </w:r>
            <w:r>
              <w:rPr>
                <w:noProof/>
                <w:webHidden/>
              </w:rPr>
              <w:fldChar w:fldCharType="separate"/>
            </w:r>
            <w:r>
              <w:rPr>
                <w:noProof/>
                <w:webHidden/>
              </w:rPr>
              <w:t>2</w:t>
            </w:r>
            <w:r>
              <w:rPr>
                <w:noProof/>
                <w:webHidden/>
              </w:rPr>
              <w:fldChar w:fldCharType="end"/>
            </w:r>
          </w:hyperlink>
        </w:p>
        <w:p w14:paraId="61A12FD9" w14:textId="22CFD68C"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598" w:history="1">
            <w:r w:rsidRPr="00775FB5">
              <w:rPr>
                <w:rStyle w:val="Hyperlink"/>
                <w:rFonts w:ascii="Times New Roman" w:eastAsia="Times New Roman" w:hAnsi="Times New Roman" w:cs="Times New Roman"/>
                <w:noProof/>
                <w:lang w:val="sq-AL" w:eastAsia="sq-AL"/>
              </w:rPr>
              <w:t>4. Unit of measure</w:t>
            </w:r>
            <w:r>
              <w:rPr>
                <w:noProof/>
                <w:webHidden/>
              </w:rPr>
              <w:tab/>
            </w:r>
            <w:r>
              <w:rPr>
                <w:noProof/>
                <w:webHidden/>
              </w:rPr>
              <w:fldChar w:fldCharType="begin"/>
            </w:r>
            <w:r>
              <w:rPr>
                <w:noProof/>
                <w:webHidden/>
              </w:rPr>
              <w:instrText xml:space="preserve"> PAGEREF _Toc222230598 \h </w:instrText>
            </w:r>
            <w:r>
              <w:rPr>
                <w:noProof/>
                <w:webHidden/>
              </w:rPr>
            </w:r>
            <w:r>
              <w:rPr>
                <w:noProof/>
                <w:webHidden/>
              </w:rPr>
              <w:fldChar w:fldCharType="separate"/>
            </w:r>
            <w:r>
              <w:rPr>
                <w:noProof/>
                <w:webHidden/>
              </w:rPr>
              <w:t>4</w:t>
            </w:r>
            <w:r>
              <w:rPr>
                <w:noProof/>
                <w:webHidden/>
              </w:rPr>
              <w:fldChar w:fldCharType="end"/>
            </w:r>
          </w:hyperlink>
        </w:p>
        <w:p w14:paraId="7FB57AA9" w14:textId="6B2DD92C"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599" w:history="1">
            <w:r w:rsidRPr="00775FB5">
              <w:rPr>
                <w:rStyle w:val="Hyperlink"/>
                <w:rFonts w:ascii="Times New Roman" w:eastAsia="Times New Roman" w:hAnsi="Times New Roman" w:cs="Times New Roman"/>
                <w:noProof/>
                <w:lang w:val="sq-AL" w:eastAsia="sq-AL"/>
              </w:rPr>
              <w:t>5. Reference period</w:t>
            </w:r>
            <w:r>
              <w:rPr>
                <w:noProof/>
                <w:webHidden/>
              </w:rPr>
              <w:tab/>
            </w:r>
            <w:r>
              <w:rPr>
                <w:noProof/>
                <w:webHidden/>
              </w:rPr>
              <w:fldChar w:fldCharType="begin"/>
            </w:r>
            <w:r>
              <w:rPr>
                <w:noProof/>
                <w:webHidden/>
              </w:rPr>
              <w:instrText xml:space="preserve"> PAGEREF _Toc222230599 \h </w:instrText>
            </w:r>
            <w:r>
              <w:rPr>
                <w:noProof/>
                <w:webHidden/>
              </w:rPr>
            </w:r>
            <w:r>
              <w:rPr>
                <w:noProof/>
                <w:webHidden/>
              </w:rPr>
              <w:fldChar w:fldCharType="separate"/>
            </w:r>
            <w:r>
              <w:rPr>
                <w:noProof/>
                <w:webHidden/>
              </w:rPr>
              <w:t>4</w:t>
            </w:r>
            <w:r>
              <w:rPr>
                <w:noProof/>
                <w:webHidden/>
              </w:rPr>
              <w:fldChar w:fldCharType="end"/>
            </w:r>
          </w:hyperlink>
        </w:p>
        <w:p w14:paraId="702F95A2" w14:textId="3F2D90AC"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00" w:history="1">
            <w:r w:rsidRPr="00775FB5">
              <w:rPr>
                <w:rStyle w:val="Hyperlink"/>
                <w:rFonts w:ascii="Times New Roman" w:eastAsia="Times New Roman" w:hAnsi="Times New Roman" w:cs="Times New Roman"/>
                <w:noProof/>
                <w:lang w:val="sq-AL" w:eastAsia="sq-AL"/>
              </w:rPr>
              <w:t>6. Institutional mandate</w:t>
            </w:r>
            <w:r>
              <w:rPr>
                <w:noProof/>
                <w:webHidden/>
              </w:rPr>
              <w:tab/>
            </w:r>
            <w:r>
              <w:rPr>
                <w:noProof/>
                <w:webHidden/>
              </w:rPr>
              <w:fldChar w:fldCharType="begin"/>
            </w:r>
            <w:r>
              <w:rPr>
                <w:noProof/>
                <w:webHidden/>
              </w:rPr>
              <w:instrText xml:space="preserve"> PAGEREF _Toc222230600 \h </w:instrText>
            </w:r>
            <w:r>
              <w:rPr>
                <w:noProof/>
                <w:webHidden/>
              </w:rPr>
            </w:r>
            <w:r>
              <w:rPr>
                <w:noProof/>
                <w:webHidden/>
              </w:rPr>
              <w:fldChar w:fldCharType="separate"/>
            </w:r>
            <w:r>
              <w:rPr>
                <w:noProof/>
                <w:webHidden/>
              </w:rPr>
              <w:t>4</w:t>
            </w:r>
            <w:r>
              <w:rPr>
                <w:noProof/>
                <w:webHidden/>
              </w:rPr>
              <w:fldChar w:fldCharType="end"/>
            </w:r>
          </w:hyperlink>
        </w:p>
        <w:p w14:paraId="6C8C6BF3" w14:textId="625C0D4C"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01" w:history="1">
            <w:r w:rsidRPr="00775FB5">
              <w:rPr>
                <w:rStyle w:val="Hyperlink"/>
                <w:rFonts w:ascii="Times New Roman" w:eastAsia="Times New Roman" w:hAnsi="Times New Roman" w:cs="Times New Roman"/>
                <w:noProof/>
                <w:lang w:val="sq-AL" w:eastAsia="sq-AL"/>
              </w:rPr>
              <w:t>7. Confidentiality</w:t>
            </w:r>
            <w:r>
              <w:rPr>
                <w:noProof/>
                <w:webHidden/>
              </w:rPr>
              <w:tab/>
            </w:r>
            <w:r>
              <w:rPr>
                <w:noProof/>
                <w:webHidden/>
              </w:rPr>
              <w:fldChar w:fldCharType="begin"/>
            </w:r>
            <w:r>
              <w:rPr>
                <w:noProof/>
                <w:webHidden/>
              </w:rPr>
              <w:instrText xml:space="preserve"> PAGEREF _Toc222230601 \h </w:instrText>
            </w:r>
            <w:r>
              <w:rPr>
                <w:noProof/>
                <w:webHidden/>
              </w:rPr>
            </w:r>
            <w:r>
              <w:rPr>
                <w:noProof/>
                <w:webHidden/>
              </w:rPr>
              <w:fldChar w:fldCharType="separate"/>
            </w:r>
            <w:r>
              <w:rPr>
                <w:noProof/>
                <w:webHidden/>
              </w:rPr>
              <w:t>4</w:t>
            </w:r>
            <w:r>
              <w:rPr>
                <w:noProof/>
                <w:webHidden/>
              </w:rPr>
              <w:fldChar w:fldCharType="end"/>
            </w:r>
          </w:hyperlink>
        </w:p>
        <w:p w14:paraId="62162C1B" w14:textId="7029BC51"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02" w:history="1">
            <w:r w:rsidRPr="00775FB5">
              <w:rPr>
                <w:rStyle w:val="Hyperlink"/>
                <w:rFonts w:ascii="Times New Roman" w:eastAsia="Times New Roman" w:hAnsi="Times New Roman" w:cs="Times New Roman"/>
                <w:noProof/>
                <w:lang w:val="sq-AL" w:eastAsia="sq-AL"/>
              </w:rPr>
              <w:t>8. Release policy</w:t>
            </w:r>
            <w:r>
              <w:rPr>
                <w:noProof/>
                <w:webHidden/>
              </w:rPr>
              <w:tab/>
            </w:r>
            <w:r>
              <w:rPr>
                <w:noProof/>
                <w:webHidden/>
              </w:rPr>
              <w:fldChar w:fldCharType="begin"/>
            </w:r>
            <w:r>
              <w:rPr>
                <w:noProof/>
                <w:webHidden/>
              </w:rPr>
              <w:instrText xml:space="preserve"> PAGEREF _Toc222230602 \h </w:instrText>
            </w:r>
            <w:r>
              <w:rPr>
                <w:noProof/>
                <w:webHidden/>
              </w:rPr>
            </w:r>
            <w:r>
              <w:rPr>
                <w:noProof/>
                <w:webHidden/>
              </w:rPr>
              <w:fldChar w:fldCharType="separate"/>
            </w:r>
            <w:r>
              <w:rPr>
                <w:noProof/>
                <w:webHidden/>
              </w:rPr>
              <w:t>5</w:t>
            </w:r>
            <w:r>
              <w:rPr>
                <w:noProof/>
                <w:webHidden/>
              </w:rPr>
              <w:fldChar w:fldCharType="end"/>
            </w:r>
          </w:hyperlink>
        </w:p>
        <w:p w14:paraId="07A6F821" w14:textId="4FB3971C"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03" w:history="1">
            <w:r w:rsidRPr="00775FB5">
              <w:rPr>
                <w:rStyle w:val="Hyperlink"/>
                <w:rFonts w:ascii="Times New Roman" w:eastAsia="Times New Roman" w:hAnsi="Times New Roman" w:cs="Times New Roman"/>
                <w:noProof/>
                <w:lang w:val="sq-AL" w:eastAsia="sq-AL"/>
              </w:rPr>
              <w:t>9. Frequency of dissemination</w:t>
            </w:r>
            <w:r>
              <w:rPr>
                <w:noProof/>
                <w:webHidden/>
              </w:rPr>
              <w:tab/>
            </w:r>
            <w:r>
              <w:rPr>
                <w:noProof/>
                <w:webHidden/>
              </w:rPr>
              <w:fldChar w:fldCharType="begin"/>
            </w:r>
            <w:r>
              <w:rPr>
                <w:noProof/>
                <w:webHidden/>
              </w:rPr>
              <w:instrText xml:space="preserve"> PAGEREF _Toc222230603 \h </w:instrText>
            </w:r>
            <w:r>
              <w:rPr>
                <w:noProof/>
                <w:webHidden/>
              </w:rPr>
            </w:r>
            <w:r>
              <w:rPr>
                <w:noProof/>
                <w:webHidden/>
              </w:rPr>
              <w:fldChar w:fldCharType="separate"/>
            </w:r>
            <w:r>
              <w:rPr>
                <w:noProof/>
                <w:webHidden/>
              </w:rPr>
              <w:t>5</w:t>
            </w:r>
            <w:r>
              <w:rPr>
                <w:noProof/>
                <w:webHidden/>
              </w:rPr>
              <w:fldChar w:fldCharType="end"/>
            </w:r>
          </w:hyperlink>
        </w:p>
        <w:p w14:paraId="2B89C82E" w14:textId="4ABCD8AF"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04" w:history="1">
            <w:r w:rsidRPr="00775FB5">
              <w:rPr>
                <w:rStyle w:val="Hyperlink"/>
                <w:rFonts w:ascii="Times New Roman" w:eastAsia="Times New Roman" w:hAnsi="Times New Roman" w:cs="Times New Roman"/>
                <w:noProof/>
                <w:lang w:val="sq-AL" w:eastAsia="sq-AL"/>
              </w:rPr>
              <w:t>10. Accessibility and clarity</w:t>
            </w:r>
            <w:r>
              <w:rPr>
                <w:noProof/>
                <w:webHidden/>
              </w:rPr>
              <w:tab/>
            </w:r>
            <w:r>
              <w:rPr>
                <w:noProof/>
                <w:webHidden/>
              </w:rPr>
              <w:fldChar w:fldCharType="begin"/>
            </w:r>
            <w:r>
              <w:rPr>
                <w:noProof/>
                <w:webHidden/>
              </w:rPr>
              <w:instrText xml:space="preserve"> PAGEREF _Toc222230604 \h </w:instrText>
            </w:r>
            <w:r>
              <w:rPr>
                <w:noProof/>
                <w:webHidden/>
              </w:rPr>
            </w:r>
            <w:r>
              <w:rPr>
                <w:noProof/>
                <w:webHidden/>
              </w:rPr>
              <w:fldChar w:fldCharType="separate"/>
            </w:r>
            <w:r>
              <w:rPr>
                <w:noProof/>
                <w:webHidden/>
              </w:rPr>
              <w:t>5</w:t>
            </w:r>
            <w:r>
              <w:rPr>
                <w:noProof/>
                <w:webHidden/>
              </w:rPr>
              <w:fldChar w:fldCharType="end"/>
            </w:r>
          </w:hyperlink>
        </w:p>
        <w:p w14:paraId="5FD15D68" w14:textId="092B78AC"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05" w:history="1">
            <w:r w:rsidRPr="00775FB5">
              <w:rPr>
                <w:rStyle w:val="Hyperlink"/>
                <w:rFonts w:ascii="Times New Roman" w:eastAsia="Times New Roman" w:hAnsi="Times New Roman" w:cs="Times New Roman"/>
                <w:noProof/>
                <w:lang w:val="sq-AL" w:eastAsia="sq-AL"/>
              </w:rPr>
              <w:t>11. Quality managment</w:t>
            </w:r>
            <w:r>
              <w:rPr>
                <w:noProof/>
                <w:webHidden/>
              </w:rPr>
              <w:tab/>
            </w:r>
            <w:r>
              <w:rPr>
                <w:noProof/>
                <w:webHidden/>
              </w:rPr>
              <w:fldChar w:fldCharType="begin"/>
            </w:r>
            <w:r>
              <w:rPr>
                <w:noProof/>
                <w:webHidden/>
              </w:rPr>
              <w:instrText xml:space="preserve"> PAGEREF _Toc222230605 \h </w:instrText>
            </w:r>
            <w:r>
              <w:rPr>
                <w:noProof/>
                <w:webHidden/>
              </w:rPr>
            </w:r>
            <w:r>
              <w:rPr>
                <w:noProof/>
                <w:webHidden/>
              </w:rPr>
              <w:fldChar w:fldCharType="separate"/>
            </w:r>
            <w:r>
              <w:rPr>
                <w:noProof/>
                <w:webHidden/>
              </w:rPr>
              <w:t>6</w:t>
            </w:r>
            <w:r>
              <w:rPr>
                <w:noProof/>
                <w:webHidden/>
              </w:rPr>
              <w:fldChar w:fldCharType="end"/>
            </w:r>
          </w:hyperlink>
        </w:p>
        <w:p w14:paraId="7DF950AB" w14:textId="00A9FE3E"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06" w:history="1">
            <w:r w:rsidRPr="00775FB5">
              <w:rPr>
                <w:rStyle w:val="Hyperlink"/>
                <w:rFonts w:ascii="Times New Roman" w:eastAsia="Times New Roman" w:hAnsi="Times New Roman" w:cs="Times New Roman"/>
                <w:noProof/>
                <w:lang w:val="sq-AL" w:eastAsia="sq-AL"/>
              </w:rPr>
              <w:t>12. Relevance</w:t>
            </w:r>
            <w:r>
              <w:rPr>
                <w:noProof/>
                <w:webHidden/>
              </w:rPr>
              <w:tab/>
            </w:r>
            <w:r>
              <w:rPr>
                <w:noProof/>
                <w:webHidden/>
              </w:rPr>
              <w:fldChar w:fldCharType="begin"/>
            </w:r>
            <w:r>
              <w:rPr>
                <w:noProof/>
                <w:webHidden/>
              </w:rPr>
              <w:instrText xml:space="preserve"> PAGEREF _Toc222230606 \h </w:instrText>
            </w:r>
            <w:r>
              <w:rPr>
                <w:noProof/>
                <w:webHidden/>
              </w:rPr>
            </w:r>
            <w:r>
              <w:rPr>
                <w:noProof/>
                <w:webHidden/>
              </w:rPr>
              <w:fldChar w:fldCharType="separate"/>
            </w:r>
            <w:r>
              <w:rPr>
                <w:noProof/>
                <w:webHidden/>
              </w:rPr>
              <w:t>6</w:t>
            </w:r>
            <w:r>
              <w:rPr>
                <w:noProof/>
                <w:webHidden/>
              </w:rPr>
              <w:fldChar w:fldCharType="end"/>
            </w:r>
          </w:hyperlink>
        </w:p>
        <w:p w14:paraId="6098B3EB" w14:textId="3CAB71F6"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07" w:history="1">
            <w:r w:rsidRPr="00775FB5">
              <w:rPr>
                <w:rStyle w:val="Hyperlink"/>
                <w:rFonts w:ascii="Times New Roman" w:eastAsia="Times New Roman" w:hAnsi="Times New Roman" w:cs="Times New Roman"/>
                <w:noProof/>
                <w:lang w:val="sq-AL" w:eastAsia="sq-AL"/>
              </w:rPr>
              <w:t>13. Accuracy and reliability</w:t>
            </w:r>
            <w:r>
              <w:rPr>
                <w:noProof/>
                <w:webHidden/>
              </w:rPr>
              <w:tab/>
            </w:r>
            <w:r>
              <w:rPr>
                <w:noProof/>
                <w:webHidden/>
              </w:rPr>
              <w:fldChar w:fldCharType="begin"/>
            </w:r>
            <w:r>
              <w:rPr>
                <w:noProof/>
                <w:webHidden/>
              </w:rPr>
              <w:instrText xml:space="preserve"> PAGEREF _Toc222230607 \h </w:instrText>
            </w:r>
            <w:r>
              <w:rPr>
                <w:noProof/>
                <w:webHidden/>
              </w:rPr>
            </w:r>
            <w:r>
              <w:rPr>
                <w:noProof/>
                <w:webHidden/>
              </w:rPr>
              <w:fldChar w:fldCharType="separate"/>
            </w:r>
            <w:r>
              <w:rPr>
                <w:noProof/>
                <w:webHidden/>
              </w:rPr>
              <w:t>7</w:t>
            </w:r>
            <w:r>
              <w:rPr>
                <w:noProof/>
                <w:webHidden/>
              </w:rPr>
              <w:fldChar w:fldCharType="end"/>
            </w:r>
          </w:hyperlink>
        </w:p>
        <w:p w14:paraId="5D3B2BB1" w14:textId="5E6D0872"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08" w:history="1">
            <w:r w:rsidRPr="00775FB5">
              <w:rPr>
                <w:rStyle w:val="Hyperlink"/>
                <w:rFonts w:ascii="Times New Roman" w:eastAsia="Times New Roman" w:hAnsi="Times New Roman" w:cs="Times New Roman"/>
                <w:noProof/>
                <w:lang w:val="sq-AL" w:eastAsia="sq-AL"/>
              </w:rPr>
              <w:t>15. Coherence and comparability</w:t>
            </w:r>
            <w:r>
              <w:rPr>
                <w:noProof/>
                <w:webHidden/>
              </w:rPr>
              <w:tab/>
            </w:r>
            <w:r>
              <w:rPr>
                <w:noProof/>
                <w:webHidden/>
              </w:rPr>
              <w:fldChar w:fldCharType="begin"/>
            </w:r>
            <w:r>
              <w:rPr>
                <w:noProof/>
                <w:webHidden/>
              </w:rPr>
              <w:instrText xml:space="preserve"> PAGEREF _Toc222230608 \h </w:instrText>
            </w:r>
            <w:r>
              <w:rPr>
                <w:noProof/>
                <w:webHidden/>
              </w:rPr>
            </w:r>
            <w:r>
              <w:rPr>
                <w:noProof/>
                <w:webHidden/>
              </w:rPr>
              <w:fldChar w:fldCharType="separate"/>
            </w:r>
            <w:r>
              <w:rPr>
                <w:noProof/>
                <w:webHidden/>
              </w:rPr>
              <w:t>8</w:t>
            </w:r>
            <w:r>
              <w:rPr>
                <w:noProof/>
                <w:webHidden/>
              </w:rPr>
              <w:fldChar w:fldCharType="end"/>
            </w:r>
          </w:hyperlink>
        </w:p>
        <w:p w14:paraId="4207FFAA" w14:textId="0565F713"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09" w:history="1">
            <w:r w:rsidRPr="00775FB5">
              <w:rPr>
                <w:rStyle w:val="Hyperlink"/>
                <w:rFonts w:ascii="Times New Roman" w:eastAsia="Times New Roman" w:hAnsi="Times New Roman" w:cs="Times New Roman"/>
                <w:noProof/>
                <w:lang w:val="sq-AL" w:eastAsia="sq-AL"/>
              </w:rPr>
              <w:t>16. Cost and burden</w:t>
            </w:r>
            <w:r>
              <w:rPr>
                <w:noProof/>
                <w:webHidden/>
              </w:rPr>
              <w:tab/>
            </w:r>
            <w:r>
              <w:rPr>
                <w:noProof/>
                <w:webHidden/>
              </w:rPr>
              <w:fldChar w:fldCharType="begin"/>
            </w:r>
            <w:r>
              <w:rPr>
                <w:noProof/>
                <w:webHidden/>
              </w:rPr>
              <w:instrText xml:space="preserve"> PAGEREF _Toc222230609 \h </w:instrText>
            </w:r>
            <w:r>
              <w:rPr>
                <w:noProof/>
                <w:webHidden/>
              </w:rPr>
            </w:r>
            <w:r>
              <w:rPr>
                <w:noProof/>
                <w:webHidden/>
              </w:rPr>
              <w:fldChar w:fldCharType="separate"/>
            </w:r>
            <w:r>
              <w:rPr>
                <w:noProof/>
                <w:webHidden/>
              </w:rPr>
              <w:t>8</w:t>
            </w:r>
            <w:r>
              <w:rPr>
                <w:noProof/>
                <w:webHidden/>
              </w:rPr>
              <w:fldChar w:fldCharType="end"/>
            </w:r>
          </w:hyperlink>
        </w:p>
        <w:p w14:paraId="47E7F8D8" w14:textId="0E88482B"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10" w:history="1">
            <w:r w:rsidRPr="00775FB5">
              <w:rPr>
                <w:rStyle w:val="Hyperlink"/>
                <w:rFonts w:ascii="Times New Roman" w:eastAsia="Times New Roman" w:hAnsi="Times New Roman" w:cs="Times New Roman"/>
                <w:noProof/>
                <w:lang w:val="sq-AL" w:eastAsia="sq-AL"/>
              </w:rPr>
              <w:t>17. Data revision</w:t>
            </w:r>
            <w:r>
              <w:rPr>
                <w:noProof/>
                <w:webHidden/>
              </w:rPr>
              <w:tab/>
            </w:r>
            <w:r>
              <w:rPr>
                <w:noProof/>
                <w:webHidden/>
              </w:rPr>
              <w:fldChar w:fldCharType="begin"/>
            </w:r>
            <w:r>
              <w:rPr>
                <w:noProof/>
                <w:webHidden/>
              </w:rPr>
              <w:instrText xml:space="preserve"> PAGEREF _Toc222230610 \h </w:instrText>
            </w:r>
            <w:r>
              <w:rPr>
                <w:noProof/>
                <w:webHidden/>
              </w:rPr>
            </w:r>
            <w:r>
              <w:rPr>
                <w:noProof/>
                <w:webHidden/>
              </w:rPr>
              <w:fldChar w:fldCharType="separate"/>
            </w:r>
            <w:r>
              <w:rPr>
                <w:noProof/>
                <w:webHidden/>
              </w:rPr>
              <w:t>8</w:t>
            </w:r>
            <w:r>
              <w:rPr>
                <w:noProof/>
                <w:webHidden/>
              </w:rPr>
              <w:fldChar w:fldCharType="end"/>
            </w:r>
          </w:hyperlink>
        </w:p>
        <w:p w14:paraId="29425960" w14:textId="08497722"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11" w:history="1">
            <w:r w:rsidRPr="00775FB5">
              <w:rPr>
                <w:rStyle w:val="Hyperlink"/>
                <w:rFonts w:ascii="Times New Roman" w:eastAsia="Times New Roman" w:hAnsi="Times New Roman" w:cs="Times New Roman"/>
                <w:noProof/>
                <w:lang w:val="sq-AL" w:eastAsia="sq-AL"/>
              </w:rPr>
              <w:t>18. Statistical processing</w:t>
            </w:r>
            <w:r>
              <w:rPr>
                <w:noProof/>
                <w:webHidden/>
              </w:rPr>
              <w:tab/>
            </w:r>
            <w:r>
              <w:rPr>
                <w:noProof/>
                <w:webHidden/>
              </w:rPr>
              <w:fldChar w:fldCharType="begin"/>
            </w:r>
            <w:r>
              <w:rPr>
                <w:noProof/>
                <w:webHidden/>
              </w:rPr>
              <w:instrText xml:space="preserve"> PAGEREF _Toc222230611 \h </w:instrText>
            </w:r>
            <w:r>
              <w:rPr>
                <w:noProof/>
                <w:webHidden/>
              </w:rPr>
            </w:r>
            <w:r>
              <w:rPr>
                <w:noProof/>
                <w:webHidden/>
              </w:rPr>
              <w:fldChar w:fldCharType="separate"/>
            </w:r>
            <w:r>
              <w:rPr>
                <w:noProof/>
                <w:webHidden/>
              </w:rPr>
              <w:t>9</w:t>
            </w:r>
            <w:r>
              <w:rPr>
                <w:noProof/>
                <w:webHidden/>
              </w:rPr>
              <w:fldChar w:fldCharType="end"/>
            </w:r>
          </w:hyperlink>
        </w:p>
        <w:p w14:paraId="716B88B8" w14:textId="1F4B624A"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12" w:history="1">
            <w:r w:rsidRPr="00775FB5">
              <w:rPr>
                <w:rStyle w:val="Hyperlink"/>
                <w:rFonts w:ascii="Times New Roman" w:eastAsia="Times New Roman" w:hAnsi="Times New Roman" w:cs="Times New Roman"/>
                <w:noProof/>
                <w:lang w:val="sq-AL" w:eastAsia="sq-AL"/>
              </w:rPr>
              <w:t>19. Comment</w:t>
            </w:r>
            <w:r>
              <w:rPr>
                <w:noProof/>
                <w:webHidden/>
              </w:rPr>
              <w:tab/>
            </w:r>
            <w:r>
              <w:rPr>
                <w:noProof/>
                <w:webHidden/>
              </w:rPr>
              <w:fldChar w:fldCharType="begin"/>
            </w:r>
            <w:r>
              <w:rPr>
                <w:noProof/>
                <w:webHidden/>
              </w:rPr>
              <w:instrText xml:space="preserve"> PAGEREF _Toc222230612 \h </w:instrText>
            </w:r>
            <w:r>
              <w:rPr>
                <w:noProof/>
                <w:webHidden/>
              </w:rPr>
            </w:r>
            <w:r>
              <w:rPr>
                <w:noProof/>
                <w:webHidden/>
              </w:rPr>
              <w:fldChar w:fldCharType="separate"/>
            </w:r>
            <w:r>
              <w:rPr>
                <w:noProof/>
                <w:webHidden/>
              </w:rPr>
              <w:t>12</w:t>
            </w:r>
            <w:r>
              <w:rPr>
                <w:noProof/>
                <w:webHidden/>
              </w:rPr>
              <w:fldChar w:fldCharType="end"/>
            </w:r>
          </w:hyperlink>
        </w:p>
        <w:p w14:paraId="4568FAAC" w14:textId="54A653AD" w:rsidR="00270B43" w:rsidRDefault="00270B43">
          <w:pPr>
            <w:pStyle w:val="TOC1"/>
            <w:tabs>
              <w:tab w:val="right" w:leader="dot" w:pos="10456"/>
            </w:tabs>
            <w:rPr>
              <w:rFonts w:eastAsiaTheme="minorEastAsia"/>
              <w:noProof/>
              <w:kern w:val="2"/>
              <w:sz w:val="24"/>
              <w:szCs w:val="24"/>
              <w:lang w:val="en-US"/>
              <w14:ligatures w14:val="standardContextual"/>
            </w:rPr>
          </w:pPr>
          <w:hyperlink w:anchor="_Toc222230613" w:history="1">
            <w:r w:rsidRPr="00775FB5">
              <w:rPr>
                <w:rStyle w:val="Hyperlink"/>
                <w:rFonts w:ascii="Times New Roman" w:eastAsia="Times New Roman" w:hAnsi="Times New Roman" w:cs="Times New Roman"/>
                <w:noProof/>
                <w:lang w:val="sq-AL" w:eastAsia="sq-AL"/>
              </w:rPr>
              <w:t>Annex</w:t>
            </w:r>
            <w:r>
              <w:rPr>
                <w:noProof/>
                <w:webHidden/>
              </w:rPr>
              <w:tab/>
            </w:r>
            <w:r>
              <w:rPr>
                <w:noProof/>
                <w:webHidden/>
              </w:rPr>
              <w:fldChar w:fldCharType="begin"/>
            </w:r>
            <w:r>
              <w:rPr>
                <w:noProof/>
                <w:webHidden/>
              </w:rPr>
              <w:instrText xml:space="preserve"> PAGEREF _Toc222230613 \h </w:instrText>
            </w:r>
            <w:r>
              <w:rPr>
                <w:noProof/>
                <w:webHidden/>
              </w:rPr>
            </w:r>
            <w:r>
              <w:rPr>
                <w:noProof/>
                <w:webHidden/>
              </w:rPr>
              <w:fldChar w:fldCharType="separate"/>
            </w:r>
            <w:r>
              <w:rPr>
                <w:noProof/>
                <w:webHidden/>
              </w:rPr>
              <w:t>12</w:t>
            </w:r>
            <w:r>
              <w:rPr>
                <w:noProof/>
                <w:webHidden/>
              </w:rPr>
              <w:fldChar w:fldCharType="end"/>
            </w:r>
          </w:hyperlink>
        </w:p>
        <w:p w14:paraId="5BC0FEB9" w14:textId="67656DD3" w:rsidR="0055533F" w:rsidRDefault="0055533F" w:rsidP="0055533F">
          <w:r w:rsidRPr="00493D72">
            <w:rPr>
              <w:rFonts w:ascii="Times New Roman" w:hAnsi="Times New Roman" w:cs="Times New Roman"/>
              <w:sz w:val="24"/>
              <w:szCs w:val="24"/>
            </w:rPr>
            <w:fldChar w:fldCharType="end"/>
          </w:r>
        </w:p>
      </w:sdtContent>
    </w:sdt>
    <w:p w14:paraId="15F8E856" w14:textId="77777777" w:rsidR="0055533F" w:rsidRDefault="0055533F" w:rsidP="0055533F"/>
    <w:p w14:paraId="08F5D8A7" w14:textId="77777777" w:rsidR="0055533F" w:rsidRDefault="0055533F" w:rsidP="0055533F"/>
    <w:p w14:paraId="5A8534FD" w14:textId="77777777" w:rsidR="0090153B" w:rsidRDefault="0090153B" w:rsidP="0055533F"/>
    <w:p w14:paraId="434EC233" w14:textId="77777777" w:rsidR="0090153B" w:rsidRDefault="0090153B" w:rsidP="0055533F"/>
    <w:p w14:paraId="3F7CF4C5" w14:textId="77777777" w:rsidR="0055533F" w:rsidRDefault="0055533F" w:rsidP="0055533F"/>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7872"/>
        <w:gridCol w:w="851"/>
      </w:tblGrid>
      <w:tr w:rsidR="0055533F" w:rsidRPr="00493D72" w14:paraId="693F19ED"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37C70607" w14:textId="77777777" w:rsidR="0055533F" w:rsidRPr="00493D72" w:rsidRDefault="0055533F" w:rsidP="00301553">
            <w:pPr>
              <w:pStyle w:val="Heading1"/>
              <w:spacing w:before="0"/>
              <w:rPr>
                <w:rFonts w:ascii="Times New Roman" w:eastAsia="Times New Roman" w:hAnsi="Times New Roman" w:cs="Times New Roman"/>
                <w:noProof/>
                <w:color w:val="000000"/>
                <w:sz w:val="24"/>
                <w:szCs w:val="24"/>
                <w:lang w:val="sq-AL" w:eastAsia="sq-AL"/>
              </w:rPr>
            </w:pPr>
            <w:bookmarkStart w:id="0" w:name="_Toc222230595"/>
            <w:r w:rsidRPr="00493D72">
              <w:rPr>
                <w:rFonts w:ascii="Times New Roman" w:eastAsia="Times New Roman" w:hAnsi="Times New Roman" w:cs="Times New Roman"/>
                <w:noProof/>
                <w:color w:val="000000"/>
                <w:sz w:val="24"/>
                <w:szCs w:val="24"/>
                <w:lang w:val="sq-AL" w:eastAsia="sq-AL"/>
              </w:rPr>
              <w:lastRenderedPageBreak/>
              <w:t>1. Contact</w:t>
            </w:r>
            <w:bookmarkEnd w:id="0"/>
          </w:p>
        </w:tc>
      </w:tr>
      <w:tr w:rsidR="0055533F" w:rsidRPr="00493D72" w14:paraId="052A6086" w14:textId="77777777" w:rsidTr="00BB1DFF">
        <w:trPr>
          <w:gridAfter w:val="1"/>
          <w:wAfter w:w="851" w:type="dxa"/>
          <w:trHeight w:val="567"/>
        </w:trPr>
        <w:tc>
          <w:tcPr>
            <w:tcW w:w="2471" w:type="dxa"/>
            <w:shd w:val="clear" w:color="auto" w:fill="FFFFCC"/>
            <w:vAlign w:val="center"/>
            <w:hideMark/>
          </w:tcPr>
          <w:p w14:paraId="34D27BB4"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1.1. Contact organisation</w:t>
            </w:r>
          </w:p>
        </w:tc>
        <w:tc>
          <w:tcPr>
            <w:tcW w:w="7872" w:type="dxa"/>
            <w:noWrap/>
          </w:tcPr>
          <w:p w14:paraId="09E083BB" w14:textId="6BBF571B" w:rsidR="0055533F" w:rsidRPr="009B0910" w:rsidRDefault="00E63ABD" w:rsidP="00DE34D2">
            <w:pPr>
              <w:pStyle w:val="TableParagraph"/>
              <w:spacing w:before="240" w:after="240"/>
              <w:ind w:right="86"/>
              <w:jc w:val="both"/>
              <w:rPr>
                <w:sz w:val="24"/>
                <w:szCs w:val="24"/>
                <w:lang w:val="en-GB"/>
              </w:rPr>
            </w:pPr>
            <w:r w:rsidRPr="00F52F8C">
              <w:rPr>
                <w:lang w:eastAsia="nl-NL"/>
              </w:rPr>
              <w:t>Bank of Albania</w:t>
            </w:r>
          </w:p>
        </w:tc>
      </w:tr>
      <w:tr w:rsidR="0055533F" w:rsidRPr="00493D72" w14:paraId="7675313E" w14:textId="77777777" w:rsidTr="00BB1DFF">
        <w:trPr>
          <w:gridAfter w:val="1"/>
          <w:wAfter w:w="851" w:type="dxa"/>
          <w:trHeight w:val="567"/>
        </w:trPr>
        <w:tc>
          <w:tcPr>
            <w:tcW w:w="2471" w:type="dxa"/>
            <w:shd w:val="clear" w:color="auto" w:fill="FFFFCC"/>
            <w:vAlign w:val="center"/>
            <w:hideMark/>
          </w:tcPr>
          <w:p w14:paraId="45C5A203"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1.2. Contact organisation unit</w:t>
            </w:r>
          </w:p>
        </w:tc>
        <w:tc>
          <w:tcPr>
            <w:tcW w:w="7872" w:type="dxa"/>
            <w:noWrap/>
          </w:tcPr>
          <w:p w14:paraId="49E522CF" w14:textId="497C4AD1" w:rsidR="0055533F" w:rsidRPr="009B0910" w:rsidRDefault="00347A65" w:rsidP="00DE34D2">
            <w:pPr>
              <w:pStyle w:val="TableParagraph"/>
              <w:spacing w:before="240" w:after="240"/>
              <w:ind w:right="86"/>
              <w:jc w:val="both"/>
              <w:rPr>
                <w:sz w:val="24"/>
                <w:szCs w:val="24"/>
                <w:lang w:val="en-GB"/>
              </w:rPr>
            </w:pPr>
            <w:r w:rsidRPr="00347A65">
              <w:rPr>
                <w:lang w:eastAsia="nl-NL"/>
              </w:rPr>
              <w:t>External Sector Statistics/International Investment Position and Surveys Unit</w:t>
            </w:r>
          </w:p>
        </w:tc>
      </w:tr>
      <w:tr w:rsidR="0055533F" w:rsidRPr="00493D72" w14:paraId="5F4A5373" w14:textId="77777777" w:rsidTr="00BB1DFF">
        <w:trPr>
          <w:gridAfter w:val="1"/>
          <w:wAfter w:w="851" w:type="dxa"/>
          <w:trHeight w:val="567"/>
        </w:trPr>
        <w:tc>
          <w:tcPr>
            <w:tcW w:w="2471" w:type="dxa"/>
            <w:shd w:val="clear" w:color="auto" w:fill="FFFFCC"/>
            <w:vAlign w:val="center"/>
            <w:hideMark/>
          </w:tcPr>
          <w:p w14:paraId="08EF13C2"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1.3. Contact name</w:t>
            </w:r>
          </w:p>
        </w:tc>
        <w:tc>
          <w:tcPr>
            <w:tcW w:w="7872" w:type="dxa"/>
            <w:noWrap/>
          </w:tcPr>
          <w:p w14:paraId="1380B272" w14:textId="77777777" w:rsidR="0055533F" w:rsidRDefault="00E63ABD" w:rsidP="00DE34D2">
            <w:pPr>
              <w:pStyle w:val="TableParagraph"/>
              <w:spacing w:before="240" w:after="240"/>
              <w:ind w:right="86"/>
              <w:jc w:val="both"/>
              <w:rPr>
                <w:lang w:eastAsia="nl-NL"/>
              </w:rPr>
            </w:pPr>
            <w:r>
              <w:rPr>
                <w:lang w:eastAsia="nl-NL"/>
              </w:rPr>
              <w:t>Rudina Lilaj</w:t>
            </w:r>
          </w:p>
          <w:p w14:paraId="56D5B33F" w14:textId="0E6040A9" w:rsidR="002F43D5" w:rsidRPr="00262D6E" w:rsidRDefault="002F43D5" w:rsidP="00DE34D2">
            <w:pPr>
              <w:pStyle w:val="TableParagraph"/>
              <w:spacing w:before="240" w:after="240"/>
              <w:ind w:right="86"/>
              <w:jc w:val="both"/>
              <w:rPr>
                <w:lang w:eastAsia="nl-NL"/>
              </w:rPr>
            </w:pPr>
            <w:r>
              <w:rPr>
                <w:lang w:eastAsia="nl-NL"/>
              </w:rPr>
              <w:t>Ines Koçiaj</w:t>
            </w:r>
          </w:p>
        </w:tc>
      </w:tr>
      <w:tr w:rsidR="0055533F" w:rsidRPr="00493D72" w14:paraId="22A358E6" w14:textId="77777777" w:rsidTr="00BB1DFF">
        <w:trPr>
          <w:gridAfter w:val="1"/>
          <w:wAfter w:w="851" w:type="dxa"/>
          <w:trHeight w:val="567"/>
        </w:trPr>
        <w:tc>
          <w:tcPr>
            <w:tcW w:w="2471" w:type="dxa"/>
            <w:shd w:val="clear" w:color="auto" w:fill="FFFFCC"/>
            <w:vAlign w:val="center"/>
            <w:hideMark/>
          </w:tcPr>
          <w:p w14:paraId="41703B45"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1.4. Contact person function</w:t>
            </w:r>
          </w:p>
        </w:tc>
        <w:tc>
          <w:tcPr>
            <w:tcW w:w="7872" w:type="dxa"/>
            <w:noWrap/>
          </w:tcPr>
          <w:p w14:paraId="6B927931" w14:textId="77777777" w:rsidR="0055533F" w:rsidRDefault="00E63ABD" w:rsidP="00DE34D2">
            <w:pPr>
              <w:pStyle w:val="TableParagraph"/>
              <w:spacing w:before="240" w:after="240"/>
              <w:ind w:right="86"/>
              <w:jc w:val="both"/>
              <w:rPr>
                <w:lang w:eastAsia="nl-NL"/>
              </w:rPr>
            </w:pPr>
            <w:r w:rsidRPr="00F52F8C">
              <w:rPr>
                <w:lang w:eastAsia="nl-NL"/>
              </w:rPr>
              <w:t>Head of External Sector Statistics</w:t>
            </w:r>
          </w:p>
          <w:p w14:paraId="099E8D67" w14:textId="2C6204AB" w:rsidR="0005432D" w:rsidRPr="009B0910" w:rsidRDefault="0005432D" w:rsidP="00DE34D2">
            <w:pPr>
              <w:pStyle w:val="TableParagraph"/>
              <w:spacing w:before="240" w:after="240"/>
              <w:ind w:right="86"/>
              <w:jc w:val="both"/>
              <w:rPr>
                <w:sz w:val="24"/>
                <w:szCs w:val="24"/>
                <w:lang w:val="en-GB"/>
              </w:rPr>
            </w:pPr>
            <w:r>
              <w:rPr>
                <w:lang w:eastAsia="nl-NL"/>
              </w:rPr>
              <w:t>Head of International Investment Positions and Surveys</w:t>
            </w:r>
          </w:p>
        </w:tc>
      </w:tr>
      <w:tr w:rsidR="0055533F" w:rsidRPr="002D6353" w14:paraId="18FB670A" w14:textId="77777777" w:rsidTr="00BB1DFF">
        <w:trPr>
          <w:gridAfter w:val="1"/>
          <w:wAfter w:w="851" w:type="dxa"/>
          <w:trHeight w:val="567"/>
        </w:trPr>
        <w:tc>
          <w:tcPr>
            <w:tcW w:w="2471" w:type="dxa"/>
            <w:shd w:val="clear" w:color="auto" w:fill="FFFFCC"/>
            <w:vAlign w:val="center"/>
            <w:hideMark/>
          </w:tcPr>
          <w:p w14:paraId="6F963709"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1.5. Contact mail address</w:t>
            </w:r>
          </w:p>
        </w:tc>
        <w:tc>
          <w:tcPr>
            <w:tcW w:w="7872" w:type="dxa"/>
            <w:noWrap/>
          </w:tcPr>
          <w:p w14:paraId="2FB13020" w14:textId="77777777" w:rsidR="00E63ABD" w:rsidRPr="00F52F8C" w:rsidRDefault="00E63ABD" w:rsidP="00DE34D2">
            <w:pPr>
              <w:pStyle w:val="TableParagraph"/>
              <w:spacing w:before="240" w:after="240"/>
              <w:ind w:right="86"/>
              <w:jc w:val="both"/>
              <w:rPr>
                <w:lang w:eastAsia="nl-NL"/>
              </w:rPr>
            </w:pPr>
            <w:r w:rsidRPr="00F52F8C">
              <w:rPr>
                <w:lang w:eastAsia="nl-NL"/>
              </w:rPr>
              <w:t>Selia Qendrore nr.2 e Bankës së Shqipërisë</w:t>
            </w:r>
          </w:p>
          <w:p w14:paraId="70CA390C" w14:textId="61BCAB17" w:rsidR="0055533F" w:rsidRPr="009B0910" w:rsidRDefault="00E63ABD" w:rsidP="00DE34D2">
            <w:pPr>
              <w:pStyle w:val="TableParagraph"/>
              <w:spacing w:before="240" w:after="240"/>
              <w:ind w:right="86"/>
              <w:jc w:val="both"/>
              <w:rPr>
                <w:sz w:val="24"/>
                <w:szCs w:val="24"/>
                <w:lang w:val="en-GB"/>
              </w:rPr>
            </w:pPr>
            <w:r w:rsidRPr="00F52F8C">
              <w:rPr>
                <w:lang w:eastAsia="nl-NL"/>
              </w:rPr>
              <w:t>Bulevardi “Dëshmorët e Kombit, nr.3, Tiranë</w:t>
            </w:r>
          </w:p>
        </w:tc>
      </w:tr>
      <w:tr w:rsidR="0055533F" w:rsidRPr="00493D72" w14:paraId="38BEC586" w14:textId="77777777" w:rsidTr="00BB1DFF">
        <w:trPr>
          <w:gridAfter w:val="1"/>
          <w:wAfter w:w="851" w:type="dxa"/>
          <w:trHeight w:val="567"/>
        </w:trPr>
        <w:tc>
          <w:tcPr>
            <w:tcW w:w="2471" w:type="dxa"/>
            <w:shd w:val="clear" w:color="auto" w:fill="FFFFCC"/>
            <w:vAlign w:val="center"/>
            <w:hideMark/>
          </w:tcPr>
          <w:p w14:paraId="7FACB0D6"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1.6. Contact email address</w:t>
            </w:r>
          </w:p>
        </w:tc>
        <w:tc>
          <w:tcPr>
            <w:tcW w:w="7872" w:type="dxa"/>
            <w:noWrap/>
          </w:tcPr>
          <w:p w14:paraId="372D877F" w14:textId="77777777" w:rsidR="00DE34D2" w:rsidRDefault="00DE34D2" w:rsidP="00DE34D2">
            <w:pPr>
              <w:pStyle w:val="TableParagraph"/>
              <w:spacing w:before="240" w:after="240"/>
              <w:ind w:right="86"/>
              <w:jc w:val="both"/>
            </w:pPr>
            <w:hyperlink r:id="rId7" w:history="1">
              <w:r w:rsidRPr="00AF7F30">
                <w:rPr>
                  <w:rStyle w:val="Hyperlink"/>
                  <w:lang w:eastAsia="nl-NL"/>
                </w:rPr>
                <w:t>rlilaj@bankofalbania.org</w:t>
              </w:r>
            </w:hyperlink>
          </w:p>
          <w:p w14:paraId="1F090984" w14:textId="21D93F08" w:rsidR="00056681" w:rsidRPr="009B0910" w:rsidRDefault="00056681" w:rsidP="00DE34D2">
            <w:pPr>
              <w:pStyle w:val="TableParagraph"/>
              <w:spacing w:before="240" w:after="240"/>
              <w:ind w:right="86"/>
              <w:jc w:val="both"/>
              <w:rPr>
                <w:sz w:val="24"/>
                <w:szCs w:val="24"/>
                <w:lang w:val="en-GB"/>
              </w:rPr>
            </w:pPr>
            <w:hyperlink r:id="rId8" w:history="1">
              <w:r w:rsidRPr="00312603">
                <w:rPr>
                  <w:rStyle w:val="Hyperlink"/>
                </w:rPr>
                <w:t>ikociaj@bankofalbania.org</w:t>
              </w:r>
            </w:hyperlink>
            <w:r>
              <w:t xml:space="preserve"> </w:t>
            </w:r>
          </w:p>
        </w:tc>
      </w:tr>
      <w:tr w:rsidR="0055533F" w:rsidRPr="00493D72" w14:paraId="1B2C3B8A" w14:textId="77777777" w:rsidTr="00BB1DFF">
        <w:trPr>
          <w:gridAfter w:val="1"/>
          <w:wAfter w:w="851" w:type="dxa"/>
          <w:trHeight w:val="567"/>
        </w:trPr>
        <w:tc>
          <w:tcPr>
            <w:tcW w:w="2471" w:type="dxa"/>
            <w:shd w:val="clear" w:color="auto" w:fill="FFFFCC"/>
            <w:vAlign w:val="center"/>
            <w:hideMark/>
          </w:tcPr>
          <w:p w14:paraId="09AC84D8"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1.7. Contact phone number</w:t>
            </w:r>
          </w:p>
        </w:tc>
        <w:tc>
          <w:tcPr>
            <w:tcW w:w="7872" w:type="dxa"/>
            <w:noWrap/>
          </w:tcPr>
          <w:p w14:paraId="3A70F9CF" w14:textId="1D20F444" w:rsidR="0055533F" w:rsidRPr="0005432D" w:rsidRDefault="00E63ABD" w:rsidP="00DE34D2">
            <w:pPr>
              <w:pStyle w:val="TableParagraph"/>
              <w:spacing w:before="240" w:after="240"/>
              <w:ind w:right="86"/>
              <w:jc w:val="both"/>
              <w:rPr>
                <w:lang w:val="en-GB"/>
              </w:rPr>
            </w:pPr>
            <w:r w:rsidRPr="0005432D">
              <w:rPr>
                <w:lang w:val="en-GB"/>
              </w:rPr>
              <w:t>+355 4 2419301/02/03</w:t>
            </w:r>
            <w:r w:rsidR="00347A65" w:rsidRPr="0005432D">
              <w:rPr>
                <w:lang w:val="en-GB"/>
              </w:rPr>
              <w:t>/ (</w:t>
            </w:r>
            <w:r w:rsidRPr="0005432D">
              <w:rPr>
                <w:lang w:val="en-GB"/>
              </w:rPr>
              <w:t>ext 634)</w:t>
            </w:r>
          </w:p>
        </w:tc>
      </w:tr>
      <w:tr w:rsidR="0055533F" w:rsidRPr="00493D72" w14:paraId="05763D7F" w14:textId="77777777" w:rsidTr="00BB1DFF">
        <w:trPr>
          <w:gridAfter w:val="1"/>
          <w:wAfter w:w="851" w:type="dxa"/>
          <w:trHeight w:val="567"/>
        </w:trPr>
        <w:tc>
          <w:tcPr>
            <w:tcW w:w="2471" w:type="dxa"/>
            <w:shd w:val="clear" w:color="auto" w:fill="FFFFCC"/>
            <w:vAlign w:val="center"/>
            <w:hideMark/>
          </w:tcPr>
          <w:p w14:paraId="0AF4DF99"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1.8. Contact fax number</w:t>
            </w:r>
          </w:p>
        </w:tc>
        <w:tc>
          <w:tcPr>
            <w:tcW w:w="7872" w:type="dxa"/>
            <w:noWrap/>
          </w:tcPr>
          <w:p w14:paraId="6F32A87A" w14:textId="7C5D6138" w:rsidR="0055533F" w:rsidRPr="00262D6E" w:rsidRDefault="00E63ABD" w:rsidP="00DE34D2">
            <w:pPr>
              <w:pStyle w:val="TableParagraph"/>
              <w:spacing w:before="240" w:after="240"/>
              <w:ind w:right="86"/>
              <w:jc w:val="both"/>
              <w:rPr>
                <w:sz w:val="24"/>
                <w:szCs w:val="24"/>
                <w:highlight w:val="yellow"/>
                <w:lang w:val="en-GB"/>
              </w:rPr>
            </w:pPr>
            <w:r w:rsidRPr="00F52F8C">
              <w:rPr>
                <w:lang w:eastAsia="nl-NL"/>
              </w:rPr>
              <w:t>+355 4 2419408</w:t>
            </w:r>
          </w:p>
        </w:tc>
      </w:tr>
      <w:tr w:rsidR="0055533F" w:rsidRPr="00493D72" w14:paraId="414C83BA"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2421D747" w14:textId="77777777" w:rsidR="0055533F" w:rsidRPr="00493D72" w:rsidRDefault="0055533F" w:rsidP="00301553">
            <w:pPr>
              <w:pStyle w:val="Heading1"/>
              <w:spacing w:before="0"/>
              <w:rPr>
                <w:rFonts w:ascii="Times New Roman" w:hAnsi="Times New Roman" w:cs="Times New Roman"/>
                <w:noProof/>
                <w:sz w:val="24"/>
                <w:szCs w:val="24"/>
                <w:lang w:val="sq-AL"/>
              </w:rPr>
            </w:pPr>
            <w:bookmarkStart w:id="1" w:name="_Toc222230596"/>
            <w:r w:rsidRPr="00493D72">
              <w:rPr>
                <w:rFonts w:ascii="Times New Roman" w:eastAsia="Times New Roman" w:hAnsi="Times New Roman" w:cs="Times New Roman"/>
                <w:noProof/>
                <w:color w:val="000000"/>
                <w:sz w:val="24"/>
                <w:szCs w:val="24"/>
                <w:lang w:val="sq-AL" w:eastAsia="sq-AL"/>
              </w:rPr>
              <w:t>2. Metadata update</w:t>
            </w:r>
            <w:bookmarkEnd w:id="1"/>
          </w:p>
        </w:tc>
      </w:tr>
      <w:tr w:rsidR="0055533F" w:rsidRPr="00493D72" w14:paraId="41455E31" w14:textId="77777777" w:rsidTr="00BB1DFF">
        <w:trPr>
          <w:gridAfter w:val="1"/>
          <w:wAfter w:w="851" w:type="dxa"/>
          <w:trHeight w:val="567"/>
        </w:trPr>
        <w:tc>
          <w:tcPr>
            <w:tcW w:w="2471" w:type="dxa"/>
            <w:shd w:val="clear" w:color="auto" w:fill="FFFFCC"/>
            <w:noWrap/>
            <w:vAlign w:val="center"/>
            <w:hideMark/>
          </w:tcPr>
          <w:p w14:paraId="2F66549B"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2.1. Metadata last certified</w:t>
            </w:r>
          </w:p>
        </w:tc>
        <w:tc>
          <w:tcPr>
            <w:tcW w:w="7872" w:type="dxa"/>
            <w:noWrap/>
          </w:tcPr>
          <w:p w14:paraId="03C89694" w14:textId="2216C880" w:rsidR="0055533F" w:rsidRPr="009B0910" w:rsidRDefault="0055533F" w:rsidP="00301553">
            <w:pPr>
              <w:pStyle w:val="TableParagraph"/>
              <w:spacing w:before="240" w:after="240"/>
              <w:ind w:left="101" w:right="86"/>
              <w:jc w:val="both"/>
              <w:rPr>
                <w:sz w:val="24"/>
                <w:szCs w:val="24"/>
                <w:lang w:val="en-GB"/>
              </w:rPr>
            </w:pPr>
          </w:p>
        </w:tc>
      </w:tr>
      <w:tr w:rsidR="0055533F" w:rsidRPr="00493D72" w14:paraId="08DE24FA" w14:textId="77777777" w:rsidTr="00BB1DFF">
        <w:trPr>
          <w:gridAfter w:val="1"/>
          <w:wAfter w:w="851" w:type="dxa"/>
          <w:trHeight w:val="567"/>
        </w:trPr>
        <w:tc>
          <w:tcPr>
            <w:tcW w:w="2471" w:type="dxa"/>
            <w:shd w:val="clear" w:color="auto" w:fill="FFFFCC"/>
            <w:noWrap/>
            <w:vAlign w:val="center"/>
            <w:hideMark/>
          </w:tcPr>
          <w:p w14:paraId="1D3B6102"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2.2. Metadata last posted</w:t>
            </w:r>
          </w:p>
        </w:tc>
        <w:tc>
          <w:tcPr>
            <w:tcW w:w="7872" w:type="dxa"/>
            <w:noWrap/>
          </w:tcPr>
          <w:p w14:paraId="0A055016" w14:textId="2D6F4E2C" w:rsidR="0055533F" w:rsidRPr="009B0910" w:rsidRDefault="0055533F" w:rsidP="00301553">
            <w:pPr>
              <w:pStyle w:val="TableParagraph"/>
              <w:spacing w:before="240" w:after="240"/>
              <w:ind w:left="101" w:right="86"/>
              <w:jc w:val="both"/>
              <w:rPr>
                <w:sz w:val="24"/>
                <w:szCs w:val="24"/>
                <w:lang w:val="en-GB"/>
              </w:rPr>
            </w:pPr>
          </w:p>
        </w:tc>
      </w:tr>
      <w:tr w:rsidR="0055533F" w:rsidRPr="00493D72" w14:paraId="110F3324" w14:textId="77777777" w:rsidTr="00BB1DFF">
        <w:trPr>
          <w:gridAfter w:val="1"/>
          <w:wAfter w:w="851" w:type="dxa"/>
          <w:trHeight w:val="567"/>
        </w:trPr>
        <w:tc>
          <w:tcPr>
            <w:tcW w:w="2471" w:type="dxa"/>
            <w:shd w:val="clear" w:color="auto" w:fill="FFFFCC"/>
            <w:noWrap/>
            <w:vAlign w:val="center"/>
            <w:hideMark/>
          </w:tcPr>
          <w:p w14:paraId="4D3D3B26"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2.3. Metadata last update</w:t>
            </w:r>
          </w:p>
        </w:tc>
        <w:tc>
          <w:tcPr>
            <w:tcW w:w="7872" w:type="dxa"/>
            <w:noWrap/>
          </w:tcPr>
          <w:p w14:paraId="411300B7" w14:textId="19B0C481" w:rsidR="0055533F" w:rsidRPr="009B0910" w:rsidRDefault="0055533F" w:rsidP="00301553">
            <w:pPr>
              <w:pStyle w:val="TableParagraph"/>
              <w:spacing w:before="240" w:after="240"/>
              <w:ind w:left="101" w:right="86"/>
              <w:jc w:val="both"/>
              <w:rPr>
                <w:sz w:val="24"/>
                <w:szCs w:val="24"/>
                <w:lang w:val="en-GB"/>
              </w:rPr>
            </w:pPr>
          </w:p>
        </w:tc>
      </w:tr>
      <w:tr w:rsidR="0055533F" w:rsidRPr="00493D72" w14:paraId="4C81693F"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0F29AA92" w14:textId="77777777" w:rsidR="0055533F" w:rsidRPr="00493D72" w:rsidRDefault="0055533F" w:rsidP="00301553">
            <w:pPr>
              <w:pStyle w:val="Heading1"/>
              <w:spacing w:before="0"/>
              <w:rPr>
                <w:rFonts w:ascii="Times New Roman" w:eastAsia="Times New Roman" w:hAnsi="Times New Roman" w:cs="Times New Roman"/>
                <w:b w:val="0"/>
                <w:bCs w:val="0"/>
                <w:noProof/>
                <w:color w:val="000000"/>
                <w:sz w:val="24"/>
                <w:szCs w:val="24"/>
                <w:lang w:val="sq-AL" w:eastAsia="sq-AL"/>
              </w:rPr>
            </w:pPr>
            <w:bookmarkStart w:id="2" w:name="_Toc222230597"/>
            <w:r w:rsidRPr="00493D72">
              <w:rPr>
                <w:rFonts w:ascii="Times New Roman" w:eastAsia="Times New Roman" w:hAnsi="Times New Roman" w:cs="Times New Roman"/>
                <w:noProof/>
                <w:color w:val="000000"/>
                <w:sz w:val="24"/>
                <w:szCs w:val="24"/>
                <w:lang w:val="sq-AL" w:eastAsia="sq-AL"/>
              </w:rPr>
              <w:t>3. Statistical presentation</w:t>
            </w:r>
            <w:bookmarkEnd w:id="2"/>
          </w:p>
        </w:tc>
      </w:tr>
      <w:tr w:rsidR="0055533F" w:rsidRPr="00493D72" w14:paraId="179D5EDF" w14:textId="77777777" w:rsidTr="00BB1DFF">
        <w:trPr>
          <w:gridAfter w:val="1"/>
          <w:wAfter w:w="851" w:type="dxa"/>
          <w:trHeight w:val="567"/>
        </w:trPr>
        <w:tc>
          <w:tcPr>
            <w:tcW w:w="2471" w:type="dxa"/>
            <w:shd w:val="clear" w:color="auto" w:fill="FFFFCC"/>
            <w:noWrap/>
            <w:vAlign w:val="center"/>
            <w:hideMark/>
          </w:tcPr>
          <w:p w14:paraId="1BAF774C"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3.1. Data description</w:t>
            </w:r>
          </w:p>
        </w:tc>
        <w:tc>
          <w:tcPr>
            <w:tcW w:w="7872" w:type="dxa"/>
          </w:tcPr>
          <w:p w14:paraId="471F2F1F" w14:textId="7FB44A7A" w:rsidR="00877975" w:rsidRPr="00140BB6" w:rsidRDefault="00877975" w:rsidP="00877975">
            <w:pPr>
              <w:pStyle w:val="TableParagraph"/>
              <w:spacing w:before="240" w:after="240"/>
              <w:ind w:right="85"/>
              <w:jc w:val="both"/>
              <w:rPr>
                <w:lang w:eastAsia="nl-NL"/>
              </w:rPr>
            </w:pPr>
            <w:r w:rsidRPr="00140BB6">
              <w:rPr>
                <w:lang w:eastAsia="nl-NL"/>
              </w:rPr>
              <w:t>Direct investment (FDI) is a category of international investment that reflects a lasting interest and a significant degree of influence by an investor resident in one economy in an enterprise resident in another economy. It allows for position-transactions analysis of external position of a country. It shows at a point in time the value and composition of:</w:t>
            </w:r>
          </w:p>
          <w:p w14:paraId="1C1E2BB3" w14:textId="77777777" w:rsidR="00EB6B65" w:rsidRPr="00140BB6" w:rsidRDefault="00877975" w:rsidP="00877975">
            <w:pPr>
              <w:pStyle w:val="TableParagraph"/>
              <w:numPr>
                <w:ilvl w:val="0"/>
                <w:numId w:val="10"/>
              </w:numPr>
              <w:spacing w:before="240" w:after="240"/>
              <w:ind w:right="85"/>
              <w:jc w:val="both"/>
              <w:rPr>
                <w:lang w:eastAsia="nl-NL"/>
              </w:rPr>
            </w:pPr>
            <w:r w:rsidRPr="00140BB6">
              <w:rPr>
                <w:lang w:eastAsia="nl-NL"/>
              </w:rPr>
              <w:t>Financial assets of residents of an economy that are claims on non-residents, and</w:t>
            </w:r>
          </w:p>
          <w:p w14:paraId="76DF47D7" w14:textId="31F4EC68" w:rsidR="00877975" w:rsidRPr="00140BB6" w:rsidRDefault="00877975" w:rsidP="00877975">
            <w:pPr>
              <w:pStyle w:val="TableParagraph"/>
              <w:numPr>
                <w:ilvl w:val="0"/>
                <w:numId w:val="10"/>
              </w:numPr>
              <w:spacing w:before="240" w:after="240"/>
              <w:ind w:right="85"/>
              <w:jc w:val="both"/>
              <w:rPr>
                <w:lang w:eastAsia="nl-NL"/>
              </w:rPr>
            </w:pPr>
            <w:r w:rsidRPr="00140BB6">
              <w:rPr>
                <w:lang w:eastAsia="nl-NL"/>
              </w:rPr>
              <w:lastRenderedPageBreak/>
              <w:t xml:space="preserve">Liabilities of residents of an economy to non-residents. </w:t>
            </w:r>
          </w:p>
          <w:p w14:paraId="3580572E" w14:textId="6ED3F2F9" w:rsidR="0055533F" w:rsidRPr="00140BB6" w:rsidRDefault="00877975" w:rsidP="00877975">
            <w:pPr>
              <w:pStyle w:val="TableParagraph"/>
              <w:spacing w:before="240" w:after="240"/>
              <w:ind w:right="85"/>
              <w:jc w:val="both"/>
              <w:rPr>
                <w:lang w:eastAsia="nl-NL"/>
              </w:rPr>
            </w:pPr>
            <w:r w:rsidRPr="00140BB6">
              <w:rPr>
                <w:lang w:eastAsia="nl-NL"/>
              </w:rPr>
              <w:t>The figures are transmitted to Eurostat through SDMX in accordance with the Balance of Payments Vademecum.</w:t>
            </w:r>
          </w:p>
        </w:tc>
      </w:tr>
      <w:tr w:rsidR="0055533F" w:rsidRPr="00493D72" w14:paraId="0F9761C1" w14:textId="77777777" w:rsidTr="00BB1DFF">
        <w:trPr>
          <w:gridAfter w:val="1"/>
          <w:wAfter w:w="851" w:type="dxa"/>
          <w:trHeight w:val="567"/>
        </w:trPr>
        <w:tc>
          <w:tcPr>
            <w:tcW w:w="2471" w:type="dxa"/>
            <w:shd w:val="clear" w:color="auto" w:fill="FFFFCC"/>
            <w:noWrap/>
            <w:vAlign w:val="center"/>
            <w:hideMark/>
          </w:tcPr>
          <w:p w14:paraId="0B4D5EB7"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3.2. Classification system</w:t>
            </w:r>
          </w:p>
        </w:tc>
        <w:tc>
          <w:tcPr>
            <w:tcW w:w="7872" w:type="dxa"/>
          </w:tcPr>
          <w:p w14:paraId="39218767" w14:textId="77777777" w:rsidR="00877975" w:rsidRPr="00877975" w:rsidRDefault="00877975" w:rsidP="00877975">
            <w:pPr>
              <w:spacing w:before="30" w:after="30"/>
              <w:jc w:val="both"/>
              <w:rPr>
                <w:rFonts w:ascii="Times New Roman" w:hAnsi="Times New Roman" w:cs="Times New Roman"/>
                <w:lang w:eastAsia="nl-NL"/>
              </w:rPr>
            </w:pPr>
            <w:r w:rsidRPr="00877975">
              <w:rPr>
                <w:rFonts w:ascii="Times New Roman" w:hAnsi="Times New Roman" w:cs="Times New Roman"/>
                <w:lang w:eastAsia="nl-NL"/>
              </w:rPr>
              <w:t>The methodological framework followed in the compilation of the direct investment is defined in the IMF’s Balance of Payments and International Investment Positions Manual, Sixth Edition (BPM6) and the European system of national and regional accounts for the denominator (ESA 2010), as defined in Regulation (EU) No 184/2013 of the European Parliament and of the Council of 21 May 2013.</w:t>
            </w:r>
          </w:p>
          <w:p w14:paraId="323753D2" w14:textId="7EABE229" w:rsidR="0055533F" w:rsidRPr="005B7ED2" w:rsidRDefault="00877975" w:rsidP="00877975">
            <w:pPr>
              <w:spacing w:before="30" w:after="30"/>
              <w:jc w:val="both"/>
              <w:rPr>
                <w:rFonts w:ascii="Times New Roman" w:hAnsi="Times New Roman" w:cs="Times New Roman"/>
                <w:lang w:eastAsia="nl-NL"/>
              </w:rPr>
            </w:pPr>
            <w:r w:rsidRPr="00877975">
              <w:rPr>
                <w:rFonts w:ascii="Times New Roman" w:hAnsi="Times New Roman" w:cs="Times New Roman"/>
                <w:lang w:eastAsia="nl-NL"/>
              </w:rPr>
              <w:t xml:space="preserve">Balance of Payments Manual fifth edition (BPM5) was the reference for the data published by BOA until 2007. Additional methodological references </w:t>
            </w:r>
            <w:r w:rsidR="00C860CE" w:rsidRPr="00877975">
              <w:rPr>
                <w:rFonts w:ascii="Times New Roman" w:hAnsi="Times New Roman" w:cs="Times New Roman"/>
                <w:lang w:eastAsia="nl-NL"/>
              </w:rPr>
              <w:t>used</w:t>
            </w:r>
            <w:r w:rsidRPr="00877975">
              <w:rPr>
                <w:rFonts w:ascii="Times New Roman" w:hAnsi="Times New Roman" w:cs="Times New Roman"/>
                <w:lang w:eastAsia="nl-NL"/>
              </w:rPr>
              <w:t xml:space="preserve"> are the OECD Benchmark Definition of Foreign Direct Investment (BD4).</w:t>
            </w:r>
          </w:p>
        </w:tc>
      </w:tr>
      <w:tr w:rsidR="0055533F" w:rsidRPr="00493D72" w14:paraId="57F5A1FB" w14:textId="77777777" w:rsidTr="00BB1DFF">
        <w:trPr>
          <w:gridAfter w:val="1"/>
          <w:wAfter w:w="851" w:type="dxa"/>
          <w:trHeight w:val="567"/>
        </w:trPr>
        <w:tc>
          <w:tcPr>
            <w:tcW w:w="2471" w:type="dxa"/>
            <w:shd w:val="clear" w:color="auto" w:fill="FFFFCC"/>
            <w:vAlign w:val="center"/>
            <w:hideMark/>
          </w:tcPr>
          <w:p w14:paraId="3D8DE103"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3.3. Sector coverage</w:t>
            </w:r>
          </w:p>
        </w:tc>
        <w:tc>
          <w:tcPr>
            <w:tcW w:w="7872" w:type="dxa"/>
          </w:tcPr>
          <w:p w14:paraId="06FDF6E7" w14:textId="01A3FC19" w:rsidR="0055533F" w:rsidRPr="005B7ED2" w:rsidRDefault="00877975" w:rsidP="005B7ED2">
            <w:pPr>
              <w:spacing w:before="30" w:after="30"/>
              <w:jc w:val="both"/>
              <w:rPr>
                <w:rFonts w:ascii="Times New Roman" w:hAnsi="Times New Roman" w:cs="Times New Roman"/>
                <w:lang w:eastAsia="nl-NL"/>
              </w:rPr>
            </w:pPr>
            <w:r w:rsidRPr="00877975">
              <w:rPr>
                <w:rFonts w:ascii="Times New Roman" w:hAnsi="Times New Roman" w:cs="Times New Roman"/>
                <w:lang w:eastAsia="nl-NL"/>
              </w:rPr>
              <w:t>Data are compiled and disseminated for flow and positions of total economy vis-a-vis rest of the world. Additionally, for the assets and liabilities flow and positions (and FDI direction in /out), as well as related economy data are available with activity breakdown.</w:t>
            </w:r>
          </w:p>
        </w:tc>
      </w:tr>
      <w:tr w:rsidR="0055533F" w:rsidRPr="00F52F8C" w14:paraId="7CE37C46" w14:textId="77777777" w:rsidTr="00BB1DFF">
        <w:trPr>
          <w:gridAfter w:val="1"/>
          <w:wAfter w:w="851" w:type="dxa"/>
          <w:trHeight w:val="567"/>
        </w:trPr>
        <w:tc>
          <w:tcPr>
            <w:tcW w:w="2471" w:type="dxa"/>
            <w:shd w:val="clear" w:color="auto" w:fill="FFFFCC"/>
            <w:vAlign w:val="center"/>
            <w:hideMark/>
          </w:tcPr>
          <w:p w14:paraId="0553FE84"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3.4. Statistical concepts and definitons</w:t>
            </w:r>
          </w:p>
        </w:tc>
        <w:tc>
          <w:tcPr>
            <w:tcW w:w="7872" w:type="dxa"/>
          </w:tcPr>
          <w:p w14:paraId="31C01C15" w14:textId="77777777" w:rsidR="00877975" w:rsidRPr="004C3046" w:rsidRDefault="00877975" w:rsidP="00877975">
            <w:pPr>
              <w:spacing w:before="30" w:after="30"/>
              <w:jc w:val="both"/>
              <w:rPr>
                <w:rFonts w:ascii="Times New Roman" w:hAnsi="Times New Roman" w:cs="Times New Roman"/>
                <w:lang w:eastAsia="nl-NL"/>
              </w:rPr>
            </w:pPr>
            <w:r w:rsidRPr="004C3046">
              <w:rPr>
                <w:rFonts w:ascii="Times New Roman" w:hAnsi="Times New Roman" w:cs="Times New Roman"/>
                <w:lang w:eastAsia="nl-NL"/>
              </w:rPr>
              <w:t>The indicator is compiled based on Eurostat Balance of Payments (BOP) statistics, in accordance with the BPM6 methodology.</w:t>
            </w:r>
          </w:p>
          <w:p w14:paraId="320227DF" w14:textId="77777777" w:rsidR="00877975" w:rsidRPr="004C3046" w:rsidRDefault="00877975" w:rsidP="00877975">
            <w:pPr>
              <w:spacing w:before="30" w:after="30"/>
              <w:jc w:val="both"/>
              <w:rPr>
                <w:rFonts w:ascii="Times New Roman" w:hAnsi="Times New Roman" w:cs="Times New Roman"/>
                <w:lang w:eastAsia="nl-NL"/>
              </w:rPr>
            </w:pPr>
            <w:r w:rsidRPr="004C3046">
              <w:rPr>
                <w:rFonts w:ascii="Times New Roman" w:hAnsi="Times New Roman" w:cs="Times New Roman"/>
                <w:lang w:eastAsia="nl-NL"/>
              </w:rPr>
              <w:t xml:space="preserve">The concept of residence applied follows BPM6 and is fully consistent with the 2008 System of National Accounts (SNA). An institutional unit is considered resident in the economic territory where it has its centre of predominant economic interest. Each institutional unit is resident in one and only one economic territory. </w:t>
            </w:r>
          </w:p>
          <w:p w14:paraId="17C0727A" w14:textId="68DDF9E2" w:rsidR="00877975" w:rsidRPr="004C3046" w:rsidRDefault="00877975" w:rsidP="00877975">
            <w:pPr>
              <w:spacing w:before="30" w:after="30"/>
              <w:jc w:val="both"/>
              <w:rPr>
                <w:rFonts w:ascii="Times New Roman" w:hAnsi="Times New Roman" w:cs="Times New Roman"/>
                <w:lang w:eastAsia="nl-NL"/>
              </w:rPr>
            </w:pPr>
            <w:r w:rsidRPr="004C3046">
              <w:rPr>
                <w:rFonts w:ascii="Times New Roman" w:hAnsi="Times New Roman" w:cs="Times New Roman"/>
                <w:lang w:eastAsia="nl-NL"/>
              </w:rPr>
              <w:t xml:space="preserve">Direct investment covers cross-border positions and transactions </w:t>
            </w:r>
            <w:r w:rsidR="00EB6B65" w:rsidRPr="004C3046">
              <w:rPr>
                <w:rFonts w:ascii="Times New Roman" w:hAnsi="Times New Roman" w:cs="Times New Roman"/>
                <w:lang w:eastAsia="nl-NL"/>
              </w:rPr>
              <w:t>reflect</w:t>
            </w:r>
            <w:r w:rsidRPr="004C3046">
              <w:rPr>
                <w:rFonts w:ascii="Times New Roman" w:hAnsi="Times New Roman" w:cs="Times New Roman"/>
                <w:lang w:eastAsia="nl-NL"/>
              </w:rPr>
              <w:t xml:space="preserve"> a lasting interest and control or significant influence between a direct investor and a direct investment enterprise, in line with BPM6 definitions.</w:t>
            </w:r>
          </w:p>
          <w:p w14:paraId="4CF46B57" w14:textId="77777777" w:rsidR="00877975" w:rsidRPr="004C3046" w:rsidRDefault="00877975" w:rsidP="00877975">
            <w:pPr>
              <w:spacing w:before="30" w:after="30"/>
              <w:jc w:val="both"/>
              <w:rPr>
                <w:rFonts w:ascii="Times New Roman" w:hAnsi="Times New Roman" w:cs="Times New Roman"/>
                <w:lang w:eastAsia="nl-NL"/>
              </w:rPr>
            </w:pPr>
            <w:r w:rsidRPr="004C3046">
              <w:rPr>
                <w:rFonts w:ascii="Times New Roman" w:hAnsi="Times New Roman" w:cs="Times New Roman"/>
                <w:lang w:eastAsia="nl-NL"/>
              </w:rPr>
              <w:t>Dimensions for the classification of the DI are by:</w:t>
            </w:r>
          </w:p>
          <w:p w14:paraId="57C6CB36" w14:textId="465E5A5A" w:rsidR="00877975" w:rsidRPr="004C3046" w:rsidRDefault="00877975" w:rsidP="00877975">
            <w:pPr>
              <w:spacing w:before="30" w:after="30"/>
              <w:jc w:val="both"/>
              <w:rPr>
                <w:rFonts w:ascii="Times New Roman" w:hAnsi="Times New Roman" w:cs="Times New Roman"/>
                <w:lang w:eastAsia="nl-NL"/>
              </w:rPr>
            </w:pPr>
            <w:r w:rsidRPr="004C3046">
              <w:rPr>
                <w:rFonts w:ascii="Times New Roman" w:hAnsi="Times New Roman" w:cs="Times New Roman"/>
                <w:lang w:eastAsia="nl-NL"/>
              </w:rPr>
              <w:t xml:space="preserve">(1) Financial </w:t>
            </w:r>
            <w:r w:rsidR="00EB6B65" w:rsidRPr="004C3046">
              <w:rPr>
                <w:rFonts w:ascii="Times New Roman" w:hAnsi="Times New Roman" w:cs="Times New Roman"/>
                <w:lang w:eastAsia="nl-NL"/>
              </w:rPr>
              <w:t>instruments</w:t>
            </w:r>
            <w:r w:rsidRPr="004C3046">
              <w:rPr>
                <w:rFonts w:ascii="Times New Roman" w:hAnsi="Times New Roman" w:cs="Times New Roman"/>
                <w:lang w:eastAsia="nl-NL"/>
              </w:rPr>
              <w:t xml:space="preserve"> that are further split by the following instruments:</w:t>
            </w:r>
          </w:p>
          <w:p w14:paraId="006EB1F5" w14:textId="77777777" w:rsidR="00877975" w:rsidRPr="004C3046" w:rsidRDefault="00877975" w:rsidP="00877975">
            <w:pPr>
              <w:spacing w:before="30" w:after="30"/>
              <w:jc w:val="both"/>
              <w:rPr>
                <w:rFonts w:ascii="Times New Roman" w:hAnsi="Times New Roman" w:cs="Times New Roman"/>
                <w:lang w:eastAsia="nl-NL"/>
              </w:rPr>
            </w:pPr>
            <w:r w:rsidRPr="004C3046">
              <w:rPr>
                <w:rFonts w:ascii="Times New Roman" w:hAnsi="Times New Roman" w:cs="Times New Roman"/>
                <w:lang w:eastAsia="nl-NL"/>
              </w:rPr>
              <w:t xml:space="preserve">Direct investment – split by the unlisted instruments and not by listed instruments (for the moment Albania does not have a stock exchanges market) </w:t>
            </w:r>
          </w:p>
          <w:p w14:paraId="31ADC797" w14:textId="77777777" w:rsidR="00877975" w:rsidRPr="004C3046" w:rsidRDefault="00877975" w:rsidP="00877975">
            <w:pPr>
              <w:spacing w:before="30" w:after="30"/>
              <w:jc w:val="both"/>
              <w:rPr>
                <w:rFonts w:ascii="Times New Roman" w:hAnsi="Times New Roman" w:cs="Times New Roman"/>
                <w:lang w:eastAsia="nl-NL"/>
              </w:rPr>
            </w:pPr>
            <w:r w:rsidRPr="004C3046">
              <w:rPr>
                <w:rFonts w:ascii="Times New Roman" w:hAnsi="Times New Roman" w:cs="Times New Roman"/>
                <w:lang w:eastAsia="nl-NL"/>
              </w:rPr>
              <w:t>Equity and investment fund shares/units:</w:t>
            </w:r>
          </w:p>
          <w:p w14:paraId="72CEBF8C" w14:textId="27AFC780" w:rsidR="00877975" w:rsidRPr="004C3046" w:rsidRDefault="00877975" w:rsidP="00877975">
            <w:pPr>
              <w:pStyle w:val="ListParagraph"/>
              <w:numPr>
                <w:ilvl w:val="0"/>
                <w:numId w:val="11"/>
              </w:numPr>
              <w:spacing w:before="30" w:after="30"/>
              <w:jc w:val="both"/>
              <w:rPr>
                <w:rFonts w:ascii="Times New Roman" w:hAnsi="Times New Roman" w:cs="Times New Roman"/>
                <w:sz w:val="22"/>
                <w:szCs w:val="22"/>
                <w:lang w:eastAsia="nl-NL"/>
              </w:rPr>
            </w:pPr>
            <w:r w:rsidRPr="004C3046">
              <w:rPr>
                <w:rFonts w:ascii="Times New Roman" w:hAnsi="Times New Roman" w:cs="Times New Roman"/>
                <w:sz w:val="22"/>
                <w:szCs w:val="22"/>
                <w:lang w:eastAsia="nl-NL"/>
              </w:rPr>
              <w:t>Equity and investment fund shares/units: other than reinvestment of earnings:</w:t>
            </w:r>
          </w:p>
          <w:p w14:paraId="00976572" w14:textId="52DEDDE4" w:rsidR="00877975" w:rsidRPr="004C3046" w:rsidRDefault="00877975" w:rsidP="00877975">
            <w:pPr>
              <w:pStyle w:val="ListParagraph"/>
              <w:numPr>
                <w:ilvl w:val="0"/>
                <w:numId w:val="11"/>
              </w:numPr>
              <w:spacing w:before="30" w:after="30"/>
              <w:jc w:val="both"/>
              <w:rPr>
                <w:rFonts w:ascii="Times New Roman" w:hAnsi="Times New Roman" w:cs="Times New Roman"/>
                <w:sz w:val="22"/>
                <w:szCs w:val="22"/>
                <w:lang w:eastAsia="nl-NL"/>
              </w:rPr>
            </w:pPr>
            <w:r w:rsidRPr="004C3046">
              <w:rPr>
                <w:rFonts w:ascii="Times New Roman" w:hAnsi="Times New Roman" w:cs="Times New Roman"/>
                <w:sz w:val="22"/>
                <w:szCs w:val="22"/>
                <w:lang w:eastAsia="nl-NL"/>
              </w:rPr>
              <w:t>Equity and investment fund shares/units: reinvestment of earnings.</w:t>
            </w:r>
          </w:p>
          <w:p w14:paraId="4B1B80C8" w14:textId="77777777" w:rsidR="00877975" w:rsidRPr="004C3046" w:rsidRDefault="00877975" w:rsidP="00877975">
            <w:pPr>
              <w:spacing w:before="30" w:after="30"/>
              <w:jc w:val="both"/>
              <w:rPr>
                <w:rFonts w:ascii="Times New Roman" w:hAnsi="Times New Roman" w:cs="Times New Roman"/>
                <w:lang w:eastAsia="nl-NL"/>
              </w:rPr>
            </w:pPr>
            <w:r w:rsidRPr="004C3046">
              <w:rPr>
                <w:rFonts w:ascii="Times New Roman" w:hAnsi="Times New Roman" w:cs="Times New Roman"/>
                <w:lang w:eastAsia="nl-NL"/>
              </w:rPr>
              <w:t>Debt instrument.</w:t>
            </w:r>
          </w:p>
          <w:p w14:paraId="7928659A" w14:textId="2D109BD9" w:rsidR="00877975" w:rsidRPr="004C3046" w:rsidRDefault="00877975" w:rsidP="00877975">
            <w:pPr>
              <w:pStyle w:val="ListParagraph"/>
              <w:numPr>
                <w:ilvl w:val="0"/>
                <w:numId w:val="12"/>
              </w:numPr>
              <w:spacing w:before="30" w:after="30"/>
              <w:jc w:val="both"/>
              <w:rPr>
                <w:rFonts w:ascii="Times New Roman" w:hAnsi="Times New Roman" w:cs="Times New Roman"/>
                <w:sz w:val="22"/>
                <w:szCs w:val="22"/>
                <w:lang w:eastAsia="nl-NL"/>
              </w:rPr>
            </w:pPr>
            <w:r w:rsidRPr="004C3046">
              <w:rPr>
                <w:rFonts w:ascii="Times New Roman" w:hAnsi="Times New Roman" w:cs="Times New Roman"/>
                <w:sz w:val="22"/>
                <w:szCs w:val="22"/>
                <w:lang w:eastAsia="nl-NL"/>
              </w:rPr>
              <w:t>Direct investor in direct investment enterprises</w:t>
            </w:r>
          </w:p>
          <w:p w14:paraId="1DCEAE4C" w14:textId="34E996A1" w:rsidR="00877975" w:rsidRPr="004C3046" w:rsidRDefault="00877975" w:rsidP="00877975">
            <w:pPr>
              <w:pStyle w:val="ListParagraph"/>
              <w:numPr>
                <w:ilvl w:val="0"/>
                <w:numId w:val="12"/>
              </w:numPr>
              <w:spacing w:before="30" w:after="30"/>
              <w:jc w:val="both"/>
              <w:rPr>
                <w:rFonts w:ascii="Times New Roman" w:hAnsi="Times New Roman" w:cs="Times New Roman"/>
                <w:sz w:val="22"/>
                <w:szCs w:val="22"/>
                <w:lang w:eastAsia="nl-NL"/>
              </w:rPr>
            </w:pPr>
            <w:r w:rsidRPr="004C3046">
              <w:rPr>
                <w:rFonts w:ascii="Times New Roman" w:hAnsi="Times New Roman" w:cs="Times New Roman"/>
                <w:sz w:val="22"/>
                <w:szCs w:val="22"/>
                <w:lang w:eastAsia="nl-NL"/>
              </w:rPr>
              <w:t>Direct investment enterprises in direct investor</w:t>
            </w:r>
          </w:p>
          <w:p w14:paraId="1D015C13" w14:textId="3E1E8F61" w:rsidR="00877975" w:rsidRPr="004C3046" w:rsidRDefault="00877975" w:rsidP="00877975">
            <w:pPr>
              <w:pStyle w:val="ListParagraph"/>
              <w:numPr>
                <w:ilvl w:val="0"/>
                <w:numId w:val="12"/>
              </w:numPr>
              <w:spacing w:before="30" w:after="30"/>
              <w:jc w:val="both"/>
              <w:rPr>
                <w:rFonts w:ascii="Times New Roman" w:hAnsi="Times New Roman" w:cs="Times New Roman"/>
                <w:sz w:val="22"/>
                <w:szCs w:val="22"/>
                <w:lang w:eastAsia="nl-NL"/>
              </w:rPr>
            </w:pPr>
            <w:r w:rsidRPr="004C3046">
              <w:rPr>
                <w:rFonts w:ascii="Times New Roman" w:hAnsi="Times New Roman" w:cs="Times New Roman"/>
                <w:sz w:val="22"/>
                <w:szCs w:val="22"/>
                <w:lang w:eastAsia="nl-NL"/>
              </w:rPr>
              <w:t>Direct Investment between fellow enterprises</w:t>
            </w:r>
          </w:p>
          <w:p w14:paraId="5835FCCC" w14:textId="77777777" w:rsidR="00877975" w:rsidRPr="004C3046" w:rsidRDefault="00877975" w:rsidP="00877975">
            <w:pPr>
              <w:spacing w:before="30" w:after="30"/>
              <w:jc w:val="both"/>
              <w:rPr>
                <w:rFonts w:ascii="Times New Roman" w:hAnsi="Times New Roman" w:cs="Times New Roman"/>
                <w:lang w:eastAsia="nl-NL"/>
              </w:rPr>
            </w:pPr>
            <w:r w:rsidRPr="004C3046">
              <w:rPr>
                <w:rFonts w:ascii="Times New Roman" w:hAnsi="Times New Roman" w:cs="Times New Roman"/>
                <w:lang w:eastAsia="nl-NL"/>
              </w:rPr>
              <w:t xml:space="preserve">(2) Breakdown activities - according to NACE Rev.2 </w:t>
            </w:r>
          </w:p>
          <w:p w14:paraId="2A300B48" w14:textId="77777777" w:rsidR="00877975" w:rsidRPr="004C3046" w:rsidRDefault="00877975" w:rsidP="00877975">
            <w:pPr>
              <w:spacing w:before="30" w:after="30"/>
              <w:jc w:val="both"/>
              <w:rPr>
                <w:rFonts w:ascii="Times New Roman" w:hAnsi="Times New Roman" w:cs="Times New Roman"/>
                <w:lang w:eastAsia="nl-NL"/>
              </w:rPr>
            </w:pPr>
            <w:r w:rsidRPr="004C3046">
              <w:rPr>
                <w:rFonts w:ascii="Times New Roman" w:hAnsi="Times New Roman" w:cs="Times New Roman"/>
                <w:lang w:eastAsia="nl-NL"/>
              </w:rPr>
              <w:t>(3) Maturity (in the case of debt instruments) - short-term or long-term, by original and remaining Maturity</w:t>
            </w:r>
          </w:p>
          <w:p w14:paraId="102D9596" w14:textId="77777777" w:rsidR="00877975" w:rsidRPr="004C3046" w:rsidRDefault="00877975" w:rsidP="00877975">
            <w:pPr>
              <w:spacing w:before="30" w:after="30"/>
              <w:jc w:val="both"/>
              <w:rPr>
                <w:rFonts w:ascii="Times New Roman" w:hAnsi="Times New Roman" w:cs="Times New Roman"/>
                <w:lang w:eastAsia="nl-NL"/>
              </w:rPr>
            </w:pPr>
            <w:r w:rsidRPr="004C3046">
              <w:rPr>
                <w:rFonts w:ascii="Times New Roman" w:hAnsi="Times New Roman" w:cs="Times New Roman"/>
                <w:lang w:eastAsia="nl-NL"/>
              </w:rPr>
              <w:t>(4) Breakdown of institutional sectors of direct investment present in Albania:</w:t>
            </w:r>
          </w:p>
          <w:p w14:paraId="3FD05975" w14:textId="71DA75B3" w:rsidR="00877975" w:rsidRPr="004C3046" w:rsidRDefault="00877975" w:rsidP="00877975">
            <w:pPr>
              <w:pStyle w:val="ListParagraph"/>
              <w:numPr>
                <w:ilvl w:val="0"/>
                <w:numId w:val="13"/>
              </w:numPr>
              <w:spacing w:before="30" w:after="30"/>
              <w:jc w:val="both"/>
              <w:rPr>
                <w:rFonts w:ascii="Times New Roman" w:hAnsi="Times New Roman" w:cs="Times New Roman"/>
                <w:sz w:val="22"/>
                <w:szCs w:val="22"/>
                <w:lang w:eastAsia="nl-NL"/>
              </w:rPr>
            </w:pPr>
            <w:r w:rsidRPr="004C3046">
              <w:rPr>
                <w:rFonts w:ascii="Times New Roman" w:hAnsi="Times New Roman" w:cs="Times New Roman"/>
                <w:sz w:val="22"/>
                <w:szCs w:val="22"/>
                <w:lang w:eastAsia="nl-NL"/>
              </w:rPr>
              <w:t>Deposit taking corporations, except the Central Bank</w:t>
            </w:r>
          </w:p>
          <w:p w14:paraId="6601C873" w14:textId="00BD6065" w:rsidR="00877975" w:rsidRPr="004C3046" w:rsidRDefault="00877975" w:rsidP="00877975">
            <w:pPr>
              <w:pStyle w:val="ListParagraph"/>
              <w:numPr>
                <w:ilvl w:val="0"/>
                <w:numId w:val="13"/>
              </w:numPr>
              <w:spacing w:before="30" w:after="30"/>
              <w:jc w:val="both"/>
              <w:rPr>
                <w:rFonts w:ascii="Times New Roman" w:hAnsi="Times New Roman" w:cs="Times New Roman"/>
                <w:sz w:val="22"/>
                <w:szCs w:val="22"/>
                <w:lang w:eastAsia="nl-NL"/>
              </w:rPr>
            </w:pPr>
            <w:r w:rsidRPr="004C3046">
              <w:rPr>
                <w:rFonts w:ascii="Times New Roman" w:hAnsi="Times New Roman" w:cs="Times New Roman"/>
                <w:sz w:val="22"/>
                <w:szCs w:val="22"/>
                <w:lang w:eastAsia="nl-NL"/>
              </w:rPr>
              <w:t xml:space="preserve">Other sectors than MFIs and general government </w:t>
            </w:r>
          </w:p>
          <w:p w14:paraId="4C398E49" w14:textId="28369B22" w:rsidR="00877975" w:rsidRPr="004C3046" w:rsidRDefault="00877975" w:rsidP="00877975">
            <w:pPr>
              <w:pStyle w:val="ListParagraph"/>
              <w:numPr>
                <w:ilvl w:val="0"/>
                <w:numId w:val="14"/>
              </w:numPr>
              <w:spacing w:before="30" w:after="30"/>
              <w:jc w:val="both"/>
              <w:rPr>
                <w:rFonts w:ascii="Times New Roman" w:hAnsi="Times New Roman" w:cs="Times New Roman"/>
                <w:sz w:val="22"/>
                <w:szCs w:val="22"/>
                <w:lang w:eastAsia="nl-NL"/>
              </w:rPr>
            </w:pPr>
            <w:r w:rsidRPr="004C3046">
              <w:rPr>
                <w:rFonts w:ascii="Times New Roman" w:hAnsi="Times New Roman" w:cs="Times New Roman"/>
                <w:sz w:val="22"/>
                <w:szCs w:val="22"/>
                <w:lang w:eastAsia="nl-NL"/>
              </w:rPr>
              <w:t>Financial corporations other than MFIs</w:t>
            </w:r>
          </w:p>
          <w:p w14:paraId="0257C9C0" w14:textId="3F7BEE99" w:rsidR="005B7ED2" w:rsidRPr="004C3046" w:rsidRDefault="00877975" w:rsidP="00877975">
            <w:pPr>
              <w:pStyle w:val="ListParagraph"/>
              <w:numPr>
                <w:ilvl w:val="0"/>
                <w:numId w:val="14"/>
              </w:numPr>
              <w:spacing w:before="30" w:after="30"/>
              <w:jc w:val="both"/>
              <w:rPr>
                <w:rFonts w:ascii="Times New Roman" w:hAnsi="Times New Roman" w:cs="Times New Roman"/>
                <w:sz w:val="22"/>
                <w:szCs w:val="22"/>
                <w:lang w:eastAsia="nl-NL"/>
              </w:rPr>
            </w:pPr>
            <w:r w:rsidRPr="004C3046">
              <w:rPr>
                <w:rFonts w:ascii="Times New Roman" w:hAnsi="Times New Roman" w:cs="Times New Roman"/>
                <w:sz w:val="22"/>
                <w:szCs w:val="22"/>
                <w:lang w:eastAsia="nl-NL"/>
              </w:rPr>
              <w:t xml:space="preserve">Non-financial corporations, households and NPISH  </w:t>
            </w:r>
          </w:p>
        </w:tc>
      </w:tr>
      <w:tr w:rsidR="0055533F" w:rsidRPr="00493D72" w14:paraId="70BF35A0" w14:textId="77777777" w:rsidTr="00BB1DFF">
        <w:trPr>
          <w:gridAfter w:val="1"/>
          <w:wAfter w:w="851" w:type="dxa"/>
          <w:trHeight w:val="567"/>
        </w:trPr>
        <w:tc>
          <w:tcPr>
            <w:tcW w:w="2471" w:type="dxa"/>
            <w:shd w:val="clear" w:color="auto" w:fill="FFFFCC"/>
            <w:vAlign w:val="center"/>
            <w:hideMark/>
          </w:tcPr>
          <w:p w14:paraId="3E238C1B"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3.5. Statistical unit</w:t>
            </w:r>
          </w:p>
        </w:tc>
        <w:tc>
          <w:tcPr>
            <w:tcW w:w="7872" w:type="dxa"/>
            <w:noWrap/>
          </w:tcPr>
          <w:p w14:paraId="74C2D055" w14:textId="66795258" w:rsidR="0055533F" w:rsidRPr="00F56CBD" w:rsidRDefault="00877975" w:rsidP="006C0003">
            <w:pPr>
              <w:spacing w:before="30" w:after="30"/>
              <w:jc w:val="both"/>
              <w:rPr>
                <w:lang w:eastAsia="nl-NL"/>
              </w:rPr>
            </w:pPr>
            <w:r w:rsidRPr="00877975">
              <w:rPr>
                <w:rFonts w:ascii="Times New Roman" w:hAnsi="Times New Roman" w:cs="Times New Roman"/>
                <w:lang w:eastAsia="nl-NL"/>
              </w:rPr>
              <w:t>Resident institutional units are defined in conformity with the relevant manual (BPM6) and relate to any individual, corporation or other institution that has a predominant center of economic interest in the country/territory during a given period.</w:t>
            </w:r>
          </w:p>
        </w:tc>
      </w:tr>
      <w:tr w:rsidR="0055533F" w:rsidRPr="00493D72" w14:paraId="56B2C945" w14:textId="77777777" w:rsidTr="00BB1DFF">
        <w:trPr>
          <w:gridAfter w:val="1"/>
          <w:wAfter w:w="851" w:type="dxa"/>
          <w:trHeight w:val="567"/>
        </w:trPr>
        <w:tc>
          <w:tcPr>
            <w:tcW w:w="2471" w:type="dxa"/>
            <w:shd w:val="clear" w:color="auto" w:fill="FFFFCC"/>
            <w:vAlign w:val="center"/>
            <w:hideMark/>
          </w:tcPr>
          <w:p w14:paraId="727938ED"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3.6. Statistical population</w:t>
            </w:r>
          </w:p>
        </w:tc>
        <w:tc>
          <w:tcPr>
            <w:tcW w:w="7872" w:type="dxa"/>
          </w:tcPr>
          <w:p w14:paraId="2F89DB67" w14:textId="71DE293D" w:rsidR="0055533F" w:rsidRPr="00DE6276" w:rsidRDefault="00877975" w:rsidP="00DE34D2">
            <w:pPr>
              <w:pStyle w:val="TableParagraph"/>
              <w:spacing w:before="240" w:after="240"/>
              <w:ind w:right="85"/>
              <w:jc w:val="both"/>
              <w:rPr>
                <w:lang w:val="en-GB"/>
              </w:rPr>
            </w:pPr>
            <w:r w:rsidRPr="00DE6276">
              <w:rPr>
                <w:lang w:val="en-GB"/>
              </w:rPr>
              <w:t xml:space="preserve">All flows and positions in financial claims/liabilities between resident institutional </w:t>
            </w:r>
            <w:r w:rsidRPr="00DE6276">
              <w:rPr>
                <w:lang w:val="en-GB"/>
              </w:rPr>
              <w:lastRenderedPageBreak/>
              <w:t>units of a country/territory and non-residents are included in the DI.</w:t>
            </w:r>
          </w:p>
        </w:tc>
      </w:tr>
      <w:tr w:rsidR="0055533F" w:rsidRPr="00493D72" w14:paraId="03665C57" w14:textId="77777777" w:rsidTr="00BB1DFF">
        <w:trPr>
          <w:gridAfter w:val="1"/>
          <w:wAfter w:w="851" w:type="dxa"/>
          <w:trHeight w:val="567"/>
        </w:trPr>
        <w:tc>
          <w:tcPr>
            <w:tcW w:w="2471" w:type="dxa"/>
            <w:shd w:val="clear" w:color="auto" w:fill="FFFFCC"/>
            <w:vAlign w:val="center"/>
            <w:hideMark/>
          </w:tcPr>
          <w:p w14:paraId="23E04784"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3.7. Reference area</w:t>
            </w:r>
          </w:p>
        </w:tc>
        <w:tc>
          <w:tcPr>
            <w:tcW w:w="7872" w:type="dxa"/>
            <w:noWrap/>
          </w:tcPr>
          <w:p w14:paraId="6E24588F" w14:textId="3989D0CD" w:rsidR="0055533F" w:rsidRPr="00262D6E" w:rsidRDefault="00877975" w:rsidP="00DE34D2">
            <w:pPr>
              <w:pStyle w:val="TableParagraph"/>
              <w:spacing w:before="240" w:after="240"/>
              <w:ind w:right="85"/>
              <w:jc w:val="both"/>
              <w:rPr>
                <w:sz w:val="24"/>
              </w:rPr>
            </w:pPr>
            <w:r w:rsidRPr="00375C8B">
              <w:rPr>
                <w:rFonts w:eastAsiaTheme="minorEastAsia"/>
                <w:lang w:eastAsia="nl-NL"/>
              </w:rPr>
              <w:t>Direct investment in Albania (assets liabilities) comprise all territory of Albania.</w:t>
            </w:r>
          </w:p>
        </w:tc>
      </w:tr>
      <w:tr w:rsidR="0055533F" w:rsidRPr="00493D72" w14:paraId="3D13A7CD" w14:textId="77777777" w:rsidTr="00BB1DFF">
        <w:trPr>
          <w:gridAfter w:val="1"/>
          <w:wAfter w:w="851" w:type="dxa"/>
          <w:trHeight w:val="567"/>
        </w:trPr>
        <w:tc>
          <w:tcPr>
            <w:tcW w:w="2471" w:type="dxa"/>
            <w:shd w:val="clear" w:color="auto" w:fill="FFFFCC"/>
            <w:vAlign w:val="center"/>
            <w:hideMark/>
          </w:tcPr>
          <w:p w14:paraId="08F128C9"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 xml:space="preserve">3.8. </w:t>
            </w:r>
            <w:r w:rsidRPr="00493D72">
              <w:rPr>
                <w:rFonts w:ascii="Times New Roman" w:eastAsia="Times New Roman" w:hAnsi="Times New Roman" w:cs="Times New Roman"/>
                <w:noProof/>
                <w:color w:val="000000" w:themeColor="text1"/>
                <w:sz w:val="24"/>
                <w:szCs w:val="24"/>
                <w:lang w:val="sq-AL" w:eastAsia="sq-AL"/>
              </w:rPr>
              <w:t>Time coverage</w:t>
            </w:r>
          </w:p>
        </w:tc>
        <w:tc>
          <w:tcPr>
            <w:tcW w:w="7872" w:type="dxa"/>
          </w:tcPr>
          <w:p w14:paraId="26B65CD2" w14:textId="6A97D91D" w:rsidR="0055533F" w:rsidRPr="006C0003" w:rsidRDefault="00877975" w:rsidP="006C0003">
            <w:pPr>
              <w:spacing w:before="30" w:after="30"/>
              <w:jc w:val="both"/>
              <w:rPr>
                <w:rFonts w:ascii="Times New Roman" w:hAnsi="Times New Roman" w:cs="Times New Roman"/>
                <w:lang w:eastAsia="nl-NL"/>
              </w:rPr>
            </w:pPr>
            <w:r w:rsidRPr="00877975">
              <w:rPr>
                <w:rFonts w:ascii="Times New Roman" w:hAnsi="Times New Roman" w:cs="Times New Roman"/>
                <w:lang w:eastAsia="nl-NL"/>
              </w:rPr>
              <w:t>The data published for DI are quarterly basis. The DI position data at the end of year is equal to the position at the end of the fourth quarter of this year. The data starts from year 2003 and from 2008 is compiled in BPM6 manual.</w:t>
            </w:r>
          </w:p>
        </w:tc>
      </w:tr>
      <w:tr w:rsidR="0055533F" w:rsidRPr="00493D72" w14:paraId="5E775DD2" w14:textId="77777777" w:rsidTr="00BB1DFF">
        <w:trPr>
          <w:gridAfter w:val="1"/>
          <w:wAfter w:w="851" w:type="dxa"/>
          <w:trHeight w:val="567"/>
        </w:trPr>
        <w:tc>
          <w:tcPr>
            <w:tcW w:w="2471" w:type="dxa"/>
            <w:shd w:val="clear" w:color="auto" w:fill="FFFFCC"/>
            <w:noWrap/>
            <w:vAlign w:val="center"/>
            <w:hideMark/>
          </w:tcPr>
          <w:p w14:paraId="36193033"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3.9. Base period</w:t>
            </w:r>
          </w:p>
        </w:tc>
        <w:tc>
          <w:tcPr>
            <w:tcW w:w="7872" w:type="dxa"/>
            <w:noWrap/>
          </w:tcPr>
          <w:p w14:paraId="7F5AEE5D" w14:textId="7BAB4C39" w:rsidR="0055533F" w:rsidRPr="00262D6E" w:rsidRDefault="00877975" w:rsidP="00DE34D2">
            <w:pPr>
              <w:pStyle w:val="TableParagraph"/>
              <w:spacing w:before="240" w:after="240"/>
              <w:ind w:right="85"/>
              <w:jc w:val="both"/>
              <w:rPr>
                <w:sz w:val="24"/>
                <w:lang w:val="en-GB"/>
              </w:rPr>
            </w:pPr>
            <w:r w:rsidRPr="00375C8B">
              <w:rPr>
                <w:rFonts w:eastAsiaTheme="minorEastAsia"/>
                <w:lang w:eastAsia="nl-NL"/>
              </w:rPr>
              <w:t>Not applicable</w:t>
            </w:r>
          </w:p>
        </w:tc>
      </w:tr>
      <w:tr w:rsidR="0055533F" w:rsidRPr="00493D72" w14:paraId="56C58F38" w14:textId="77777777" w:rsidTr="00BB1DFF">
        <w:trPr>
          <w:gridAfter w:val="1"/>
          <w:wAfter w:w="851" w:type="dxa"/>
          <w:trHeight w:val="567"/>
        </w:trPr>
        <w:tc>
          <w:tcPr>
            <w:tcW w:w="2471" w:type="dxa"/>
            <w:shd w:val="clear" w:color="auto" w:fill="C5E0B3" w:themeFill="accent6" w:themeFillTint="66"/>
            <w:noWrap/>
            <w:vAlign w:val="center"/>
            <w:hideMark/>
          </w:tcPr>
          <w:p w14:paraId="24571AD5" w14:textId="77777777" w:rsidR="0055533F" w:rsidRPr="00493D72" w:rsidRDefault="0055533F" w:rsidP="00301553">
            <w:pPr>
              <w:pStyle w:val="Heading1"/>
              <w:spacing w:before="0"/>
              <w:rPr>
                <w:rFonts w:ascii="Times New Roman" w:eastAsia="Times New Roman" w:hAnsi="Times New Roman" w:cs="Times New Roman"/>
                <w:b w:val="0"/>
                <w:bCs w:val="0"/>
                <w:noProof/>
                <w:color w:val="000000"/>
                <w:sz w:val="24"/>
                <w:szCs w:val="24"/>
                <w:lang w:val="sq-AL" w:eastAsia="sq-AL"/>
              </w:rPr>
            </w:pPr>
            <w:bookmarkStart w:id="3" w:name="_Toc222230598"/>
            <w:r w:rsidRPr="00493D72">
              <w:rPr>
                <w:rFonts w:ascii="Times New Roman" w:eastAsia="Times New Roman" w:hAnsi="Times New Roman" w:cs="Times New Roman"/>
                <w:noProof/>
                <w:color w:val="000000"/>
                <w:sz w:val="24"/>
                <w:szCs w:val="24"/>
                <w:lang w:val="sq-AL" w:eastAsia="sq-AL"/>
              </w:rPr>
              <w:t>4</w:t>
            </w:r>
            <w:r w:rsidRPr="00493D72">
              <w:rPr>
                <w:rFonts w:ascii="Times New Roman" w:eastAsia="Times New Roman" w:hAnsi="Times New Roman" w:cs="Times New Roman"/>
                <w:b w:val="0"/>
                <w:bCs w:val="0"/>
                <w:noProof/>
                <w:color w:val="000000"/>
                <w:sz w:val="24"/>
                <w:szCs w:val="24"/>
                <w:lang w:val="sq-AL" w:eastAsia="sq-AL"/>
              </w:rPr>
              <w:t xml:space="preserve">. </w:t>
            </w:r>
            <w:r w:rsidRPr="00493D72">
              <w:rPr>
                <w:rFonts w:ascii="Times New Roman" w:eastAsia="Times New Roman" w:hAnsi="Times New Roman" w:cs="Times New Roman"/>
                <w:noProof/>
                <w:color w:val="000000" w:themeColor="text1"/>
                <w:sz w:val="24"/>
                <w:szCs w:val="24"/>
                <w:lang w:val="sq-AL" w:eastAsia="sq-AL"/>
              </w:rPr>
              <w:t>Unit of measure</w:t>
            </w:r>
            <w:bookmarkEnd w:id="3"/>
          </w:p>
        </w:tc>
        <w:tc>
          <w:tcPr>
            <w:tcW w:w="7872" w:type="dxa"/>
            <w:noWrap/>
          </w:tcPr>
          <w:p w14:paraId="3CAD132E" w14:textId="66F05564" w:rsidR="0055533F" w:rsidRPr="00262D6E" w:rsidRDefault="00877975" w:rsidP="006C0003">
            <w:pPr>
              <w:spacing w:before="30" w:after="30"/>
              <w:jc w:val="both"/>
              <w:rPr>
                <w:sz w:val="24"/>
                <w:lang w:eastAsia="nl-NL"/>
              </w:rPr>
            </w:pPr>
            <w:r w:rsidRPr="00877975">
              <w:rPr>
                <w:rFonts w:ascii="Times New Roman" w:hAnsi="Times New Roman" w:cs="Times New Roman"/>
                <w:lang w:eastAsia="nl-NL"/>
              </w:rPr>
              <w:t>DI data is compiled in domestic currency (ALL). All transactions and positions, settled in foreign currency, are converted into million Albanian Lek (ALL) using the monthly average exchange rate for transactions and end-of-month exchange rate for positions and published in million euros.</w:t>
            </w:r>
          </w:p>
        </w:tc>
      </w:tr>
      <w:tr w:rsidR="0055533F" w:rsidRPr="00493D72" w14:paraId="29C14302" w14:textId="77777777" w:rsidTr="00BB1DFF">
        <w:trPr>
          <w:gridAfter w:val="1"/>
          <w:wAfter w:w="851" w:type="dxa"/>
          <w:trHeight w:val="567"/>
        </w:trPr>
        <w:tc>
          <w:tcPr>
            <w:tcW w:w="2471" w:type="dxa"/>
            <w:shd w:val="clear" w:color="auto" w:fill="C5E0B3" w:themeFill="accent6" w:themeFillTint="66"/>
            <w:noWrap/>
            <w:vAlign w:val="center"/>
            <w:hideMark/>
          </w:tcPr>
          <w:p w14:paraId="74144A6E" w14:textId="77777777" w:rsidR="0055533F" w:rsidRPr="00493D72" w:rsidRDefault="0055533F" w:rsidP="00301553">
            <w:pPr>
              <w:pStyle w:val="Heading1"/>
              <w:spacing w:before="0"/>
              <w:rPr>
                <w:rFonts w:ascii="Times New Roman" w:eastAsia="Times New Roman" w:hAnsi="Times New Roman" w:cs="Times New Roman"/>
                <w:b w:val="0"/>
                <w:bCs w:val="0"/>
                <w:noProof/>
                <w:color w:val="000000"/>
                <w:sz w:val="24"/>
                <w:szCs w:val="24"/>
                <w:lang w:val="sq-AL" w:eastAsia="sq-AL"/>
              </w:rPr>
            </w:pPr>
            <w:bookmarkStart w:id="4" w:name="_Toc222230599"/>
            <w:r w:rsidRPr="00493D72">
              <w:rPr>
                <w:rFonts w:ascii="Times New Roman" w:eastAsia="Times New Roman" w:hAnsi="Times New Roman" w:cs="Times New Roman"/>
                <w:noProof/>
                <w:color w:val="000000" w:themeColor="text1"/>
                <w:sz w:val="24"/>
                <w:szCs w:val="24"/>
                <w:lang w:val="sq-AL" w:eastAsia="sq-AL"/>
              </w:rPr>
              <w:t>5. Reference period</w:t>
            </w:r>
            <w:bookmarkEnd w:id="4"/>
          </w:p>
        </w:tc>
        <w:tc>
          <w:tcPr>
            <w:tcW w:w="7872" w:type="dxa"/>
            <w:noWrap/>
          </w:tcPr>
          <w:p w14:paraId="49785E2A" w14:textId="11B1223A" w:rsidR="0055533F" w:rsidRPr="00C860CE" w:rsidRDefault="00877975" w:rsidP="00DE34D2">
            <w:pPr>
              <w:pStyle w:val="TableParagraph"/>
              <w:spacing w:before="240" w:after="240"/>
              <w:ind w:right="85"/>
              <w:jc w:val="both"/>
            </w:pPr>
            <w:r w:rsidRPr="00C860CE">
              <w:t>The reference period is quarterly and annually.</w:t>
            </w:r>
          </w:p>
        </w:tc>
      </w:tr>
      <w:tr w:rsidR="0055533F" w:rsidRPr="00493D72" w14:paraId="51FC4C4F" w14:textId="77777777" w:rsidTr="005B7ED2">
        <w:trPr>
          <w:gridAfter w:val="1"/>
          <w:wAfter w:w="851" w:type="dxa"/>
          <w:trHeight w:val="567"/>
        </w:trPr>
        <w:tc>
          <w:tcPr>
            <w:tcW w:w="10343" w:type="dxa"/>
            <w:gridSpan w:val="2"/>
            <w:shd w:val="clear" w:color="auto" w:fill="C5E0B3" w:themeFill="accent6" w:themeFillTint="66"/>
            <w:noWrap/>
            <w:vAlign w:val="center"/>
          </w:tcPr>
          <w:p w14:paraId="76345DB8" w14:textId="004F0310" w:rsidR="0055533F" w:rsidRPr="00493D72" w:rsidRDefault="001427EA" w:rsidP="00301553">
            <w:pPr>
              <w:pStyle w:val="Heading1"/>
              <w:spacing w:before="0"/>
              <w:rPr>
                <w:rFonts w:ascii="Times New Roman" w:eastAsia="Times New Roman" w:hAnsi="Times New Roman" w:cs="Times New Roman"/>
                <w:noProof/>
                <w:color w:val="000000"/>
                <w:sz w:val="24"/>
                <w:szCs w:val="24"/>
                <w:lang w:val="sq-AL" w:eastAsia="sq-AL"/>
              </w:rPr>
            </w:pPr>
            <w:bookmarkStart w:id="5" w:name="_Toc222230600"/>
            <w:r w:rsidRPr="002A5235">
              <w:rPr>
                <w:rFonts w:ascii="Times New Roman" w:eastAsia="Times New Roman" w:hAnsi="Times New Roman" w:cs="Times New Roman"/>
                <w:noProof/>
                <w:color w:val="000000" w:themeColor="text1"/>
                <w:sz w:val="24"/>
                <w:szCs w:val="24"/>
                <w:lang w:val="sq-AL" w:eastAsia="sq-AL"/>
              </w:rPr>
              <w:t>6. Institutional mandate</w:t>
            </w:r>
            <w:bookmarkEnd w:id="5"/>
          </w:p>
        </w:tc>
      </w:tr>
      <w:tr w:rsidR="0055533F" w:rsidRPr="00493D72" w14:paraId="3F950725" w14:textId="77777777" w:rsidTr="00BB1DFF">
        <w:trPr>
          <w:gridAfter w:val="1"/>
          <w:wAfter w:w="851" w:type="dxa"/>
          <w:trHeight w:val="567"/>
        </w:trPr>
        <w:tc>
          <w:tcPr>
            <w:tcW w:w="2471" w:type="dxa"/>
            <w:shd w:val="clear" w:color="auto" w:fill="FFFFCC"/>
            <w:noWrap/>
            <w:vAlign w:val="center"/>
            <w:hideMark/>
          </w:tcPr>
          <w:p w14:paraId="57086543"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6.1. Legal acts and other agreements</w:t>
            </w:r>
          </w:p>
        </w:tc>
        <w:tc>
          <w:tcPr>
            <w:tcW w:w="7872" w:type="dxa"/>
          </w:tcPr>
          <w:p w14:paraId="1D32C9FB" w14:textId="77777777" w:rsidR="00877975" w:rsidRPr="00DD04AA" w:rsidRDefault="00877975" w:rsidP="00877975">
            <w:pPr>
              <w:pStyle w:val="TableParagraph"/>
              <w:spacing w:before="120" w:after="120"/>
              <w:ind w:right="85"/>
              <w:jc w:val="both"/>
              <w:rPr>
                <w:lang w:eastAsia="nl-NL"/>
              </w:rPr>
            </w:pPr>
            <w:r w:rsidRPr="00DD04AA">
              <w:rPr>
                <w:lang w:eastAsia="nl-NL"/>
              </w:rPr>
              <w:t xml:space="preserve">Direct investment data are based on: </w:t>
            </w:r>
          </w:p>
          <w:p w14:paraId="00862994" w14:textId="77777777" w:rsidR="00314AB7" w:rsidRPr="00DD04AA" w:rsidRDefault="00877975" w:rsidP="00877975">
            <w:pPr>
              <w:pStyle w:val="TableParagraph"/>
              <w:numPr>
                <w:ilvl w:val="0"/>
                <w:numId w:val="16"/>
              </w:numPr>
              <w:spacing w:before="120" w:after="120"/>
              <w:ind w:right="85"/>
              <w:jc w:val="both"/>
              <w:rPr>
                <w:lang w:eastAsia="nl-NL"/>
              </w:rPr>
            </w:pPr>
            <w:r w:rsidRPr="00DD04AA">
              <w:rPr>
                <w:lang w:eastAsia="nl-NL"/>
              </w:rPr>
              <w:t>The ‘Law on Bank of Albania’, No. 8269, dated 23.12.1997 provides complementary legal mandate to the BOA to compile the balance of payments of Albania:</w:t>
            </w:r>
          </w:p>
          <w:p w14:paraId="3F872673" w14:textId="35B9C406" w:rsidR="00877975" w:rsidRPr="00DD04AA" w:rsidRDefault="00C860CE" w:rsidP="00314AB7">
            <w:pPr>
              <w:pStyle w:val="TableParagraph"/>
              <w:spacing w:before="120" w:after="120"/>
              <w:ind w:left="360" w:right="85"/>
              <w:jc w:val="both"/>
              <w:rPr>
                <w:lang w:eastAsia="nl-NL"/>
              </w:rPr>
            </w:pPr>
            <w:hyperlink r:id="rId9" w:history="1">
              <w:r w:rsidRPr="00C80DAA">
                <w:rPr>
                  <w:rStyle w:val="Hyperlink"/>
                  <w:lang w:eastAsia="nl-NL"/>
                </w:rPr>
                <w:t>https://www.bankofalbania.org/About_the_Bank/Legislation/Law_No_8269_dated_23_12_1997_On_Bank_of_Albania.html</w:t>
              </w:r>
            </w:hyperlink>
          </w:p>
          <w:p w14:paraId="77A7107F" w14:textId="77777777" w:rsidR="00314AB7" w:rsidRPr="00DD04AA" w:rsidRDefault="00877975" w:rsidP="00877975">
            <w:pPr>
              <w:pStyle w:val="TableParagraph"/>
              <w:numPr>
                <w:ilvl w:val="0"/>
                <w:numId w:val="16"/>
              </w:numPr>
              <w:spacing w:before="120" w:after="120"/>
              <w:ind w:right="85"/>
              <w:jc w:val="both"/>
              <w:rPr>
                <w:lang w:eastAsia="nl-NL"/>
              </w:rPr>
            </w:pPr>
            <w:r w:rsidRPr="00DD04AA">
              <w:rPr>
                <w:lang w:eastAsia="nl-NL"/>
              </w:rPr>
              <w:t xml:space="preserve">National Statistical Law No.17 “On Official Statistics”, date 2018  </w:t>
            </w:r>
          </w:p>
          <w:p w14:paraId="0B7DF635" w14:textId="77777777" w:rsidR="00DD04AA" w:rsidRPr="00DD04AA" w:rsidRDefault="00DD04AA" w:rsidP="00DD04AA">
            <w:pPr>
              <w:spacing w:before="30" w:after="30" w:line="240" w:lineRule="auto"/>
              <w:ind w:left="720"/>
              <w:contextualSpacing/>
              <w:jc w:val="both"/>
              <w:rPr>
                <w:rFonts w:ascii="Times New Roman" w:hAnsi="Times New Roman" w:cs="Times New Roman"/>
                <w:lang w:eastAsia="nl-NL"/>
              </w:rPr>
            </w:pPr>
            <w:hyperlink r:id="rId10" w:history="1">
              <w:r w:rsidRPr="00DD04AA">
                <w:rPr>
                  <w:rStyle w:val="Hyperlink"/>
                  <w:rFonts w:ascii="Times New Roman" w:hAnsi="Times New Roman" w:cs="Times New Roman"/>
                  <w:lang w:eastAsia="nl-NL"/>
                </w:rPr>
                <w:t>https://www.instat.gov.al/en/about-us/legislation/</w:t>
              </w:r>
            </w:hyperlink>
          </w:p>
          <w:p w14:paraId="3C215E40" w14:textId="2CC746A9" w:rsidR="00877975" w:rsidRPr="00DD04AA" w:rsidRDefault="00877975" w:rsidP="00877975">
            <w:pPr>
              <w:pStyle w:val="TableParagraph"/>
              <w:numPr>
                <w:ilvl w:val="0"/>
                <w:numId w:val="16"/>
              </w:numPr>
              <w:spacing w:before="120" w:after="120"/>
              <w:ind w:right="85"/>
              <w:jc w:val="both"/>
              <w:rPr>
                <w:lang w:eastAsia="nl-NL"/>
              </w:rPr>
            </w:pPr>
            <w:r w:rsidRPr="00DD04AA">
              <w:rPr>
                <w:lang w:eastAsia="nl-NL"/>
              </w:rPr>
              <w:t>Decision 2009-70, amended, of the Supervisory Council of the Bank of Albania on the Foreign Exchange Transactions that aims to set out the rules to carry out the transactions recorded in the capital and current account (as payments and transfers), from and into the Republic of Albania.</w:t>
            </w:r>
          </w:p>
          <w:p w14:paraId="67298242" w14:textId="3710850B" w:rsidR="00877975" w:rsidRPr="00DD04AA" w:rsidRDefault="00877975" w:rsidP="00877975">
            <w:pPr>
              <w:pStyle w:val="TableParagraph"/>
              <w:numPr>
                <w:ilvl w:val="0"/>
                <w:numId w:val="16"/>
              </w:numPr>
              <w:spacing w:before="120" w:after="120"/>
              <w:ind w:right="85"/>
              <w:jc w:val="both"/>
              <w:rPr>
                <w:lang w:eastAsia="nl-NL"/>
              </w:rPr>
            </w:pPr>
            <w:r w:rsidRPr="00DD04AA">
              <w:rPr>
                <w:lang w:eastAsia="nl-NL"/>
              </w:rPr>
              <w:t>Decision 2009-45, of the of the Supervisory Council of the Bank of Albania on the reports at the Bank of Albania accordingly to the Unified Reporting System</w:t>
            </w:r>
            <w:r w:rsidR="00314AB7" w:rsidRPr="00DD04AA">
              <w:rPr>
                <w:lang w:eastAsia="nl-NL"/>
              </w:rPr>
              <w:t>.</w:t>
            </w:r>
          </w:p>
          <w:p w14:paraId="3E7702FB" w14:textId="77777777" w:rsidR="00877975" w:rsidRPr="00DD04AA" w:rsidRDefault="00877975" w:rsidP="00877975">
            <w:pPr>
              <w:pStyle w:val="TableParagraph"/>
              <w:numPr>
                <w:ilvl w:val="0"/>
                <w:numId w:val="16"/>
              </w:numPr>
              <w:spacing w:before="120" w:after="120"/>
              <w:ind w:right="85"/>
              <w:jc w:val="both"/>
              <w:rPr>
                <w:lang w:eastAsia="nl-NL"/>
              </w:rPr>
            </w:pPr>
            <w:r w:rsidRPr="00DD04AA">
              <w:rPr>
                <w:lang w:eastAsia="nl-NL"/>
              </w:rPr>
              <w:t>Decision 2017-19, of the of the Supervisory Council of the Bank of Albania on the “Code of Practice in the Bank of Albania”</w:t>
            </w:r>
          </w:p>
          <w:p w14:paraId="76BA2B53" w14:textId="07DB5024" w:rsidR="00877975" w:rsidRPr="00DD04AA" w:rsidRDefault="00314AB7" w:rsidP="00877975">
            <w:pPr>
              <w:pStyle w:val="TableParagraph"/>
              <w:spacing w:before="120" w:after="120"/>
              <w:ind w:right="85"/>
              <w:jc w:val="both"/>
              <w:rPr>
                <w:lang w:eastAsia="nl-NL"/>
              </w:rPr>
            </w:pPr>
            <w:r w:rsidRPr="00DD04AA">
              <w:rPr>
                <w:lang w:eastAsia="nl-NL"/>
              </w:rPr>
              <w:t xml:space="preserve">      </w:t>
            </w:r>
            <w:r w:rsidR="00C860CE">
              <w:rPr>
                <w:lang w:eastAsia="nl-NL"/>
              </w:rPr>
              <w:t xml:space="preserve">      </w:t>
            </w:r>
            <w:r w:rsidRPr="00DD04AA">
              <w:rPr>
                <w:lang w:eastAsia="nl-NL"/>
              </w:rPr>
              <w:t xml:space="preserve"> </w:t>
            </w:r>
            <w:hyperlink r:id="rId11" w:history="1">
              <w:r w:rsidRPr="00DD04AA">
                <w:rPr>
                  <w:rStyle w:val="Hyperlink"/>
                  <w:lang w:eastAsia="nl-NL"/>
                </w:rPr>
                <w:t>https://www.bankofalbania.org/Statistics/</w:t>
              </w:r>
            </w:hyperlink>
          </w:p>
          <w:p w14:paraId="5F1D0EAE" w14:textId="19C92272" w:rsidR="00877975" w:rsidRPr="00DD04AA" w:rsidRDefault="00877975" w:rsidP="00314AB7">
            <w:pPr>
              <w:pStyle w:val="TableParagraph"/>
              <w:numPr>
                <w:ilvl w:val="0"/>
                <w:numId w:val="16"/>
              </w:numPr>
              <w:spacing w:before="120" w:after="120"/>
              <w:ind w:right="85"/>
              <w:jc w:val="both"/>
              <w:rPr>
                <w:lang w:eastAsia="nl-NL"/>
              </w:rPr>
            </w:pPr>
            <w:r w:rsidRPr="00DD04AA">
              <w:rPr>
                <w:lang w:eastAsia="nl-NL"/>
              </w:rPr>
              <w:t xml:space="preserve">Official Statistics National Programme 2022-2026 </w:t>
            </w:r>
          </w:p>
          <w:p w14:paraId="17F4D6BF" w14:textId="7E9620A6" w:rsidR="00DD04AA" w:rsidRPr="00DD04AA" w:rsidRDefault="00C860CE" w:rsidP="00DD04AA">
            <w:pPr>
              <w:spacing w:before="30" w:after="30" w:line="240" w:lineRule="auto"/>
              <w:ind w:left="720"/>
              <w:contextualSpacing/>
              <w:jc w:val="both"/>
              <w:rPr>
                <w:rFonts w:ascii="Times New Roman" w:hAnsi="Times New Roman" w:cs="Times New Roman"/>
                <w:lang w:eastAsia="nl-NL"/>
              </w:rPr>
            </w:pPr>
            <w:hyperlink r:id="rId12" w:history="1">
              <w:r w:rsidRPr="00C80DAA">
                <w:rPr>
                  <w:rStyle w:val="Hyperlink"/>
                  <w:rFonts w:ascii="Times New Roman" w:hAnsi="Times New Roman" w:cs="Times New Roman"/>
                  <w:lang w:eastAsia="nl-NL"/>
                </w:rPr>
                <w:t>https://www.instat.gov.al/en/about-us/legislation/</w:t>
              </w:r>
            </w:hyperlink>
          </w:p>
          <w:p w14:paraId="536CD10C" w14:textId="29CA100E" w:rsidR="00877975" w:rsidRPr="00DD04AA" w:rsidRDefault="00877975" w:rsidP="00314AB7">
            <w:pPr>
              <w:pStyle w:val="TableParagraph"/>
              <w:numPr>
                <w:ilvl w:val="0"/>
                <w:numId w:val="16"/>
              </w:numPr>
              <w:spacing w:before="120" w:after="120"/>
              <w:ind w:right="85"/>
              <w:jc w:val="both"/>
              <w:rPr>
                <w:lang w:eastAsia="nl-NL"/>
              </w:rPr>
            </w:pPr>
            <w:r w:rsidRPr="00DD04AA">
              <w:rPr>
                <w:lang w:eastAsia="nl-NL"/>
              </w:rPr>
              <w:t>Methodology of International Monetary Fund, Balance of payments and international investment position (BPM6)</w:t>
            </w:r>
          </w:p>
          <w:p w14:paraId="109CA27D" w14:textId="4A9E582A" w:rsidR="00877975" w:rsidRPr="00DD04AA" w:rsidRDefault="00877975" w:rsidP="00314AB7">
            <w:pPr>
              <w:pStyle w:val="TableParagraph"/>
              <w:numPr>
                <w:ilvl w:val="0"/>
                <w:numId w:val="16"/>
              </w:numPr>
              <w:spacing w:before="120" w:after="120"/>
              <w:ind w:right="85"/>
              <w:jc w:val="both"/>
              <w:rPr>
                <w:lang w:eastAsia="nl-NL"/>
              </w:rPr>
            </w:pPr>
            <w:r w:rsidRPr="00DD04AA">
              <w:rPr>
                <w:lang w:eastAsia="nl-NL"/>
              </w:rPr>
              <w:t>OECD Benchmark Definition of Foreign Direct Investment - 4th Edition (BD4)</w:t>
            </w:r>
          </w:p>
          <w:p w14:paraId="641242D1" w14:textId="703DDDB0" w:rsidR="00877975" w:rsidRPr="00DD04AA" w:rsidRDefault="00877975" w:rsidP="00314AB7">
            <w:pPr>
              <w:pStyle w:val="TableParagraph"/>
              <w:numPr>
                <w:ilvl w:val="0"/>
                <w:numId w:val="16"/>
              </w:numPr>
              <w:spacing w:before="120" w:after="120"/>
              <w:ind w:right="85"/>
              <w:jc w:val="both"/>
              <w:rPr>
                <w:lang w:eastAsia="nl-NL"/>
              </w:rPr>
            </w:pPr>
            <w:r w:rsidRPr="00DD04AA">
              <w:rPr>
                <w:lang w:eastAsia="nl-NL"/>
              </w:rPr>
              <w:t>Memorandum of Understanding between INSTAT, Bank of Albania and Ministry of Finance</w:t>
            </w:r>
          </w:p>
          <w:p w14:paraId="7821B120" w14:textId="1E77B608" w:rsidR="0055533F" w:rsidRPr="00344520" w:rsidRDefault="00314AB7" w:rsidP="00314AB7">
            <w:pPr>
              <w:pStyle w:val="TableParagraph"/>
              <w:spacing w:before="120" w:after="120"/>
              <w:ind w:right="85"/>
              <w:jc w:val="both"/>
              <w:rPr>
                <w:sz w:val="24"/>
                <w:szCs w:val="24"/>
                <w:lang w:eastAsia="nl-NL"/>
              </w:rPr>
            </w:pPr>
            <w:r w:rsidRPr="00DD04AA">
              <w:rPr>
                <w:lang w:eastAsia="nl-NL"/>
              </w:rPr>
              <w:t xml:space="preserve">       </w:t>
            </w:r>
            <w:r w:rsidR="00C860CE">
              <w:rPr>
                <w:lang w:eastAsia="nl-NL"/>
              </w:rPr>
              <w:t xml:space="preserve">      </w:t>
            </w:r>
            <w:hyperlink r:id="rId13" w:history="1">
              <w:r w:rsidR="00C860CE" w:rsidRPr="00C80DAA">
                <w:rPr>
                  <w:rStyle w:val="Hyperlink"/>
                  <w:lang w:eastAsia="nl-NL"/>
                </w:rPr>
                <w:t>https://www.bankofalbania.org/Statistics/</w:t>
              </w:r>
            </w:hyperlink>
          </w:p>
        </w:tc>
      </w:tr>
      <w:tr w:rsidR="0055533F" w:rsidRPr="00493D72" w14:paraId="5A24D1C7" w14:textId="77777777" w:rsidTr="00BB1DFF">
        <w:trPr>
          <w:gridAfter w:val="1"/>
          <w:wAfter w:w="851" w:type="dxa"/>
          <w:trHeight w:val="567"/>
        </w:trPr>
        <w:tc>
          <w:tcPr>
            <w:tcW w:w="2471" w:type="dxa"/>
            <w:shd w:val="clear" w:color="auto" w:fill="FFFFCC"/>
            <w:noWrap/>
            <w:vAlign w:val="center"/>
            <w:hideMark/>
          </w:tcPr>
          <w:p w14:paraId="533FED48" w14:textId="77777777" w:rsidR="0055533F" w:rsidRPr="00493D72" w:rsidRDefault="0055533F" w:rsidP="00301553">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6.2. Data sharing</w:t>
            </w:r>
          </w:p>
        </w:tc>
        <w:tc>
          <w:tcPr>
            <w:tcW w:w="7872" w:type="dxa"/>
            <w:noWrap/>
          </w:tcPr>
          <w:p w14:paraId="1861A453" w14:textId="3586E59A" w:rsidR="00314AB7" w:rsidRPr="002E4042" w:rsidRDefault="00314AB7" w:rsidP="002E4042">
            <w:pPr>
              <w:spacing w:before="30" w:after="30" w:line="240" w:lineRule="auto"/>
              <w:contextualSpacing/>
              <w:jc w:val="both"/>
              <w:rPr>
                <w:rFonts w:ascii="Times New Roman" w:hAnsi="Times New Roman" w:cs="Times New Roman"/>
                <w:lang w:val="en-GB" w:eastAsia="nl-NL"/>
              </w:rPr>
            </w:pPr>
            <w:r w:rsidRPr="002E4042">
              <w:rPr>
                <w:rFonts w:ascii="Times New Roman" w:hAnsi="Times New Roman" w:cs="Times New Roman"/>
                <w:lang w:val="en-GB" w:eastAsia="nl-NL"/>
              </w:rPr>
              <w:t>B</w:t>
            </w:r>
            <w:r w:rsidR="00647089">
              <w:rPr>
                <w:rFonts w:ascii="Times New Roman" w:hAnsi="Times New Roman" w:cs="Times New Roman"/>
                <w:lang w:val="en-GB" w:eastAsia="nl-NL"/>
              </w:rPr>
              <w:t>ank of Albania (B</w:t>
            </w:r>
            <w:r w:rsidRPr="002E4042">
              <w:rPr>
                <w:rFonts w:ascii="Times New Roman" w:hAnsi="Times New Roman" w:cs="Times New Roman"/>
                <w:lang w:val="en-GB" w:eastAsia="nl-NL"/>
              </w:rPr>
              <w:t>OA</w:t>
            </w:r>
            <w:r w:rsidR="00647089">
              <w:rPr>
                <w:rFonts w:ascii="Times New Roman" w:hAnsi="Times New Roman" w:cs="Times New Roman"/>
                <w:lang w:val="en-GB" w:eastAsia="nl-NL"/>
              </w:rPr>
              <w:t>)</w:t>
            </w:r>
            <w:r w:rsidRPr="002E4042">
              <w:rPr>
                <w:rFonts w:ascii="Times New Roman" w:hAnsi="Times New Roman" w:cs="Times New Roman"/>
                <w:lang w:val="en-GB" w:eastAsia="nl-NL"/>
              </w:rPr>
              <w:t xml:space="preserve"> transmits data at Eurostat with SDMX in accordance with the Balance of Payments Vademecum </w:t>
            </w:r>
          </w:p>
          <w:p w14:paraId="74E9C569" w14:textId="7A2B13FD" w:rsidR="00314AB7" w:rsidRPr="002E4042" w:rsidRDefault="00314AB7" w:rsidP="002E4042">
            <w:pPr>
              <w:numPr>
                <w:ilvl w:val="0"/>
                <w:numId w:val="3"/>
              </w:numPr>
              <w:spacing w:before="30" w:after="30" w:line="240" w:lineRule="auto"/>
              <w:contextualSpacing/>
              <w:jc w:val="both"/>
              <w:rPr>
                <w:rFonts w:ascii="Times New Roman" w:hAnsi="Times New Roman" w:cs="Times New Roman"/>
                <w:lang w:val="en-GB" w:eastAsia="nl-NL"/>
              </w:rPr>
            </w:pPr>
            <w:r w:rsidRPr="002E4042">
              <w:rPr>
                <w:rFonts w:ascii="Times New Roman" w:hAnsi="Times New Roman" w:cs="Times New Roman"/>
                <w:lang w:val="en-GB" w:eastAsia="nl-NL"/>
              </w:rPr>
              <w:t>FDI questionnaire T 4.1 and T 4.2</w:t>
            </w:r>
          </w:p>
          <w:p w14:paraId="4747555D" w14:textId="67A5889C" w:rsidR="00314AB7" w:rsidRPr="002E4042" w:rsidRDefault="00314AB7" w:rsidP="002E4042">
            <w:pPr>
              <w:numPr>
                <w:ilvl w:val="0"/>
                <w:numId w:val="3"/>
              </w:numPr>
              <w:spacing w:before="30" w:after="30" w:line="240" w:lineRule="auto"/>
              <w:contextualSpacing/>
              <w:jc w:val="both"/>
              <w:rPr>
                <w:rFonts w:ascii="Times New Roman" w:hAnsi="Times New Roman" w:cs="Times New Roman"/>
                <w:lang w:val="en-GB" w:eastAsia="nl-NL"/>
              </w:rPr>
            </w:pPr>
            <w:r w:rsidRPr="002E4042">
              <w:rPr>
                <w:rFonts w:ascii="Times New Roman" w:hAnsi="Times New Roman" w:cs="Times New Roman"/>
                <w:lang w:val="en-GB" w:eastAsia="nl-NL"/>
              </w:rPr>
              <w:t>FDI questionnaire T 4.3</w:t>
            </w:r>
          </w:p>
          <w:p w14:paraId="16A2B352" w14:textId="1F8D7F1D" w:rsidR="00314AB7" w:rsidRPr="002E4042" w:rsidRDefault="00314AB7" w:rsidP="002E4042">
            <w:pPr>
              <w:numPr>
                <w:ilvl w:val="0"/>
                <w:numId w:val="3"/>
              </w:numPr>
              <w:spacing w:before="30" w:after="30" w:line="240" w:lineRule="auto"/>
              <w:contextualSpacing/>
              <w:jc w:val="both"/>
              <w:rPr>
                <w:rFonts w:ascii="Times New Roman" w:hAnsi="Times New Roman" w:cs="Times New Roman"/>
                <w:lang w:val="en-GB" w:eastAsia="nl-NL"/>
              </w:rPr>
            </w:pPr>
            <w:r w:rsidRPr="002E4042">
              <w:rPr>
                <w:rFonts w:ascii="Times New Roman" w:hAnsi="Times New Roman" w:cs="Times New Roman"/>
                <w:lang w:val="en-GB" w:eastAsia="nl-NL"/>
              </w:rPr>
              <w:t>FDI questionnaire T 5.1</w:t>
            </w:r>
          </w:p>
          <w:p w14:paraId="567ED100" w14:textId="0860BD33" w:rsidR="0055533F" w:rsidRPr="00314AB7" w:rsidRDefault="00314AB7" w:rsidP="002E4042">
            <w:pPr>
              <w:numPr>
                <w:ilvl w:val="0"/>
                <w:numId w:val="3"/>
              </w:numPr>
              <w:spacing w:before="30" w:after="30" w:line="240" w:lineRule="auto"/>
              <w:contextualSpacing/>
              <w:jc w:val="both"/>
              <w:rPr>
                <w:sz w:val="24"/>
                <w:lang w:eastAsia="nl-NL"/>
              </w:rPr>
            </w:pPr>
            <w:r w:rsidRPr="002E4042">
              <w:rPr>
                <w:rFonts w:ascii="Times New Roman" w:hAnsi="Times New Roman" w:cs="Times New Roman"/>
                <w:lang w:val="en-GB" w:eastAsia="nl-NL"/>
              </w:rPr>
              <w:t>FDI questionnaire T 5.2</w:t>
            </w:r>
          </w:p>
        </w:tc>
      </w:tr>
      <w:tr w:rsidR="0055533F" w:rsidRPr="00493D72" w14:paraId="3512CAB8" w14:textId="77777777" w:rsidTr="005B7ED2">
        <w:trPr>
          <w:gridAfter w:val="1"/>
          <w:wAfter w:w="851" w:type="dxa"/>
          <w:trHeight w:val="567"/>
        </w:trPr>
        <w:tc>
          <w:tcPr>
            <w:tcW w:w="10343" w:type="dxa"/>
            <w:gridSpan w:val="2"/>
            <w:shd w:val="clear" w:color="auto" w:fill="C5E0B3" w:themeFill="accent6" w:themeFillTint="66"/>
            <w:noWrap/>
            <w:vAlign w:val="center"/>
          </w:tcPr>
          <w:p w14:paraId="5190A4E5" w14:textId="2487B625" w:rsidR="0055533F" w:rsidRPr="00493D72" w:rsidRDefault="001427EA" w:rsidP="00301553">
            <w:pPr>
              <w:pStyle w:val="Heading1"/>
              <w:spacing w:before="0"/>
              <w:rPr>
                <w:rFonts w:ascii="Times New Roman" w:eastAsia="Times New Roman" w:hAnsi="Times New Roman" w:cs="Times New Roman"/>
                <w:b w:val="0"/>
                <w:bCs w:val="0"/>
                <w:noProof/>
                <w:color w:val="000000"/>
                <w:sz w:val="24"/>
                <w:szCs w:val="24"/>
                <w:lang w:val="sq-AL" w:eastAsia="sq-AL"/>
              </w:rPr>
            </w:pPr>
            <w:bookmarkStart w:id="6" w:name="_Toc222230601"/>
            <w:r w:rsidRPr="001427EA">
              <w:rPr>
                <w:rFonts w:ascii="Times New Roman" w:eastAsia="Times New Roman" w:hAnsi="Times New Roman" w:cs="Times New Roman"/>
                <w:noProof/>
                <w:color w:val="000000" w:themeColor="text1"/>
                <w:sz w:val="24"/>
                <w:szCs w:val="24"/>
                <w:lang w:val="sq-AL" w:eastAsia="sq-AL"/>
              </w:rPr>
              <w:t>7. Confidentiality</w:t>
            </w:r>
            <w:bookmarkEnd w:id="6"/>
          </w:p>
        </w:tc>
      </w:tr>
      <w:tr w:rsidR="00555F42" w:rsidRPr="00493D72" w14:paraId="5AE21663" w14:textId="77777777" w:rsidTr="00BB1DFF">
        <w:trPr>
          <w:gridAfter w:val="1"/>
          <w:wAfter w:w="851" w:type="dxa"/>
          <w:trHeight w:val="567"/>
        </w:trPr>
        <w:tc>
          <w:tcPr>
            <w:tcW w:w="2471" w:type="dxa"/>
            <w:shd w:val="clear" w:color="auto" w:fill="FFFFCC"/>
            <w:noWrap/>
            <w:vAlign w:val="center"/>
            <w:hideMark/>
          </w:tcPr>
          <w:p w14:paraId="2CF7D368"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7.1. Confidentiality - policy </w:t>
            </w:r>
          </w:p>
        </w:tc>
        <w:tc>
          <w:tcPr>
            <w:tcW w:w="7872" w:type="dxa"/>
          </w:tcPr>
          <w:p w14:paraId="2BB50D66" w14:textId="77777777" w:rsidR="00314AB7" w:rsidRPr="00314AB7" w:rsidRDefault="00314AB7" w:rsidP="00314AB7">
            <w:pPr>
              <w:numPr>
                <w:ilvl w:val="0"/>
                <w:numId w:val="3"/>
              </w:numPr>
              <w:spacing w:before="30" w:after="30" w:line="240" w:lineRule="auto"/>
              <w:contextualSpacing/>
              <w:jc w:val="both"/>
              <w:rPr>
                <w:rFonts w:ascii="Times New Roman" w:hAnsi="Times New Roman" w:cs="Times New Roman"/>
                <w:lang w:val="en-GB" w:eastAsia="nl-NL"/>
              </w:rPr>
            </w:pPr>
            <w:r w:rsidRPr="00314AB7">
              <w:rPr>
                <w:rFonts w:ascii="Times New Roman" w:hAnsi="Times New Roman" w:cs="Times New Roman"/>
                <w:lang w:val="en-GB" w:eastAsia="nl-NL"/>
              </w:rPr>
              <w:t xml:space="preserve">As regards confidentiality, Article 58 (1) of the Bank of Albania Law provides for the rule of prohibition of administrators, employees, and agents from disclosing or transferring to a third party any information obtained during the performance of their BOA duties or using or allowing the use of such information for personal gain. </w:t>
            </w:r>
          </w:p>
          <w:p w14:paraId="5BCFC7BD" w14:textId="77777777" w:rsidR="00314AB7" w:rsidRPr="00314AB7" w:rsidRDefault="00314AB7" w:rsidP="00314AB7">
            <w:pPr>
              <w:numPr>
                <w:ilvl w:val="0"/>
                <w:numId w:val="3"/>
              </w:numPr>
              <w:spacing w:before="30" w:after="30" w:line="240" w:lineRule="auto"/>
              <w:contextualSpacing/>
              <w:jc w:val="both"/>
              <w:rPr>
                <w:rFonts w:ascii="Times New Roman" w:hAnsi="Times New Roman" w:cs="Times New Roman"/>
                <w:lang w:val="en-GB" w:eastAsia="nl-NL"/>
              </w:rPr>
            </w:pPr>
            <w:r w:rsidRPr="00314AB7">
              <w:rPr>
                <w:rFonts w:ascii="Times New Roman" w:hAnsi="Times New Roman" w:cs="Times New Roman"/>
                <w:lang w:val="en-GB" w:eastAsia="nl-NL"/>
              </w:rPr>
              <w:t xml:space="preserve">The Official Statistics Law guarantees confidentiality in article 31 in a total of nine paragraphs. The ‘Law on Official Statistics’ does not only apply to the Institute of Statistics of Albania, but to all Albanian Statistical Agencies being responsible for the production and dissemination of official statistics which are authorized by the Program (OSP). BOA is one of the statistical agencies mentioned. </w:t>
            </w:r>
          </w:p>
          <w:p w14:paraId="4D2E74A7" w14:textId="77777777" w:rsidR="00314AB7" w:rsidRPr="00314AB7" w:rsidRDefault="00314AB7" w:rsidP="00314AB7">
            <w:pPr>
              <w:numPr>
                <w:ilvl w:val="0"/>
                <w:numId w:val="3"/>
              </w:numPr>
              <w:spacing w:before="30" w:after="30" w:line="240" w:lineRule="auto"/>
              <w:contextualSpacing/>
              <w:jc w:val="both"/>
              <w:rPr>
                <w:rFonts w:ascii="Times New Roman" w:hAnsi="Times New Roman" w:cs="Times New Roman"/>
                <w:lang w:val="en-GB" w:eastAsia="nl-NL"/>
              </w:rPr>
            </w:pPr>
            <w:r w:rsidRPr="00314AB7">
              <w:rPr>
                <w:rFonts w:ascii="Times New Roman" w:hAnsi="Times New Roman" w:cs="Times New Roman"/>
                <w:lang w:val="en-GB" w:eastAsia="nl-NL"/>
              </w:rPr>
              <w:t>Decision 2012-42, of the Supervisory Council of the Bank of Albania on the Regulation for “Transparency and Confidentiality in the Bank of Albania”.</w:t>
            </w:r>
          </w:p>
          <w:p w14:paraId="0A3E0017" w14:textId="77777777" w:rsidR="00314AB7" w:rsidRPr="00314AB7" w:rsidRDefault="00314AB7" w:rsidP="00314AB7">
            <w:pPr>
              <w:numPr>
                <w:ilvl w:val="0"/>
                <w:numId w:val="3"/>
              </w:numPr>
              <w:spacing w:before="30" w:after="30" w:line="240" w:lineRule="auto"/>
              <w:contextualSpacing/>
              <w:jc w:val="both"/>
              <w:rPr>
                <w:rFonts w:ascii="Times New Roman" w:hAnsi="Times New Roman" w:cs="Times New Roman"/>
                <w:lang w:val="en-GB" w:eastAsia="nl-NL"/>
              </w:rPr>
            </w:pPr>
            <w:r w:rsidRPr="00314AB7">
              <w:rPr>
                <w:rFonts w:ascii="Times New Roman" w:hAnsi="Times New Roman" w:cs="Times New Roman"/>
                <w:lang w:val="en-GB" w:eastAsia="nl-NL"/>
              </w:rPr>
              <w:t>Decision 2017-19, of the Supervisory Council of the Bank of Albania on the “Code of Practice in the Bank of Albania”.</w:t>
            </w:r>
          </w:p>
          <w:p w14:paraId="3A75F919" w14:textId="0438C555" w:rsidR="00555F42" w:rsidRPr="00314AB7" w:rsidRDefault="00314AB7" w:rsidP="00314AB7">
            <w:pPr>
              <w:numPr>
                <w:ilvl w:val="0"/>
                <w:numId w:val="3"/>
              </w:numPr>
              <w:spacing w:before="30" w:after="30" w:line="240" w:lineRule="auto"/>
              <w:contextualSpacing/>
              <w:jc w:val="both"/>
              <w:rPr>
                <w:rFonts w:ascii="Times New Roman" w:hAnsi="Times New Roman" w:cs="Times New Roman"/>
                <w:lang w:val="en-GB" w:eastAsia="nl-NL"/>
              </w:rPr>
            </w:pPr>
            <w:r w:rsidRPr="00314AB7">
              <w:rPr>
                <w:rFonts w:ascii="Times New Roman" w:hAnsi="Times New Roman" w:cs="Times New Roman"/>
                <w:lang w:val="en-GB" w:eastAsia="nl-NL"/>
              </w:rPr>
              <w:t>The “Code of Ethics of the Bank of Albania” also contain provisions on confidentiality.</w:t>
            </w:r>
          </w:p>
        </w:tc>
      </w:tr>
      <w:tr w:rsidR="00555F42" w:rsidRPr="00493D72" w14:paraId="35AB4820" w14:textId="00B31B4C" w:rsidTr="00BB1DFF">
        <w:trPr>
          <w:gridAfter w:val="1"/>
          <w:wAfter w:w="851" w:type="dxa"/>
          <w:trHeight w:val="567"/>
        </w:trPr>
        <w:tc>
          <w:tcPr>
            <w:tcW w:w="2471" w:type="dxa"/>
            <w:shd w:val="clear" w:color="auto" w:fill="FFFFCC"/>
            <w:noWrap/>
            <w:vAlign w:val="center"/>
            <w:hideMark/>
          </w:tcPr>
          <w:p w14:paraId="2E81B9CB"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7.2. Confidentiality - data treatment</w:t>
            </w:r>
          </w:p>
        </w:tc>
        <w:tc>
          <w:tcPr>
            <w:tcW w:w="7872" w:type="dxa"/>
          </w:tcPr>
          <w:p w14:paraId="6ED5F47F" w14:textId="77777777" w:rsidR="00314AB7" w:rsidRPr="00314AB7" w:rsidRDefault="00314AB7" w:rsidP="00314AB7">
            <w:pPr>
              <w:spacing w:before="30" w:after="30"/>
              <w:jc w:val="both"/>
              <w:rPr>
                <w:rFonts w:ascii="Times New Roman" w:hAnsi="Times New Roman" w:cs="Times New Roman"/>
                <w:lang w:val="en-GB" w:eastAsia="nl-NL"/>
              </w:rPr>
            </w:pPr>
            <w:r w:rsidRPr="00314AB7">
              <w:rPr>
                <w:rFonts w:ascii="Times New Roman" w:hAnsi="Times New Roman" w:cs="Times New Roman"/>
                <w:lang w:val="en-GB" w:eastAsia="nl-NL"/>
              </w:rPr>
              <w:t>In accordance with the National Statistical Law 17 “On Official Statistics”, date 2018, is defined by the legislative procedure the treatment of data relating to the confidentiality.</w:t>
            </w:r>
          </w:p>
          <w:p w14:paraId="2111A96B" w14:textId="77777777" w:rsidR="00314AB7" w:rsidRPr="00314AB7" w:rsidRDefault="00314AB7" w:rsidP="00314AB7">
            <w:pPr>
              <w:spacing w:before="30" w:after="30"/>
              <w:jc w:val="both"/>
              <w:rPr>
                <w:rFonts w:ascii="Times New Roman" w:hAnsi="Times New Roman" w:cs="Times New Roman"/>
                <w:lang w:val="en-GB" w:eastAsia="nl-NL"/>
              </w:rPr>
            </w:pPr>
            <w:r w:rsidRPr="00314AB7">
              <w:rPr>
                <w:rFonts w:ascii="Times New Roman" w:hAnsi="Times New Roman" w:cs="Times New Roman"/>
                <w:lang w:val="en-GB" w:eastAsia="nl-NL"/>
              </w:rPr>
              <w:t xml:space="preserve">Statistical confidentiality is rigorously guaranteed under the new Law on Official Statistics. Article 31(2) establishes that all data collected, processed, and stored to produce official statistics must be treated as strictly confidential when they allow identification of statistical units, either directly or indirectly. </w:t>
            </w:r>
          </w:p>
          <w:p w14:paraId="3D9D3C52" w14:textId="1CE3B5C7" w:rsidR="00314AB7" w:rsidRPr="00314AB7" w:rsidRDefault="00314AB7" w:rsidP="00314AB7">
            <w:pPr>
              <w:spacing w:before="30" w:after="30"/>
              <w:jc w:val="both"/>
              <w:rPr>
                <w:rFonts w:ascii="Times New Roman" w:hAnsi="Times New Roman" w:cs="Times New Roman"/>
                <w:lang w:val="en-GB" w:eastAsia="nl-NL"/>
              </w:rPr>
            </w:pPr>
            <w:r w:rsidRPr="00314AB7">
              <w:rPr>
                <w:rFonts w:ascii="Times New Roman" w:hAnsi="Times New Roman" w:cs="Times New Roman"/>
                <w:lang w:val="en-GB" w:eastAsia="nl-NL"/>
              </w:rPr>
              <w:t>Article 31(9) further requires INSTAT,</w:t>
            </w:r>
            <w:r w:rsidR="00A35DE3">
              <w:rPr>
                <w:rFonts w:ascii="Times New Roman" w:hAnsi="Times New Roman" w:cs="Times New Roman"/>
                <w:lang w:val="en-GB" w:eastAsia="nl-NL"/>
              </w:rPr>
              <w:t xml:space="preserve"> </w:t>
            </w:r>
            <w:r w:rsidRPr="00314AB7">
              <w:rPr>
                <w:rFonts w:ascii="Times New Roman" w:hAnsi="Times New Roman" w:cs="Times New Roman"/>
                <w:lang w:val="en-GB" w:eastAsia="nl-NL"/>
              </w:rPr>
              <w:t xml:space="preserve">statistical agencies, and any mandated organizations to implement all necessary technical and organizational measures to protect confidential data from unauthorized access, use, or disclosure. </w:t>
            </w:r>
          </w:p>
          <w:p w14:paraId="41C174D1" w14:textId="01B89D7A" w:rsidR="00314AB7" w:rsidRPr="00314AB7" w:rsidRDefault="00314AB7" w:rsidP="00314AB7">
            <w:pPr>
              <w:spacing w:before="30" w:after="30"/>
              <w:jc w:val="both"/>
              <w:rPr>
                <w:rFonts w:ascii="Times New Roman" w:hAnsi="Times New Roman" w:cs="Times New Roman"/>
                <w:lang w:val="en-GB" w:eastAsia="nl-NL"/>
              </w:rPr>
            </w:pPr>
            <w:r w:rsidRPr="00314AB7">
              <w:rPr>
                <w:rFonts w:ascii="Times New Roman" w:hAnsi="Times New Roman" w:cs="Times New Roman"/>
                <w:lang w:val="en-GB" w:eastAsia="nl-NL"/>
              </w:rPr>
              <w:t>Within the BOA, confidentiality is also reinforced by Article 58(1) of the BOA Law, which prohibits any staff member, auditor, or correspondent from disclosing non-public information obtained during their duties or using it for personal gain.</w:t>
            </w:r>
          </w:p>
        </w:tc>
      </w:tr>
      <w:tr w:rsidR="00555F42" w:rsidRPr="00493D72" w14:paraId="5A67B0EA" w14:textId="77777777" w:rsidTr="001427EA">
        <w:trPr>
          <w:gridAfter w:val="1"/>
          <w:wAfter w:w="851" w:type="dxa"/>
          <w:trHeight w:val="800"/>
        </w:trPr>
        <w:tc>
          <w:tcPr>
            <w:tcW w:w="10343" w:type="dxa"/>
            <w:gridSpan w:val="2"/>
            <w:shd w:val="clear" w:color="auto" w:fill="C5E0B3" w:themeFill="accent6" w:themeFillTint="66"/>
            <w:noWrap/>
            <w:vAlign w:val="center"/>
          </w:tcPr>
          <w:p w14:paraId="722AEC4D" w14:textId="77777777" w:rsidR="001427EA" w:rsidRDefault="001427EA" w:rsidP="00555F42">
            <w:pPr>
              <w:pStyle w:val="Heading1"/>
              <w:spacing w:before="0"/>
              <w:rPr>
                <w:rFonts w:ascii="Times New Roman" w:eastAsia="Times New Roman" w:hAnsi="Times New Roman" w:cs="Times New Roman"/>
                <w:noProof/>
                <w:color w:val="000000" w:themeColor="text1"/>
                <w:sz w:val="24"/>
                <w:szCs w:val="24"/>
                <w:lang w:val="sq-AL" w:eastAsia="sq-AL"/>
              </w:rPr>
            </w:pPr>
          </w:p>
          <w:p w14:paraId="06FAB112" w14:textId="3AC88F9D" w:rsidR="00555F42" w:rsidRPr="00493D72" w:rsidRDefault="001427EA" w:rsidP="00555F42">
            <w:pPr>
              <w:pStyle w:val="Heading1"/>
              <w:spacing w:before="0"/>
              <w:rPr>
                <w:rFonts w:ascii="Times New Roman" w:eastAsia="Times New Roman" w:hAnsi="Times New Roman" w:cs="Times New Roman"/>
                <w:b w:val="0"/>
                <w:bCs w:val="0"/>
                <w:noProof/>
                <w:color w:val="000000"/>
                <w:sz w:val="24"/>
                <w:szCs w:val="24"/>
                <w:lang w:val="sq-AL" w:eastAsia="sq-AL"/>
              </w:rPr>
            </w:pPr>
            <w:bookmarkStart w:id="7" w:name="_Toc222230602"/>
            <w:r w:rsidRPr="001427EA">
              <w:rPr>
                <w:rFonts w:ascii="Times New Roman" w:eastAsia="Times New Roman" w:hAnsi="Times New Roman" w:cs="Times New Roman"/>
                <w:noProof/>
                <w:color w:val="000000" w:themeColor="text1"/>
                <w:sz w:val="24"/>
                <w:szCs w:val="24"/>
                <w:lang w:val="sq-AL" w:eastAsia="sq-AL"/>
              </w:rPr>
              <w:t>8. Release policy</w:t>
            </w:r>
            <w:bookmarkEnd w:id="7"/>
          </w:p>
        </w:tc>
      </w:tr>
      <w:tr w:rsidR="00555F42" w:rsidRPr="00493D72" w14:paraId="30EC82A2" w14:textId="77777777" w:rsidTr="00BB1DFF">
        <w:trPr>
          <w:trHeight w:val="567"/>
        </w:trPr>
        <w:tc>
          <w:tcPr>
            <w:tcW w:w="2471" w:type="dxa"/>
            <w:shd w:val="clear" w:color="auto" w:fill="FFFFCC"/>
            <w:noWrap/>
            <w:vAlign w:val="center"/>
            <w:hideMark/>
          </w:tcPr>
          <w:p w14:paraId="56FAF5BF"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8.1. Release calendar</w:t>
            </w:r>
          </w:p>
        </w:tc>
        <w:tc>
          <w:tcPr>
            <w:tcW w:w="7872" w:type="dxa"/>
          </w:tcPr>
          <w:p w14:paraId="74B27A13" w14:textId="0B94547A" w:rsidR="00555F42" w:rsidRPr="00F56CBD" w:rsidRDefault="00314AB7" w:rsidP="00F4539A">
            <w:pPr>
              <w:spacing w:before="30" w:after="30"/>
              <w:jc w:val="both"/>
              <w:rPr>
                <w:lang w:eastAsia="nl-NL"/>
              </w:rPr>
            </w:pPr>
            <w:r w:rsidRPr="00314AB7">
              <w:rPr>
                <w:rFonts w:ascii="Times New Roman" w:hAnsi="Times New Roman" w:cs="Times New Roman"/>
                <w:lang w:val="en-GB" w:eastAsia="nl-NL"/>
              </w:rPr>
              <w:t>First results of quarterly data of detailed DI statistics (flow and position by country and NACE activities) are published at t+85 days after the reference period. Data is released on the webpage of BOA according to release calendars.</w:t>
            </w:r>
          </w:p>
        </w:tc>
        <w:tc>
          <w:tcPr>
            <w:tcW w:w="851" w:type="dxa"/>
            <w:vAlign w:val="center"/>
          </w:tcPr>
          <w:p w14:paraId="7E0214FF" w14:textId="77777777" w:rsidR="00555F42" w:rsidRPr="00344520" w:rsidRDefault="00555F42" w:rsidP="00555F42">
            <w:pPr>
              <w:rPr>
                <w:rFonts w:ascii="Times New Roman" w:eastAsia="Times New Roman" w:hAnsi="Times New Roman" w:cs="Times New Roman"/>
                <w:sz w:val="20"/>
                <w:szCs w:val="20"/>
                <w:lang w:eastAsia="nl-NL"/>
              </w:rPr>
            </w:pPr>
          </w:p>
        </w:tc>
      </w:tr>
      <w:tr w:rsidR="00555F42" w:rsidRPr="00493D72" w14:paraId="233F98EE" w14:textId="77777777" w:rsidTr="00BB1DFF">
        <w:trPr>
          <w:gridAfter w:val="1"/>
          <w:wAfter w:w="851" w:type="dxa"/>
          <w:trHeight w:val="567"/>
        </w:trPr>
        <w:tc>
          <w:tcPr>
            <w:tcW w:w="2471" w:type="dxa"/>
            <w:shd w:val="clear" w:color="auto" w:fill="FFFFCC"/>
            <w:noWrap/>
            <w:vAlign w:val="center"/>
            <w:hideMark/>
          </w:tcPr>
          <w:p w14:paraId="7C5C4E66"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8.2. Release calendar access</w:t>
            </w:r>
          </w:p>
        </w:tc>
        <w:tc>
          <w:tcPr>
            <w:tcW w:w="7872" w:type="dxa"/>
          </w:tcPr>
          <w:p w14:paraId="348DF5C2" w14:textId="77777777" w:rsidR="00AA6907" w:rsidRPr="00344520" w:rsidRDefault="00AA6907" w:rsidP="00AA6907">
            <w:pPr>
              <w:spacing w:before="30" w:after="30"/>
              <w:jc w:val="both"/>
              <w:rPr>
                <w:rFonts w:ascii="Times New Roman" w:hAnsi="Times New Roman" w:cs="Times New Roman"/>
                <w:lang w:eastAsia="nl-NL"/>
              </w:rPr>
            </w:pPr>
            <w:r w:rsidRPr="00344520">
              <w:rPr>
                <w:rFonts w:ascii="Times New Roman" w:hAnsi="Times New Roman" w:cs="Times New Roman"/>
                <w:lang w:eastAsia="nl-NL"/>
              </w:rPr>
              <w:t>Access to the release calendar is granted through the following link:</w:t>
            </w:r>
          </w:p>
          <w:p w14:paraId="7C389F2E" w14:textId="4519F0B0" w:rsidR="00555F42" w:rsidRPr="0030757F" w:rsidRDefault="00AA6907" w:rsidP="00AA6907">
            <w:pPr>
              <w:spacing w:after="240" w:line="240" w:lineRule="auto"/>
              <w:ind w:left="102" w:right="85"/>
              <w:jc w:val="both"/>
              <w:rPr>
                <w:rFonts w:ascii="Times New Roman" w:hAnsi="Times New Roman" w:cs="Times New Roman"/>
                <w:sz w:val="24"/>
                <w:szCs w:val="24"/>
                <w:lang w:eastAsia="nl-NL"/>
              </w:rPr>
            </w:pPr>
            <w:hyperlink r:id="rId14" w:history="1">
              <w:r w:rsidRPr="00117EFE">
                <w:rPr>
                  <w:rStyle w:val="Hyperlink"/>
                  <w:rFonts w:ascii="Times New Roman" w:hAnsi="Times New Roman" w:cs="Times New Roman"/>
                  <w:lang w:eastAsia="nl-NL"/>
                </w:rPr>
                <w:t>https://www.bankofalbania.org/Statistics/Statistical_release_calendar/</w:t>
              </w:r>
            </w:hyperlink>
          </w:p>
        </w:tc>
      </w:tr>
      <w:tr w:rsidR="00555F42" w:rsidRPr="00493D72" w14:paraId="7A201481" w14:textId="77777777" w:rsidTr="00BB1DFF">
        <w:trPr>
          <w:gridAfter w:val="1"/>
          <w:wAfter w:w="851" w:type="dxa"/>
          <w:trHeight w:val="567"/>
        </w:trPr>
        <w:tc>
          <w:tcPr>
            <w:tcW w:w="2471" w:type="dxa"/>
            <w:shd w:val="clear" w:color="auto" w:fill="FFFFCC"/>
            <w:noWrap/>
            <w:vAlign w:val="center"/>
            <w:hideMark/>
          </w:tcPr>
          <w:p w14:paraId="59DAA79E"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8.3. User access</w:t>
            </w:r>
          </w:p>
        </w:tc>
        <w:tc>
          <w:tcPr>
            <w:tcW w:w="7872" w:type="dxa"/>
          </w:tcPr>
          <w:p w14:paraId="636BDCCD" w14:textId="73400D99" w:rsidR="00314AB7" w:rsidRPr="00314AB7" w:rsidRDefault="00314AB7" w:rsidP="00314AB7">
            <w:pPr>
              <w:spacing w:before="30" w:after="30"/>
              <w:jc w:val="both"/>
              <w:rPr>
                <w:rFonts w:ascii="Times New Roman" w:hAnsi="Times New Roman" w:cs="Times New Roman"/>
                <w:lang w:eastAsia="nl-NL"/>
              </w:rPr>
            </w:pPr>
            <w:r w:rsidRPr="00314AB7">
              <w:rPr>
                <w:rFonts w:ascii="Times New Roman" w:hAnsi="Times New Roman" w:cs="Times New Roman"/>
                <w:lang w:eastAsia="nl-NL"/>
              </w:rPr>
              <w:t>In line with Article 34 of Law No. 17/2018 “On Official Statistics”, the Bank of Albania disseminates statistics through its official website in a professionally independent, objective, transparent, and impartial manner. Statistical confidentiality is strictly protected, and equal access to statistical information is ensured for all users, in accordance with the principle of impartiality.</w:t>
            </w:r>
          </w:p>
          <w:p w14:paraId="3C029A69" w14:textId="4838360B" w:rsidR="00314AB7" w:rsidRPr="00314AB7" w:rsidRDefault="00314AB7" w:rsidP="00314AB7">
            <w:pPr>
              <w:spacing w:before="30" w:after="30"/>
              <w:jc w:val="both"/>
              <w:rPr>
                <w:rFonts w:ascii="Times New Roman" w:hAnsi="Times New Roman" w:cs="Times New Roman"/>
                <w:lang w:eastAsia="nl-NL"/>
              </w:rPr>
            </w:pPr>
            <w:r w:rsidRPr="00314AB7">
              <w:rPr>
                <w:rFonts w:ascii="Times New Roman" w:hAnsi="Times New Roman" w:cs="Times New Roman"/>
                <w:lang w:eastAsia="nl-NL"/>
              </w:rPr>
              <w:lastRenderedPageBreak/>
              <w:t>The following dissemination channels are used to release data on direct investment:</w:t>
            </w:r>
          </w:p>
          <w:p w14:paraId="4AEA843D" w14:textId="7899A6FB" w:rsidR="00314AB7" w:rsidRPr="00F65FB3" w:rsidRDefault="00314AB7" w:rsidP="00314AB7">
            <w:pPr>
              <w:pStyle w:val="ListParagraph"/>
              <w:numPr>
                <w:ilvl w:val="0"/>
                <w:numId w:val="25"/>
              </w:numPr>
              <w:spacing w:before="30" w:after="30"/>
              <w:jc w:val="both"/>
              <w:rPr>
                <w:rFonts w:ascii="Times New Roman" w:hAnsi="Times New Roman" w:cs="Times New Roman"/>
                <w:sz w:val="22"/>
                <w:szCs w:val="22"/>
                <w:lang w:eastAsia="nl-NL"/>
              </w:rPr>
            </w:pPr>
            <w:r w:rsidRPr="00F65FB3">
              <w:rPr>
                <w:rFonts w:ascii="Times New Roman" w:hAnsi="Times New Roman" w:cs="Times New Roman"/>
                <w:sz w:val="22"/>
                <w:szCs w:val="22"/>
                <w:lang w:eastAsia="nl-NL"/>
              </w:rPr>
              <w:t xml:space="preserve">Webpage-online release </w:t>
            </w:r>
          </w:p>
          <w:p w14:paraId="21DFE6B0" w14:textId="6B6A5027" w:rsidR="00314AB7" w:rsidRDefault="00314AB7" w:rsidP="00314AB7">
            <w:pPr>
              <w:spacing w:before="30" w:after="30"/>
              <w:jc w:val="both"/>
              <w:rPr>
                <w:rFonts w:ascii="Times New Roman" w:hAnsi="Times New Roman" w:cs="Times New Roman"/>
                <w:lang w:eastAsia="nl-NL"/>
              </w:rPr>
            </w:pPr>
            <w:hyperlink r:id="rId15" w:history="1">
              <w:r w:rsidRPr="00D75C01">
                <w:rPr>
                  <w:rStyle w:val="Hyperlink"/>
                  <w:rFonts w:ascii="Times New Roman" w:hAnsi="Times New Roman" w:cs="Times New Roman"/>
                  <w:lang w:eastAsia="nl-NL"/>
                </w:rPr>
                <w:t>https://www.bankofalbania.org/Statistics/External_sector_statistics/Foreign_Direct_Investments/</w:t>
              </w:r>
            </w:hyperlink>
          </w:p>
          <w:p w14:paraId="345D4B57" w14:textId="4F19A11B" w:rsidR="00555F42" w:rsidRPr="00C860CE" w:rsidRDefault="00314AB7" w:rsidP="00314AB7">
            <w:pPr>
              <w:pStyle w:val="ListParagraph"/>
              <w:numPr>
                <w:ilvl w:val="0"/>
                <w:numId w:val="25"/>
              </w:numPr>
              <w:spacing w:before="30" w:after="30"/>
              <w:jc w:val="both"/>
              <w:rPr>
                <w:sz w:val="22"/>
                <w:szCs w:val="22"/>
                <w:lang w:eastAsia="nl-NL"/>
              </w:rPr>
            </w:pPr>
            <w:r w:rsidRPr="00C860CE">
              <w:rPr>
                <w:rFonts w:ascii="Times New Roman" w:hAnsi="Times New Roman" w:cs="Times New Roman"/>
                <w:sz w:val="22"/>
                <w:szCs w:val="22"/>
                <w:lang w:eastAsia="nl-NL"/>
              </w:rPr>
              <w:t>Written requests</w:t>
            </w:r>
          </w:p>
        </w:tc>
      </w:tr>
      <w:tr w:rsidR="00555F42" w:rsidRPr="00493D72" w14:paraId="2A3AB21D" w14:textId="77777777" w:rsidTr="00BB1DFF">
        <w:trPr>
          <w:gridAfter w:val="1"/>
          <w:wAfter w:w="851" w:type="dxa"/>
          <w:trHeight w:val="567"/>
        </w:trPr>
        <w:tc>
          <w:tcPr>
            <w:tcW w:w="2471" w:type="dxa"/>
            <w:shd w:val="clear" w:color="auto" w:fill="C5E0B3" w:themeFill="accent6" w:themeFillTint="66"/>
            <w:noWrap/>
            <w:vAlign w:val="center"/>
            <w:hideMark/>
          </w:tcPr>
          <w:p w14:paraId="3BBF9924" w14:textId="77777777" w:rsidR="00555F42" w:rsidRPr="00493D72" w:rsidRDefault="00555F42" w:rsidP="00555F42">
            <w:pPr>
              <w:pStyle w:val="Heading1"/>
              <w:spacing w:before="0"/>
              <w:rPr>
                <w:rFonts w:ascii="Times New Roman" w:eastAsia="Times New Roman" w:hAnsi="Times New Roman" w:cs="Times New Roman"/>
                <w:b w:val="0"/>
                <w:bCs w:val="0"/>
                <w:noProof/>
                <w:color w:val="000000"/>
                <w:sz w:val="24"/>
                <w:szCs w:val="24"/>
                <w:lang w:val="sq-AL" w:eastAsia="sq-AL"/>
              </w:rPr>
            </w:pPr>
            <w:bookmarkStart w:id="8" w:name="_Toc222230603"/>
            <w:r w:rsidRPr="00493D72">
              <w:rPr>
                <w:rFonts w:ascii="Times New Roman" w:eastAsia="Times New Roman" w:hAnsi="Times New Roman" w:cs="Times New Roman"/>
                <w:noProof/>
                <w:color w:val="000000" w:themeColor="text1"/>
                <w:sz w:val="24"/>
                <w:szCs w:val="24"/>
                <w:lang w:val="sq-AL" w:eastAsia="sq-AL"/>
              </w:rPr>
              <w:lastRenderedPageBreak/>
              <w:t>9. Frequency of dissemination</w:t>
            </w:r>
            <w:bookmarkEnd w:id="8"/>
          </w:p>
        </w:tc>
        <w:tc>
          <w:tcPr>
            <w:tcW w:w="7872" w:type="dxa"/>
            <w:noWrap/>
          </w:tcPr>
          <w:p w14:paraId="4062D2B8" w14:textId="395935B0" w:rsidR="00555F42" w:rsidRDefault="00314AB7" w:rsidP="00D77562">
            <w:pPr>
              <w:spacing w:before="30" w:after="30" w:line="240" w:lineRule="auto"/>
              <w:contextualSpacing/>
              <w:jc w:val="both"/>
              <w:rPr>
                <w:sz w:val="24"/>
              </w:rPr>
            </w:pPr>
            <w:r w:rsidRPr="00314AB7">
              <w:rPr>
                <w:rFonts w:ascii="Times New Roman" w:hAnsi="Times New Roman" w:cs="Times New Roman"/>
                <w:lang w:eastAsia="nl-NL"/>
              </w:rPr>
              <w:t>The dissemination of DI data is done on a quarterly basis form Q1/2014. The dissemination of DI data is done on an annual basis for 2003-2013.</w:t>
            </w:r>
          </w:p>
        </w:tc>
      </w:tr>
      <w:tr w:rsidR="00555F42" w:rsidRPr="00493D72" w14:paraId="4796F3F2" w14:textId="77777777" w:rsidTr="005B7ED2">
        <w:trPr>
          <w:gridAfter w:val="1"/>
          <w:wAfter w:w="851" w:type="dxa"/>
          <w:trHeight w:val="567"/>
        </w:trPr>
        <w:tc>
          <w:tcPr>
            <w:tcW w:w="10343" w:type="dxa"/>
            <w:gridSpan w:val="2"/>
            <w:shd w:val="clear" w:color="auto" w:fill="C5E0B3" w:themeFill="accent6" w:themeFillTint="66"/>
            <w:noWrap/>
            <w:vAlign w:val="center"/>
          </w:tcPr>
          <w:p w14:paraId="28CFD123" w14:textId="2F5A2AB6" w:rsidR="00555F42" w:rsidRPr="00493D72" w:rsidRDefault="001427EA" w:rsidP="00555F42">
            <w:pPr>
              <w:pStyle w:val="Heading1"/>
              <w:spacing w:before="0"/>
              <w:rPr>
                <w:rFonts w:ascii="Times New Roman" w:eastAsia="Times New Roman" w:hAnsi="Times New Roman" w:cs="Times New Roman"/>
                <w:b w:val="0"/>
                <w:bCs w:val="0"/>
                <w:noProof/>
                <w:sz w:val="24"/>
                <w:szCs w:val="24"/>
                <w:lang w:val="sq-AL" w:eastAsia="sq-AL"/>
              </w:rPr>
            </w:pPr>
            <w:bookmarkStart w:id="9" w:name="_Toc222230604"/>
            <w:r w:rsidRPr="001427EA">
              <w:rPr>
                <w:rFonts w:ascii="Times New Roman" w:eastAsia="Times New Roman" w:hAnsi="Times New Roman" w:cs="Times New Roman"/>
                <w:noProof/>
                <w:color w:val="000000" w:themeColor="text1"/>
                <w:sz w:val="24"/>
                <w:szCs w:val="24"/>
                <w:lang w:val="sq-AL" w:eastAsia="sq-AL"/>
              </w:rPr>
              <w:t>10. Accessibility and clarity</w:t>
            </w:r>
            <w:bookmarkEnd w:id="9"/>
          </w:p>
        </w:tc>
      </w:tr>
      <w:tr w:rsidR="00555F42" w:rsidRPr="00493D72" w14:paraId="6D73A7B9" w14:textId="77777777" w:rsidTr="00BB1DFF">
        <w:trPr>
          <w:gridAfter w:val="1"/>
          <w:wAfter w:w="851" w:type="dxa"/>
          <w:trHeight w:val="567"/>
        </w:trPr>
        <w:tc>
          <w:tcPr>
            <w:tcW w:w="2471" w:type="dxa"/>
            <w:shd w:val="clear" w:color="auto" w:fill="FFFFCC"/>
            <w:noWrap/>
            <w:vAlign w:val="center"/>
            <w:hideMark/>
          </w:tcPr>
          <w:p w14:paraId="051968A7"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10.1. New</w:t>
            </w:r>
            <w:r>
              <w:rPr>
                <w:rFonts w:ascii="Times New Roman" w:eastAsia="Times New Roman" w:hAnsi="Times New Roman" w:cs="Times New Roman"/>
                <w:noProof/>
                <w:color w:val="000000"/>
                <w:sz w:val="24"/>
                <w:szCs w:val="24"/>
                <w:lang w:val="sq-AL" w:eastAsia="sq-AL"/>
              </w:rPr>
              <w:t>s</w:t>
            </w:r>
            <w:r w:rsidRPr="00493D72">
              <w:rPr>
                <w:rFonts w:ascii="Times New Roman" w:eastAsia="Times New Roman" w:hAnsi="Times New Roman" w:cs="Times New Roman"/>
                <w:noProof/>
                <w:color w:val="000000"/>
                <w:sz w:val="24"/>
                <w:szCs w:val="24"/>
                <w:lang w:val="sq-AL" w:eastAsia="sq-AL"/>
              </w:rPr>
              <w:t xml:space="preserve"> release</w:t>
            </w:r>
          </w:p>
        </w:tc>
        <w:tc>
          <w:tcPr>
            <w:tcW w:w="7872" w:type="dxa"/>
          </w:tcPr>
          <w:p w14:paraId="3AD08B10" w14:textId="4669D11F" w:rsidR="00555F42" w:rsidRPr="0030757F" w:rsidRDefault="00AA6907" w:rsidP="00DE34D2">
            <w:pPr>
              <w:pStyle w:val="TableParagraph"/>
              <w:spacing w:before="240" w:after="240"/>
              <w:ind w:right="85"/>
              <w:jc w:val="both"/>
              <w:rPr>
                <w:sz w:val="24"/>
                <w:lang w:eastAsia="nl-NL"/>
              </w:rPr>
            </w:pPr>
            <w:r w:rsidRPr="00344520">
              <w:rPr>
                <w:lang w:eastAsia="nl-NL"/>
              </w:rPr>
              <w:t>Not applicable</w:t>
            </w:r>
          </w:p>
        </w:tc>
      </w:tr>
      <w:tr w:rsidR="00555F42" w:rsidRPr="00493D72" w14:paraId="6CCF8ED0" w14:textId="77777777" w:rsidTr="00BB1DFF">
        <w:trPr>
          <w:gridAfter w:val="1"/>
          <w:wAfter w:w="851" w:type="dxa"/>
          <w:trHeight w:val="567"/>
        </w:trPr>
        <w:tc>
          <w:tcPr>
            <w:tcW w:w="2471" w:type="dxa"/>
            <w:shd w:val="clear" w:color="auto" w:fill="FFFFCC"/>
            <w:noWrap/>
            <w:vAlign w:val="center"/>
            <w:hideMark/>
          </w:tcPr>
          <w:p w14:paraId="08F645EB"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10.2. Publications</w:t>
            </w:r>
          </w:p>
        </w:tc>
        <w:tc>
          <w:tcPr>
            <w:tcW w:w="7872" w:type="dxa"/>
          </w:tcPr>
          <w:p w14:paraId="6AE4F673" w14:textId="5E3EA910" w:rsidR="00555F42" w:rsidRPr="0030757F" w:rsidRDefault="00314AB7" w:rsidP="00F56CBD">
            <w:pPr>
              <w:spacing w:before="30" w:after="30" w:line="240" w:lineRule="auto"/>
              <w:jc w:val="both"/>
              <w:rPr>
                <w:sz w:val="24"/>
                <w:lang w:eastAsia="nl-NL"/>
              </w:rPr>
            </w:pPr>
            <w:r w:rsidRPr="00314AB7">
              <w:rPr>
                <w:rFonts w:ascii="Times New Roman" w:hAnsi="Times New Roman" w:cs="Times New Roman"/>
                <w:lang w:eastAsia="nl-NL"/>
              </w:rPr>
              <w:t>The publication format of statistics on BOA’s webpage is conditioned by the structure of the informatics publication applications. Data are uploaded and can be accessed through a dynamic two-dimensional database where the external user can select the periodicity, the period and the DI components from a standard statistical table. On-line databases are in html format and can easily copied in excel format, and csv format.</w:t>
            </w:r>
          </w:p>
        </w:tc>
      </w:tr>
      <w:tr w:rsidR="00555F42" w:rsidRPr="00493D72" w14:paraId="458D5B04" w14:textId="77777777" w:rsidTr="00BB1DFF">
        <w:trPr>
          <w:gridAfter w:val="1"/>
          <w:wAfter w:w="851" w:type="dxa"/>
          <w:trHeight w:val="567"/>
        </w:trPr>
        <w:tc>
          <w:tcPr>
            <w:tcW w:w="2471" w:type="dxa"/>
            <w:shd w:val="clear" w:color="auto" w:fill="FFFFCC"/>
            <w:noWrap/>
            <w:vAlign w:val="center"/>
            <w:hideMark/>
          </w:tcPr>
          <w:p w14:paraId="71A6B746"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10.3. On-line database</w:t>
            </w:r>
          </w:p>
        </w:tc>
        <w:tc>
          <w:tcPr>
            <w:tcW w:w="7872" w:type="dxa"/>
          </w:tcPr>
          <w:p w14:paraId="78DDECC4" w14:textId="77777777" w:rsidR="00314AB7" w:rsidRPr="00314AB7" w:rsidRDefault="00314AB7" w:rsidP="00314AB7">
            <w:pPr>
              <w:spacing w:before="30" w:after="30"/>
              <w:rPr>
                <w:rFonts w:ascii="Times New Roman" w:hAnsi="Times New Roman" w:cs="Times New Roman"/>
              </w:rPr>
            </w:pPr>
            <w:r w:rsidRPr="00314AB7">
              <w:rPr>
                <w:rFonts w:ascii="Times New Roman" w:hAnsi="Times New Roman" w:cs="Times New Roman"/>
              </w:rPr>
              <w:t>The database link:</w:t>
            </w:r>
          </w:p>
          <w:p w14:paraId="23D1E00F" w14:textId="42AA92D1" w:rsidR="00314AB7" w:rsidRPr="00BD48E4" w:rsidRDefault="00314AB7" w:rsidP="00314AB7">
            <w:pPr>
              <w:spacing w:before="30" w:after="30"/>
              <w:rPr>
                <w:rFonts w:ascii="Times New Roman" w:hAnsi="Times New Roman" w:cs="Times New Roman"/>
              </w:rPr>
            </w:pPr>
            <w:hyperlink r:id="rId16" w:history="1">
              <w:r w:rsidRPr="0086362C">
                <w:rPr>
                  <w:rStyle w:val="Hyperlink"/>
                  <w:rFonts w:ascii="Times New Roman" w:hAnsi="Times New Roman" w:cs="Times New Roman"/>
                </w:rPr>
                <w:t>https://www.bankofalbania.org/Statistics/External_sector_statistics/Foreign_Direct_Investments/</w:t>
              </w:r>
            </w:hyperlink>
          </w:p>
        </w:tc>
      </w:tr>
      <w:tr w:rsidR="00555F42" w:rsidRPr="00493D72" w14:paraId="7441D820" w14:textId="77777777" w:rsidTr="00BB1DFF">
        <w:trPr>
          <w:gridAfter w:val="1"/>
          <w:wAfter w:w="851" w:type="dxa"/>
          <w:trHeight w:val="567"/>
        </w:trPr>
        <w:tc>
          <w:tcPr>
            <w:tcW w:w="2471" w:type="dxa"/>
            <w:shd w:val="clear" w:color="auto" w:fill="FFFFCC"/>
            <w:noWrap/>
            <w:vAlign w:val="center"/>
            <w:hideMark/>
          </w:tcPr>
          <w:p w14:paraId="5AE991CD"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 xml:space="preserve">10.4. Micro – data access </w:t>
            </w:r>
          </w:p>
        </w:tc>
        <w:tc>
          <w:tcPr>
            <w:tcW w:w="7872" w:type="dxa"/>
            <w:noWrap/>
          </w:tcPr>
          <w:p w14:paraId="4D8B4E26" w14:textId="7A383A67" w:rsidR="00555F42" w:rsidRPr="00381B2A" w:rsidRDefault="00AA6907" w:rsidP="00F56CBD">
            <w:pPr>
              <w:pStyle w:val="TableParagraph"/>
              <w:spacing w:before="240" w:after="240"/>
              <w:ind w:right="85"/>
              <w:jc w:val="both"/>
              <w:rPr>
                <w:sz w:val="24"/>
                <w:szCs w:val="24"/>
                <w:lang w:val="en-GB"/>
              </w:rPr>
            </w:pPr>
            <w:r w:rsidRPr="00344520">
              <w:rPr>
                <w:lang w:eastAsia="nl-NL"/>
              </w:rPr>
              <w:t>Not applicable</w:t>
            </w:r>
          </w:p>
        </w:tc>
      </w:tr>
      <w:tr w:rsidR="00555F42" w:rsidRPr="00493D72" w14:paraId="27E5A1F2" w14:textId="77777777" w:rsidTr="00BB1DFF">
        <w:trPr>
          <w:gridAfter w:val="1"/>
          <w:wAfter w:w="851" w:type="dxa"/>
          <w:trHeight w:val="567"/>
        </w:trPr>
        <w:tc>
          <w:tcPr>
            <w:tcW w:w="2471" w:type="dxa"/>
            <w:shd w:val="clear" w:color="auto" w:fill="FFFFCC"/>
            <w:noWrap/>
            <w:vAlign w:val="center"/>
            <w:hideMark/>
          </w:tcPr>
          <w:p w14:paraId="1D0D390A"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10.5. Other</w:t>
            </w:r>
          </w:p>
        </w:tc>
        <w:tc>
          <w:tcPr>
            <w:tcW w:w="7872" w:type="dxa"/>
            <w:noWrap/>
          </w:tcPr>
          <w:p w14:paraId="1F520063" w14:textId="3782DC12" w:rsidR="00555F42" w:rsidRPr="00344520" w:rsidRDefault="00AA6907" w:rsidP="00FF27AD">
            <w:pPr>
              <w:spacing w:before="240" w:after="240" w:line="240" w:lineRule="auto"/>
              <w:ind w:right="85"/>
              <w:rPr>
                <w:rFonts w:ascii="Times New Roman" w:hAnsi="Times New Roman" w:cs="Times New Roman"/>
                <w:lang w:eastAsia="nl-NL"/>
              </w:rPr>
            </w:pPr>
            <w:r w:rsidRPr="00344520">
              <w:rPr>
                <w:rFonts w:ascii="Times New Roman" w:hAnsi="Times New Roman" w:cs="Times New Roman"/>
                <w:lang w:eastAsia="nl-NL"/>
              </w:rPr>
              <w:t xml:space="preserve">Users can submit specific request for statistics data through the e-mail </w:t>
            </w:r>
            <w:r w:rsidR="00D200AA" w:rsidRPr="00344520">
              <w:rPr>
                <w:rFonts w:ascii="Times New Roman" w:hAnsi="Times New Roman" w:cs="Times New Roman"/>
                <w:lang w:eastAsia="nl-NL"/>
              </w:rPr>
              <w:t>address statistics@bankofalbania.org</w:t>
            </w:r>
            <w:r w:rsidRPr="00344520">
              <w:rPr>
                <w:rFonts w:ascii="Times New Roman" w:hAnsi="Times New Roman" w:cs="Times New Roman"/>
                <w:color w:val="4472C4" w:themeColor="accent1"/>
                <w:lang w:eastAsia="nl-NL"/>
              </w:rPr>
              <w:t xml:space="preserve"> </w:t>
            </w:r>
            <w:r w:rsidRPr="00344520">
              <w:rPr>
                <w:rFonts w:ascii="Times New Roman" w:hAnsi="Times New Roman" w:cs="Times New Roman"/>
                <w:lang w:eastAsia="nl-NL"/>
              </w:rPr>
              <w:t>(contacts in BOA webpage)</w:t>
            </w:r>
          </w:p>
        </w:tc>
      </w:tr>
      <w:tr w:rsidR="00555F42" w:rsidRPr="00493D72" w14:paraId="3BA6A51D" w14:textId="77777777" w:rsidTr="00BB1DFF">
        <w:trPr>
          <w:gridAfter w:val="1"/>
          <w:wAfter w:w="851" w:type="dxa"/>
          <w:trHeight w:val="567"/>
        </w:trPr>
        <w:tc>
          <w:tcPr>
            <w:tcW w:w="2471" w:type="dxa"/>
            <w:shd w:val="clear" w:color="auto" w:fill="FFFFCC"/>
            <w:noWrap/>
            <w:vAlign w:val="center"/>
            <w:hideMark/>
          </w:tcPr>
          <w:p w14:paraId="2F827B6F"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10.6. Documentation on methodology</w:t>
            </w:r>
          </w:p>
        </w:tc>
        <w:tc>
          <w:tcPr>
            <w:tcW w:w="7872" w:type="dxa"/>
          </w:tcPr>
          <w:p w14:paraId="4B5ED040" w14:textId="77777777" w:rsidR="00555F42" w:rsidRDefault="002C5E21" w:rsidP="00AA6907">
            <w:pPr>
              <w:spacing w:before="30" w:after="30"/>
              <w:jc w:val="both"/>
              <w:rPr>
                <w:rFonts w:ascii="Times New Roman" w:hAnsi="Times New Roman" w:cs="Times New Roman"/>
                <w:lang w:eastAsia="nl-NL"/>
              </w:rPr>
            </w:pPr>
            <w:r w:rsidRPr="002C5E21">
              <w:rPr>
                <w:rFonts w:ascii="Times New Roman" w:hAnsi="Times New Roman" w:cs="Times New Roman"/>
                <w:lang w:eastAsia="nl-NL"/>
              </w:rPr>
              <w:t>Information could be found on the BOA’s webpage (Albanian version):</w:t>
            </w:r>
          </w:p>
          <w:p w14:paraId="3BC625D8" w14:textId="1D8CAEAF" w:rsidR="007552C9" w:rsidRPr="0023235F" w:rsidRDefault="007552C9" w:rsidP="007552C9">
            <w:pPr>
              <w:spacing w:before="30" w:after="30"/>
              <w:jc w:val="both"/>
              <w:rPr>
                <w:sz w:val="24"/>
                <w:highlight w:val="yellow"/>
                <w:lang w:eastAsia="nl-NL"/>
              </w:rPr>
            </w:pPr>
            <w:hyperlink r:id="rId17" w:history="1">
              <w:r w:rsidRPr="007552C9">
                <w:rPr>
                  <w:rStyle w:val="Hyperlink"/>
                  <w:rFonts w:ascii="Times New Roman" w:hAnsi="Times New Roman" w:cs="Times New Roman"/>
                </w:rPr>
                <w:t>https://www.bankofalbania.org/Statistics/External_sector_statistics/Foreign_Direct_Investments/</w:t>
              </w:r>
            </w:hyperlink>
          </w:p>
        </w:tc>
      </w:tr>
      <w:tr w:rsidR="00555F42" w:rsidRPr="00493D72" w14:paraId="3C1FB6CB" w14:textId="77777777" w:rsidTr="00BB1DFF">
        <w:trPr>
          <w:gridAfter w:val="1"/>
          <w:wAfter w:w="851" w:type="dxa"/>
          <w:trHeight w:val="567"/>
        </w:trPr>
        <w:tc>
          <w:tcPr>
            <w:tcW w:w="2471" w:type="dxa"/>
            <w:shd w:val="clear" w:color="auto" w:fill="FFFFCC"/>
            <w:noWrap/>
            <w:vAlign w:val="center"/>
            <w:hideMark/>
          </w:tcPr>
          <w:p w14:paraId="0319149E"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10.7. Quality documentation</w:t>
            </w:r>
          </w:p>
        </w:tc>
        <w:tc>
          <w:tcPr>
            <w:tcW w:w="7872" w:type="dxa"/>
            <w:noWrap/>
          </w:tcPr>
          <w:p w14:paraId="7438A505" w14:textId="2FDC1600" w:rsidR="00555F42" w:rsidRPr="0023235F" w:rsidRDefault="002C5E21" w:rsidP="00F4539A">
            <w:pPr>
              <w:spacing w:before="30" w:after="30"/>
              <w:jc w:val="both"/>
              <w:rPr>
                <w:sz w:val="24"/>
                <w:highlight w:val="yellow"/>
                <w:lang w:eastAsia="nl-NL"/>
              </w:rPr>
            </w:pPr>
            <w:r w:rsidRPr="002C5E21">
              <w:rPr>
                <w:rFonts w:ascii="Times New Roman" w:hAnsi="Times New Roman" w:cs="Times New Roman"/>
                <w:lang w:eastAsia="nl-NL"/>
              </w:rPr>
              <w:t>Sector documents all processes and procedures used to compile the balance of payments only for internal users.</w:t>
            </w:r>
          </w:p>
        </w:tc>
      </w:tr>
      <w:tr w:rsidR="00555F42" w:rsidRPr="00493D72" w14:paraId="4AC56C8C" w14:textId="77777777" w:rsidTr="005B7ED2">
        <w:trPr>
          <w:gridAfter w:val="1"/>
          <w:wAfter w:w="851" w:type="dxa"/>
          <w:trHeight w:val="567"/>
        </w:trPr>
        <w:tc>
          <w:tcPr>
            <w:tcW w:w="10343" w:type="dxa"/>
            <w:gridSpan w:val="2"/>
            <w:shd w:val="clear" w:color="auto" w:fill="C5E0B3" w:themeFill="accent6" w:themeFillTint="66"/>
            <w:noWrap/>
            <w:vAlign w:val="center"/>
          </w:tcPr>
          <w:p w14:paraId="27B44B9C" w14:textId="1DE91C8E" w:rsidR="00555F42" w:rsidRPr="00493D72" w:rsidRDefault="002A5235" w:rsidP="00555F42">
            <w:pPr>
              <w:pStyle w:val="Heading1"/>
              <w:spacing w:before="0"/>
              <w:rPr>
                <w:rFonts w:ascii="Times New Roman" w:eastAsia="Times New Roman" w:hAnsi="Times New Roman" w:cs="Times New Roman"/>
                <w:b w:val="0"/>
                <w:bCs w:val="0"/>
                <w:noProof/>
                <w:color w:val="000000"/>
                <w:sz w:val="24"/>
                <w:szCs w:val="24"/>
                <w:lang w:val="sq-AL" w:eastAsia="sq-AL"/>
              </w:rPr>
            </w:pPr>
            <w:bookmarkStart w:id="10" w:name="_Toc222230605"/>
            <w:r w:rsidRPr="002A5235">
              <w:rPr>
                <w:rFonts w:ascii="Times New Roman" w:eastAsia="Times New Roman" w:hAnsi="Times New Roman" w:cs="Times New Roman"/>
                <w:noProof/>
                <w:color w:val="000000" w:themeColor="text1"/>
                <w:sz w:val="24"/>
                <w:szCs w:val="24"/>
                <w:lang w:val="sq-AL" w:eastAsia="sq-AL"/>
              </w:rPr>
              <w:t>11. Quality managment</w:t>
            </w:r>
            <w:bookmarkEnd w:id="10"/>
          </w:p>
        </w:tc>
      </w:tr>
      <w:tr w:rsidR="00555F42" w:rsidRPr="00493D72" w14:paraId="235DC015" w14:textId="77777777" w:rsidTr="00BB1DFF">
        <w:trPr>
          <w:gridAfter w:val="1"/>
          <w:wAfter w:w="851" w:type="dxa"/>
          <w:trHeight w:val="567"/>
        </w:trPr>
        <w:tc>
          <w:tcPr>
            <w:tcW w:w="2471" w:type="dxa"/>
            <w:shd w:val="clear" w:color="auto" w:fill="FFFFCC"/>
            <w:noWrap/>
            <w:vAlign w:val="center"/>
            <w:hideMark/>
          </w:tcPr>
          <w:p w14:paraId="12E21EA3"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11.1. Quality assurance </w:t>
            </w:r>
          </w:p>
        </w:tc>
        <w:tc>
          <w:tcPr>
            <w:tcW w:w="7872" w:type="dxa"/>
          </w:tcPr>
          <w:p w14:paraId="037DF750" w14:textId="77777777" w:rsidR="00D200AA" w:rsidRPr="00F16605" w:rsidRDefault="00D200AA" w:rsidP="00D200AA">
            <w:pPr>
              <w:spacing w:before="30" w:after="30" w:line="240" w:lineRule="auto"/>
              <w:jc w:val="both"/>
              <w:rPr>
                <w:rFonts w:ascii="Times New Roman" w:eastAsia="Times New Roman" w:hAnsi="Times New Roman" w:cs="Times New Roman"/>
                <w:lang w:val="en-GB" w:eastAsia="en-GB"/>
              </w:rPr>
            </w:pPr>
            <w:r w:rsidRPr="00F16605">
              <w:rPr>
                <w:rFonts w:ascii="Times New Roman" w:eastAsia="Times New Roman" w:hAnsi="Times New Roman" w:cs="Times New Roman"/>
                <w:lang w:val="en-GB" w:eastAsia="en-GB"/>
              </w:rPr>
              <w:t>The data quality is of primary importance for the Bank of Albania. The Statistics department aims at ensuring conformity with international methodological standards such as ESA 2010, the statistical legal framework of Eurostat as well as the IMF methodological requirements (BPM6 manual).</w:t>
            </w:r>
          </w:p>
          <w:p w14:paraId="07BE1CA6" w14:textId="12856147" w:rsidR="00555F42" w:rsidRPr="00F16605" w:rsidRDefault="00D200AA" w:rsidP="00D200AA">
            <w:pPr>
              <w:spacing w:before="30" w:after="30" w:line="240" w:lineRule="auto"/>
              <w:jc w:val="both"/>
              <w:rPr>
                <w:rFonts w:ascii="Times New Roman" w:eastAsia="Times New Roman" w:hAnsi="Times New Roman" w:cs="Times New Roman"/>
                <w:lang w:val="en-GB" w:eastAsia="en-GB"/>
              </w:rPr>
            </w:pPr>
            <w:r w:rsidRPr="00F16605">
              <w:rPr>
                <w:rFonts w:ascii="Times New Roman" w:eastAsia="Times New Roman" w:hAnsi="Times New Roman" w:cs="Times New Roman"/>
                <w:lang w:val="en-GB" w:eastAsia="en-GB"/>
              </w:rPr>
              <w:t>Internal tasks regarding the collection, processing and dissemination of statistics are organized in such a way to ensure that quality is closely monitored.</w:t>
            </w:r>
          </w:p>
        </w:tc>
      </w:tr>
      <w:tr w:rsidR="00555F42" w:rsidRPr="00493D72" w14:paraId="43DF7B51" w14:textId="28F60DF3" w:rsidTr="00BB1DFF">
        <w:trPr>
          <w:gridAfter w:val="1"/>
          <w:wAfter w:w="851" w:type="dxa"/>
          <w:trHeight w:val="567"/>
        </w:trPr>
        <w:tc>
          <w:tcPr>
            <w:tcW w:w="2471" w:type="dxa"/>
            <w:shd w:val="clear" w:color="auto" w:fill="FFFFCC"/>
            <w:noWrap/>
            <w:vAlign w:val="center"/>
            <w:hideMark/>
          </w:tcPr>
          <w:p w14:paraId="5E9EACCF"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11.2. Quality assessments</w:t>
            </w:r>
          </w:p>
        </w:tc>
        <w:tc>
          <w:tcPr>
            <w:tcW w:w="7872" w:type="dxa"/>
          </w:tcPr>
          <w:p w14:paraId="08587079" w14:textId="09CC1807" w:rsidR="00555F42" w:rsidRPr="00F16605" w:rsidRDefault="00D200AA" w:rsidP="00F56CBD">
            <w:pPr>
              <w:spacing w:before="30" w:after="30" w:line="240" w:lineRule="auto"/>
              <w:jc w:val="both"/>
              <w:rPr>
                <w:rFonts w:ascii="Times New Roman" w:eastAsia="Times New Roman" w:hAnsi="Times New Roman" w:cs="Times New Roman"/>
                <w:lang w:val="en-GB" w:eastAsia="en-GB"/>
              </w:rPr>
            </w:pPr>
            <w:r w:rsidRPr="00F16605">
              <w:rPr>
                <w:rFonts w:ascii="Times New Roman" w:eastAsia="Times New Roman" w:hAnsi="Times New Roman" w:cs="Times New Roman"/>
                <w:lang w:val="en-GB" w:eastAsia="en-GB"/>
              </w:rPr>
              <w:t>The Bank of Albania management attaches importance to its work on statistics, is sensitive to data quality issues, and takes initiatives to improve data flows between the Bank of Albania and other agencies. Data are collected from reliable sources applying high standards regarding methodology and ensuring high comparability. The Statistics Department has internal processes to identify and resolve issues at various stages of the collection, compilation, and dissemination of statistics.</w:t>
            </w:r>
          </w:p>
        </w:tc>
      </w:tr>
      <w:tr w:rsidR="00555F42" w:rsidRPr="00493D72" w14:paraId="37866CCA" w14:textId="77777777" w:rsidTr="005B7ED2">
        <w:trPr>
          <w:gridAfter w:val="1"/>
          <w:wAfter w:w="851" w:type="dxa"/>
          <w:trHeight w:val="567"/>
        </w:trPr>
        <w:tc>
          <w:tcPr>
            <w:tcW w:w="10343" w:type="dxa"/>
            <w:gridSpan w:val="2"/>
            <w:shd w:val="clear" w:color="auto" w:fill="C5E0B3" w:themeFill="accent6" w:themeFillTint="66"/>
            <w:noWrap/>
            <w:vAlign w:val="center"/>
          </w:tcPr>
          <w:p w14:paraId="6F8AB674" w14:textId="6D50B054" w:rsidR="00555F42" w:rsidRPr="0023235F" w:rsidRDefault="002A5235" w:rsidP="002A5235">
            <w:pPr>
              <w:pStyle w:val="Heading1"/>
              <w:spacing w:before="0"/>
              <w:rPr>
                <w:rFonts w:ascii="Times New Roman" w:eastAsia="Times New Roman" w:hAnsi="Times New Roman" w:cs="Times New Roman"/>
                <w:b w:val="0"/>
                <w:bCs w:val="0"/>
                <w:noProof/>
                <w:color w:val="000000"/>
                <w:sz w:val="24"/>
                <w:szCs w:val="24"/>
                <w:lang w:val="sq-AL" w:eastAsia="sq-AL"/>
              </w:rPr>
            </w:pPr>
            <w:bookmarkStart w:id="11" w:name="_Toc222230606"/>
            <w:r w:rsidRPr="002A5235">
              <w:rPr>
                <w:rFonts w:ascii="Times New Roman" w:eastAsia="Times New Roman" w:hAnsi="Times New Roman" w:cs="Times New Roman"/>
                <w:noProof/>
                <w:color w:val="000000" w:themeColor="text1"/>
                <w:sz w:val="24"/>
                <w:szCs w:val="24"/>
                <w:lang w:val="sq-AL" w:eastAsia="sq-AL"/>
              </w:rPr>
              <w:t>12. Relevance</w:t>
            </w:r>
            <w:bookmarkEnd w:id="11"/>
          </w:p>
        </w:tc>
      </w:tr>
      <w:tr w:rsidR="00555F42" w:rsidRPr="00493D72" w14:paraId="68598C2D" w14:textId="77777777" w:rsidTr="00BB1DFF">
        <w:trPr>
          <w:gridAfter w:val="1"/>
          <w:wAfter w:w="851" w:type="dxa"/>
          <w:trHeight w:val="567"/>
        </w:trPr>
        <w:tc>
          <w:tcPr>
            <w:tcW w:w="2471" w:type="dxa"/>
            <w:shd w:val="clear" w:color="auto" w:fill="FFFFCC"/>
            <w:noWrap/>
            <w:vAlign w:val="center"/>
            <w:hideMark/>
          </w:tcPr>
          <w:p w14:paraId="3B08438C"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12.1. User needs</w:t>
            </w:r>
          </w:p>
        </w:tc>
        <w:tc>
          <w:tcPr>
            <w:tcW w:w="7872" w:type="dxa"/>
          </w:tcPr>
          <w:p w14:paraId="50B23828" w14:textId="77777777" w:rsidR="00D200AA" w:rsidRPr="00606E27" w:rsidRDefault="00D200AA" w:rsidP="00D200AA">
            <w:pPr>
              <w:spacing w:before="30" w:after="30" w:line="240" w:lineRule="auto"/>
              <w:jc w:val="both"/>
              <w:rPr>
                <w:rFonts w:ascii="Times New Roman" w:eastAsia="Times New Roman" w:hAnsi="Times New Roman" w:cs="Times New Roman"/>
                <w:lang w:val="en-GB" w:eastAsia="en-GB"/>
              </w:rPr>
            </w:pPr>
            <w:r w:rsidRPr="00606E27">
              <w:rPr>
                <w:rFonts w:ascii="Times New Roman" w:eastAsia="Times New Roman" w:hAnsi="Times New Roman" w:cs="Times New Roman"/>
                <w:lang w:val="en-GB" w:eastAsia="en-GB"/>
              </w:rPr>
              <w:t>With some exceptions the dataset for user needs is complete. Frequency and moment of the statistical releases coincide with the frequency and moment of publication of the economic analyses and reports produced by other departments in Bank of Albania and national accounts departments in Institute of Statistics.</w:t>
            </w:r>
          </w:p>
          <w:p w14:paraId="602125E1" w14:textId="77777777" w:rsidR="00D200AA" w:rsidRPr="00606E27" w:rsidRDefault="00D200AA" w:rsidP="00D200AA">
            <w:pPr>
              <w:spacing w:before="30" w:after="30" w:line="240" w:lineRule="auto"/>
              <w:jc w:val="both"/>
              <w:rPr>
                <w:rFonts w:ascii="Times New Roman" w:eastAsia="Times New Roman" w:hAnsi="Times New Roman" w:cs="Times New Roman"/>
                <w:lang w:val="en-GB" w:eastAsia="en-GB"/>
              </w:rPr>
            </w:pPr>
            <w:r w:rsidRPr="00606E27">
              <w:rPr>
                <w:rFonts w:ascii="Times New Roman" w:eastAsia="Times New Roman" w:hAnsi="Times New Roman" w:cs="Times New Roman"/>
                <w:lang w:val="en-GB" w:eastAsia="en-GB"/>
              </w:rPr>
              <w:lastRenderedPageBreak/>
              <w:t>The Bank of Albania publishes Direct Investment statistics by immediate partner country. However, the immediate partner country is not always the ultimate investing country, as investments may be routed through financial centers. This distinction is important for the correct interpretation of the data and for improving transparency.</w:t>
            </w:r>
          </w:p>
          <w:p w14:paraId="4714143F" w14:textId="72B71049" w:rsidR="00555F42" w:rsidRPr="00606E27" w:rsidRDefault="00D200AA" w:rsidP="00D200AA">
            <w:pPr>
              <w:spacing w:before="30" w:after="30" w:line="240" w:lineRule="auto"/>
              <w:jc w:val="both"/>
              <w:rPr>
                <w:rFonts w:ascii="Times New Roman" w:eastAsia="Times New Roman" w:hAnsi="Times New Roman" w:cs="Times New Roman"/>
                <w:lang w:val="en-GB" w:eastAsia="en-GB"/>
              </w:rPr>
            </w:pPr>
            <w:r w:rsidRPr="00606E27">
              <w:rPr>
                <w:rFonts w:ascii="Times New Roman" w:eastAsia="Times New Roman" w:hAnsi="Times New Roman" w:cs="Times New Roman"/>
                <w:lang w:val="en-GB" w:eastAsia="en-GB"/>
              </w:rPr>
              <w:t>FDI statistics by partner country are highly relevant, as they provide insight into who invests, where investments originate, and the risks and opportunities arising from these cross-border relationships.</w:t>
            </w:r>
          </w:p>
        </w:tc>
      </w:tr>
      <w:tr w:rsidR="00555F42" w:rsidRPr="00493D72" w14:paraId="4299AE57" w14:textId="77777777" w:rsidTr="00BB1DFF">
        <w:trPr>
          <w:gridAfter w:val="1"/>
          <w:wAfter w:w="851" w:type="dxa"/>
          <w:trHeight w:val="567"/>
        </w:trPr>
        <w:tc>
          <w:tcPr>
            <w:tcW w:w="2471" w:type="dxa"/>
            <w:shd w:val="clear" w:color="auto" w:fill="FFFFCC"/>
            <w:noWrap/>
            <w:vAlign w:val="center"/>
            <w:hideMark/>
          </w:tcPr>
          <w:p w14:paraId="4E638BA4" w14:textId="77777777" w:rsidR="00555F42" w:rsidRPr="00493D72" w:rsidRDefault="00555F42" w:rsidP="00555F4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12.2. User satisfaction</w:t>
            </w:r>
          </w:p>
        </w:tc>
        <w:tc>
          <w:tcPr>
            <w:tcW w:w="7872" w:type="dxa"/>
            <w:noWrap/>
          </w:tcPr>
          <w:p w14:paraId="5BF0DEA1" w14:textId="50D926A3" w:rsidR="00555F42" w:rsidRPr="0023235F" w:rsidRDefault="00F4539A" w:rsidP="00DE34D2">
            <w:pPr>
              <w:spacing w:before="240" w:after="240" w:line="240" w:lineRule="auto"/>
              <w:ind w:right="85"/>
              <w:rPr>
                <w:rFonts w:ascii="Times New Roman" w:eastAsia="Times New Roman" w:hAnsi="Times New Roman" w:cs="Times New Roman"/>
                <w:sz w:val="24"/>
                <w:szCs w:val="24"/>
                <w:lang w:val="en-GB" w:eastAsia="en-GB"/>
              </w:rPr>
            </w:pPr>
            <w:r w:rsidRPr="00394120">
              <w:rPr>
                <w:rFonts w:ascii="Times New Roman" w:eastAsia="Times New Roman" w:hAnsi="Times New Roman" w:cs="Times New Roman"/>
                <w:lang w:val="en-GB" w:eastAsia="en-GB"/>
              </w:rPr>
              <w:t>Not available</w:t>
            </w:r>
          </w:p>
        </w:tc>
      </w:tr>
      <w:tr w:rsidR="00D77562" w:rsidRPr="00493D72" w14:paraId="26699329" w14:textId="77777777" w:rsidTr="00A472B8">
        <w:trPr>
          <w:gridAfter w:val="1"/>
          <w:wAfter w:w="851" w:type="dxa"/>
          <w:trHeight w:val="567"/>
        </w:trPr>
        <w:tc>
          <w:tcPr>
            <w:tcW w:w="2471" w:type="dxa"/>
            <w:shd w:val="clear" w:color="auto" w:fill="FFFFCC"/>
            <w:noWrap/>
            <w:vAlign w:val="center"/>
            <w:hideMark/>
          </w:tcPr>
          <w:p w14:paraId="1CC21002"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12.3. Completeness</w:t>
            </w:r>
          </w:p>
        </w:tc>
        <w:tc>
          <w:tcPr>
            <w:tcW w:w="7872" w:type="dxa"/>
            <w:noWrap/>
          </w:tcPr>
          <w:p w14:paraId="5BECCC61" w14:textId="4643E4BA" w:rsidR="00D77562" w:rsidRPr="00D52092" w:rsidRDefault="00D200AA" w:rsidP="00D52092">
            <w:pPr>
              <w:spacing w:before="30" w:after="30"/>
              <w:jc w:val="both"/>
              <w:rPr>
                <w:rFonts w:ascii="Times New Roman" w:eastAsia="Times New Roman" w:hAnsi="Times New Roman" w:cs="Times New Roman"/>
                <w:lang w:val="en-GB" w:eastAsia="en-GB"/>
              </w:rPr>
            </w:pPr>
            <w:r w:rsidRPr="00D200AA">
              <w:rPr>
                <w:rFonts w:ascii="Times New Roman" w:eastAsia="Times New Roman" w:hAnsi="Times New Roman" w:cs="Times New Roman"/>
                <w:lang w:val="en-GB" w:eastAsia="en-GB"/>
              </w:rPr>
              <w:t>Publication and delivery of data, the value of the completeness indicator amounts almost all the required cells to be provided to Eurostat (over the last three years, direct investment data have been assessed as highly compliant with Eurostat requirements). Implementation of the new software applications on the compilation of production and dissemination process of external sector statistics provided data on the quarterly, geographical and activity breakdown of DI.</w:t>
            </w:r>
          </w:p>
        </w:tc>
      </w:tr>
      <w:tr w:rsidR="00555F42" w:rsidRPr="00493D72" w14:paraId="071DF247" w14:textId="77777777" w:rsidTr="005B7ED2">
        <w:trPr>
          <w:gridAfter w:val="1"/>
          <w:wAfter w:w="851" w:type="dxa"/>
          <w:trHeight w:val="567"/>
        </w:trPr>
        <w:tc>
          <w:tcPr>
            <w:tcW w:w="10343" w:type="dxa"/>
            <w:gridSpan w:val="2"/>
            <w:shd w:val="clear" w:color="auto" w:fill="C5E0B3" w:themeFill="accent6" w:themeFillTint="66"/>
            <w:noWrap/>
            <w:vAlign w:val="center"/>
          </w:tcPr>
          <w:p w14:paraId="3B3F5147" w14:textId="14466E6F" w:rsidR="00555F42" w:rsidRPr="00493D72" w:rsidRDefault="00BC0FF9" w:rsidP="00555F42">
            <w:pPr>
              <w:pStyle w:val="Heading1"/>
              <w:spacing w:before="0"/>
              <w:rPr>
                <w:rFonts w:ascii="Times New Roman" w:eastAsia="Times New Roman" w:hAnsi="Times New Roman" w:cs="Times New Roman"/>
                <w:b w:val="0"/>
                <w:bCs w:val="0"/>
                <w:noProof/>
                <w:color w:val="000000"/>
                <w:sz w:val="24"/>
                <w:szCs w:val="24"/>
                <w:lang w:val="sq-AL" w:eastAsia="sq-AL"/>
              </w:rPr>
            </w:pPr>
            <w:bookmarkStart w:id="12" w:name="_Toc222230607"/>
            <w:r w:rsidRPr="00BC0FF9">
              <w:rPr>
                <w:rFonts w:ascii="Times New Roman" w:eastAsia="Times New Roman" w:hAnsi="Times New Roman" w:cs="Times New Roman"/>
                <w:noProof/>
                <w:color w:val="000000" w:themeColor="text1"/>
                <w:sz w:val="24"/>
                <w:szCs w:val="24"/>
                <w:lang w:val="sq-AL" w:eastAsia="sq-AL"/>
              </w:rPr>
              <w:t>13. Accuracy and reliability</w:t>
            </w:r>
            <w:bookmarkEnd w:id="12"/>
          </w:p>
        </w:tc>
      </w:tr>
      <w:tr w:rsidR="00D77562" w:rsidRPr="00493D72" w14:paraId="24FF5573" w14:textId="77777777" w:rsidTr="00BB1DFF">
        <w:trPr>
          <w:gridAfter w:val="1"/>
          <w:wAfter w:w="851" w:type="dxa"/>
          <w:trHeight w:val="567"/>
        </w:trPr>
        <w:tc>
          <w:tcPr>
            <w:tcW w:w="2471" w:type="dxa"/>
            <w:shd w:val="clear" w:color="auto" w:fill="FFFFCC"/>
            <w:noWrap/>
            <w:vAlign w:val="center"/>
            <w:hideMark/>
          </w:tcPr>
          <w:p w14:paraId="22E44D56"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13.1. Overall accuracy</w:t>
            </w:r>
          </w:p>
        </w:tc>
        <w:tc>
          <w:tcPr>
            <w:tcW w:w="7872" w:type="dxa"/>
          </w:tcPr>
          <w:p w14:paraId="010EB9EE" w14:textId="77777777" w:rsidR="002E4042" w:rsidRDefault="00D200AA" w:rsidP="00D200AA">
            <w:pPr>
              <w:spacing w:after="240" w:line="240" w:lineRule="auto"/>
              <w:ind w:right="85"/>
              <w:jc w:val="both"/>
              <w:rPr>
                <w:rFonts w:ascii="Times New Roman" w:hAnsi="Times New Roman" w:cs="Times New Roman"/>
                <w:lang w:eastAsia="nl-NL"/>
              </w:rPr>
            </w:pPr>
            <w:r w:rsidRPr="00D200AA">
              <w:rPr>
                <w:rFonts w:ascii="Times New Roman" w:hAnsi="Times New Roman" w:cs="Times New Roman"/>
                <w:lang w:eastAsia="nl-NL"/>
              </w:rPr>
              <w:t>Accuracy refers to the closeness of estimates to the unknown true values. This component of quality is measured looking at the stability of the data that can be assessed looking at the size of the revisions. It is assumed that each revision takes the dataset closer to the true value.</w:t>
            </w:r>
          </w:p>
          <w:p w14:paraId="043572AF" w14:textId="38BB35E1" w:rsidR="00D200AA" w:rsidRDefault="00D200AA" w:rsidP="00D200AA">
            <w:pPr>
              <w:spacing w:after="240" w:line="240" w:lineRule="auto"/>
              <w:ind w:right="85"/>
              <w:jc w:val="both"/>
              <w:rPr>
                <w:rFonts w:ascii="Times New Roman" w:hAnsi="Times New Roman" w:cs="Times New Roman"/>
                <w:lang w:eastAsia="nl-NL"/>
              </w:rPr>
            </w:pPr>
            <w:r w:rsidRPr="00D200AA">
              <w:rPr>
                <w:rFonts w:ascii="Times New Roman" w:hAnsi="Times New Roman" w:cs="Times New Roman"/>
                <w:lang w:eastAsia="nl-NL"/>
              </w:rPr>
              <w:t>Revisions do not mean that ‘errors’ have been made or that the quality of the data has been deteriorating over time. On the contrary, revisions are made when new data sources and better information become available and thus result in more accurate observations. A well established and publicly communicated revisions policy is a sign of the strength of the statistical system in question.</w:t>
            </w:r>
          </w:p>
          <w:p w14:paraId="06A2C7B7" w14:textId="3F463A40" w:rsidR="00D200AA" w:rsidRPr="00D200AA" w:rsidRDefault="00D200AA" w:rsidP="00D200AA">
            <w:pPr>
              <w:spacing w:after="240" w:line="240" w:lineRule="auto"/>
              <w:ind w:right="85"/>
              <w:jc w:val="both"/>
              <w:rPr>
                <w:rFonts w:ascii="Times New Roman" w:hAnsi="Times New Roman" w:cs="Times New Roman"/>
                <w:lang w:eastAsia="nl-NL"/>
              </w:rPr>
            </w:pPr>
            <w:r w:rsidRPr="00D200AA">
              <w:rPr>
                <w:rFonts w:ascii="Times New Roman" w:hAnsi="Times New Roman" w:cs="Times New Roman"/>
                <w:lang w:eastAsia="nl-NL"/>
              </w:rPr>
              <w:t xml:space="preserve">The size of revisions is, however, a measure of the quality of the first release of a specific dataset, compared with the latest vintage made available. There is a trade-off between timeliness and size of revisions: the earlier the first release of a dataset takes place, the higher the revisions that can be expected as later vintages of the same dataset are released. </w:t>
            </w:r>
          </w:p>
          <w:p w14:paraId="2DD475C0" w14:textId="77777777" w:rsidR="00D200AA" w:rsidRPr="00D200AA" w:rsidRDefault="00D200AA" w:rsidP="00D200AA">
            <w:pPr>
              <w:spacing w:after="240" w:line="240" w:lineRule="auto"/>
              <w:ind w:right="85"/>
              <w:jc w:val="both"/>
              <w:rPr>
                <w:rFonts w:ascii="Times New Roman" w:hAnsi="Times New Roman" w:cs="Times New Roman"/>
                <w:lang w:eastAsia="nl-NL"/>
              </w:rPr>
            </w:pPr>
            <w:r w:rsidRPr="00D200AA">
              <w:rPr>
                <w:rFonts w:ascii="Times New Roman" w:hAnsi="Times New Roman" w:cs="Times New Roman"/>
                <w:lang w:eastAsia="nl-NL"/>
              </w:rPr>
              <w:t>Revision is compiled for DI key aggregates as part of the regular quality monitoring process. These are used to assess the stability of estimates over time and to analyse the pattern and magnitude of revisions between first releases and subsequent vintages.</w:t>
            </w:r>
          </w:p>
          <w:p w14:paraId="4AB60F0C" w14:textId="77777777" w:rsidR="00D200AA" w:rsidRPr="00D200AA" w:rsidRDefault="00D200AA" w:rsidP="00D200AA">
            <w:pPr>
              <w:spacing w:after="240" w:line="240" w:lineRule="auto"/>
              <w:ind w:right="85"/>
              <w:jc w:val="both"/>
              <w:rPr>
                <w:rFonts w:ascii="Times New Roman" w:hAnsi="Times New Roman" w:cs="Times New Roman"/>
                <w:lang w:eastAsia="nl-NL"/>
              </w:rPr>
            </w:pPr>
            <w:r w:rsidRPr="00D200AA">
              <w:rPr>
                <w:rFonts w:ascii="Times New Roman" w:hAnsi="Times New Roman" w:cs="Times New Roman"/>
                <w:lang w:eastAsia="nl-NL"/>
              </w:rPr>
              <w:t>In general, revisions to DI aggregates are moderate and tend to reflect the incorporation of more complete and higher-quality data, such as financial statements, and revised reporting from enterprises. Larger revisions may occasionally occur, particularly for reinvested earnings or intercompany lending, where initial quarterly estimates rely more heavily on partial information or estimation methods.</w:t>
            </w:r>
          </w:p>
          <w:p w14:paraId="2B7790EB" w14:textId="7A22C2D1" w:rsidR="00D77562" w:rsidRPr="00F56CBD" w:rsidRDefault="00D200AA" w:rsidP="00D200AA">
            <w:pPr>
              <w:spacing w:after="240" w:line="240" w:lineRule="auto"/>
              <w:ind w:right="85"/>
              <w:jc w:val="both"/>
              <w:rPr>
                <w:rFonts w:ascii="Times New Roman" w:hAnsi="Times New Roman" w:cs="Times New Roman"/>
                <w:lang w:eastAsia="nl-NL"/>
              </w:rPr>
            </w:pPr>
            <w:r w:rsidRPr="00D200AA">
              <w:rPr>
                <w:rFonts w:ascii="Times New Roman" w:hAnsi="Times New Roman" w:cs="Times New Roman"/>
                <w:lang w:eastAsia="nl-NL"/>
              </w:rPr>
              <w:t xml:space="preserve">Regarding the quality of quarterly versus annual data, quarterly estimates are typically based on a combination of direct reporting and short-term estimation techniques and are therefore more prone to revisions. Annual data, on the other hand, </w:t>
            </w:r>
            <w:r w:rsidR="00606E27" w:rsidRPr="00D200AA">
              <w:rPr>
                <w:rFonts w:ascii="Times New Roman" w:hAnsi="Times New Roman" w:cs="Times New Roman"/>
                <w:lang w:eastAsia="nl-NL"/>
              </w:rPr>
              <w:t>benefits</w:t>
            </w:r>
            <w:r w:rsidRPr="00D200AA">
              <w:rPr>
                <w:rFonts w:ascii="Times New Roman" w:hAnsi="Times New Roman" w:cs="Times New Roman"/>
                <w:lang w:eastAsia="nl-NL"/>
              </w:rPr>
              <w:t xml:space="preserve"> from more comprehensive sources and validation processes, and is considered more robust. Over time, quarterly data is aligned with annual results, which improves overall consistency and reliability.</w:t>
            </w:r>
          </w:p>
        </w:tc>
      </w:tr>
      <w:tr w:rsidR="00D77562" w:rsidRPr="00493D72" w14:paraId="34D121D2" w14:textId="77777777" w:rsidTr="00BB1DFF">
        <w:trPr>
          <w:gridAfter w:val="1"/>
          <w:wAfter w:w="851" w:type="dxa"/>
          <w:trHeight w:val="567"/>
        </w:trPr>
        <w:tc>
          <w:tcPr>
            <w:tcW w:w="2471" w:type="dxa"/>
            <w:shd w:val="clear" w:color="auto" w:fill="FFFFCC"/>
            <w:noWrap/>
            <w:vAlign w:val="center"/>
            <w:hideMark/>
          </w:tcPr>
          <w:p w14:paraId="727DDA97"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13.2. Sampling error</w:t>
            </w:r>
          </w:p>
        </w:tc>
        <w:tc>
          <w:tcPr>
            <w:tcW w:w="7872" w:type="dxa"/>
          </w:tcPr>
          <w:p w14:paraId="6137CD70" w14:textId="2CE8072D" w:rsidR="00D77562" w:rsidRPr="00FF27AD" w:rsidRDefault="00F4539A" w:rsidP="00FF27AD">
            <w:pPr>
              <w:spacing w:before="30" w:after="30" w:line="24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Not applicable</w:t>
            </w:r>
          </w:p>
        </w:tc>
      </w:tr>
      <w:tr w:rsidR="00D77562" w:rsidRPr="00493D72" w14:paraId="55138E45" w14:textId="77777777" w:rsidTr="00BB1DFF">
        <w:trPr>
          <w:gridAfter w:val="1"/>
          <w:wAfter w:w="851" w:type="dxa"/>
          <w:trHeight w:val="567"/>
        </w:trPr>
        <w:tc>
          <w:tcPr>
            <w:tcW w:w="2471" w:type="dxa"/>
            <w:shd w:val="clear" w:color="auto" w:fill="FFFFCC"/>
            <w:noWrap/>
            <w:vAlign w:val="center"/>
            <w:hideMark/>
          </w:tcPr>
          <w:p w14:paraId="560B50DA"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13.3. Non - sampling error</w:t>
            </w:r>
          </w:p>
        </w:tc>
        <w:tc>
          <w:tcPr>
            <w:tcW w:w="7872" w:type="dxa"/>
          </w:tcPr>
          <w:p w14:paraId="748640BD" w14:textId="77777777" w:rsidR="00D200AA" w:rsidRPr="00D200AA" w:rsidRDefault="00D200AA" w:rsidP="00D200AA">
            <w:pPr>
              <w:spacing w:before="30" w:after="30" w:line="240" w:lineRule="auto"/>
              <w:rPr>
                <w:rFonts w:ascii="Times New Roman" w:eastAsia="Times New Roman" w:hAnsi="Times New Roman" w:cs="Times New Roman"/>
                <w:lang w:val="en-GB" w:eastAsia="en-GB"/>
              </w:rPr>
            </w:pPr>
            <w:r w:rsidRPr="00D200AA">
              <w:rPr>
                <w:rFonts w:ascii="Times New Roman" w:eastAsia="Times New Roman" w:hAnsi="Times New Roman" w:cs="Times New Roman"/>
                <w:lang w:val="en-GB" w:eastAsia="en-GB"/>
              </w:rPr>
              <w:t>Imputation</w:t>
            </w:r>
          </w:p>
          <w:p w14:paraId="0B2993B0" w14:textId="5D6E93AF" w:rsidR="00D77562" w:rsidRPr="0023235F" w:rsidRDefault="00D200AA" w:rsidP="00D200AA">
            <w:pPr>
              <w:spacing w:before="30" w:after="30" w:line="240" w:lineRule="auto"/>
              <w:jc w:val="both"/>
              <w:rPr>
                <w:sz w:val="24"/>
                <w:lang w:val="en-GB"/>
              </w:rPr>
            </w:pPr>
            <w:r w:rsidRPr="00D200AA">
              <w:rPr>
                <w:rFonts w:ascii="Times New Roman" w:eastAsia="Times New Roman" w:hAnsi="Times New Roman" w:cs="Times New Roman"/>
                <w:lang w:val="en-GB" w:eastAsia="en-GB"/>
              </w:rPr>
              <w:lastRenderedPageBreak/>
              <w:t>Bank of Albania imputes direct investment data (reinvested earnings, dividends) based on monthly, quarterly, and annual administrative data from General Directory of Taxes.</w:t>
            </w:r>
          </w:p>
        </w:tc>
      </w:tr>
      <w:tr w:rsidR="00D77562" w:rsidRPr="00493D72" w14:paraId="11798921" w14:textId="77777777" w:rsidTr="005B7ED2">
        <w:trPr>
          <w:gridAfter w:val="1"/>
          <w:wAfter w:w="851" w:type="dxa"/>
          <w:trHeight w:val="567"/>
        </w:trPr>
        <w:tc>
          <w:tcPr>
            <w:tcW w:w="10343" w:type="dxa"/>
            <w:gridSpan w:val="2"/>
            <w:shd w:val="clear" w:color="auto" w:fill="C5E0B3" w:themeFill="accent6" w:themeFillTint="66"/>
            <w:noWrap/>
            <w:vAlign w:val="center"/>
          </w:tcPr>
          <w:p w14:paraId="6A45C3E8" w14:textId="159D68E3" w:rsidR="00D77562" w:rsidRPr="00493D72" w:rsidRDefault="00D77562" w:rsidP="00D77562">
            <w:pPr>
              <w:pStyle w:val="Heading1"/>
              <w:spacing w:before="0"/>
              <w:rPr>
                <w:rFonts w:ascii="Times New Roman" w:eastAsia="Times New Roman" w:hAnsi="Times New Roman" w:cs="Times New Roman"/>
                <w:b w:val="0"/>
                <w:bCs w:val="0"/>
                <w:noProof/>
                <w:color w:val="000000" w:themeColor="text1"/>
                <w:sz w:val="24"/>
                <w:szCs w:val="24"/>
                <w:lang w:val="sq-AL" w:eastAsia="sq-AL"/>
              </w:rPr>
            </w:pPr>
          </w:p>
        </w:tc>
      </w:tr>
      <w:tr w:rsidR="00D77562" w:rsidRPr="00493D72" w14:paraId="7E316357" w14:textId="77777777" w:rsidTr="00BB1DFF">
        <w:trPr>
          <w:gridAfter w:val="1"/>
          <w:wAfter w:w="851" w:type="dxa"/>
          <w:trHeight w:val="567"/>
        </w:trPr>
        <w:tc>
          <w:tcPr>
            <w:tcW w:w="2471" w:type="dxa"/>
            <w:shd w:val="clear" w:color="auto" w:fill="FFFFCC"/>
            <w:noWrap/>
            <w:vAlign w:val="center"/>
            <w:hideMark/>
          </w:tcPr>
          <w:p w14:paraId="7E8E7566" w14:textId="77777777" w:rsidR="00D77562" w:rsidRPr="00493D72" w:rsidRDefault="00D77562" w:rsidP="00D77562">
            <w:pPr>
              <w:spacing w:after="0"/>
              <w:rPr>
                <w:rFonts w:ascii="Times New Roman" w:eastAsia="Times New Roman" w:hAnsi="Times New Roman" w:cs="Times New Roman"/>
                <w:noProof/>
                <w:color w:val="000000" w:themeColor="text1"/>
                <w:sz w:val="24"/>
                <w:szCs w:val="24"/>
                <w:lang w:val="sq-AL" w:eastAsia="sq-AL"/>
              </w:rPr>
            </w:pPr>
            <w:r w:rsidRPr="00493D72">
              <w:rPr>
                <w:rFonts w:ascii="Times New Roman" w:eastAsia="Times New Roman" w:hAnsi="Times New Roman" w:cs="Times New Roman"/>
                <w:noProof/>
                <w:color w:val="000000" w:themeColor="text1"/>
                <w:sz w:val="24"/>
                <w:szCs w:val="24"/>
                <w:lang w:val="sq-AL" w:eastAsia="sq-AL"/>
              </w:rPr>
              <w:t>14.1. Timeliness</w:t>
            </w:r>
          </w:p>
        </w:tc>
        <w:tc>
          <w:tcPr>
            <w:tcW w:w="7872" w:type="dxa"/>
            <w:vAlign w:val="center"/>
          </w:tcPr>
          <w:p w14:paraId="295CE246" w14:textId="77777777" w:rsidR="00D200AA" w:rsidRPr="00725A12" w:rsidRDefault="00D200AA" w:rsidP="00D200AA">
            <w:pPr>
              <w:spacing w:before="30" w:after="30"/>
              <w:jc w:val="both"/>
              <w:rPr>
                <w:rFonts w:ascii="Times New Roman" w:eastAsia="Times New Roman" w:hAnsi="Times New Roman" w:cs="Times New Roman"/>
                <w:lang w:val="en-GB" w:eastAsia="en-GB"/>
              </w:rPr>
            </w:pPr>
            <w:r w:rsidRPr="00725A12">
              <w:rPr>
                <w:rFonts w:ascii="Times New Roman" w:eastAsia="Times New Roman" w:hAnsi="Times New Roman" w:cs="Times New Roman"/>
                <w:lang w:val="en-GB" w:eastAsia="en-GB"/>
              </w:rPr>
              <w:t xml:space="preserve">The Regulation (EC) No 184/2005 defines the clear timeliness requirements and sets the deadlines for the data transmission to Eurostat. </w:t>
            </w:r>
          </w:p>
          <w:p w14:paraId="6B6169A0" w14:textId="7DF8C910" w:rsidR="00D200AA" w:rsidRPr="00725A12" w:rsidRDefault="00D200AA" w:rsidP="00D200AA">
            <w:pPr>
              <w:spacing w:before="30" w:after="30"/>
              <w:jc w:val="both"/>
              <w:rPr>
                <w:rFonts w:ascii="Times New Roman" w:eastAsia="Times New Roman" w:hAnsi="Times New Roman" w:cs="Times New Roman"/>
                <w:lang w:val="en-GB" w:eastAsia="en-GB"/>
              </w:rPr>
            </w:pPr>
            <w:r w:rsidRPr="00725A12">
              <w:rPr>
                <w:rFonts w:ascii="Times New Roman" w:eastAsia="Times New Roman" w:hAnsi="Times New Roman" w:cs="Times New Roman"/>
                <w:lang w:val="en-GB" w:eastAsia="en-GB"/>
              </w:rPr>
              <w:t xml:space="preserve">Foreign direct investment data are transmitted annually within 9 </w:t>
            </w:r>
            <w:r w:rsidR="00E87269" w:rsidRPr="00725A12">
              <w:rPr>
                <w:rFonts w:ascii="Times New Roman" w:eastAsia="Times New Roman" w:hAnsi="Times New Roman" w:cs="Times New Roman"/>
                <w:lang w:val="en-GB" w:eastAsia="en-GB"/>
              </w:rPr>
              <w:t>months of</w:t>
            </w:r>
            <w:r w:rsidRPr="00725A12">
              <w:rPr>
                <w:rFonts w:ascii="Times New Roman" w:eastAsia="Times New Roman" w:hAnsi="Times New Roman" w:cs="Times New Roman"/>
                <w:lang w:val="en-GB" w:eastAsia="en-GB"/>
              </w:rPr>
              <w:t xml:space="preserve"> delay after the reference period.</w:t>
            </w:r>
          </w:p>
          <w:p w14:paraId="131E02EF" w14:textId="49B949E0" w:rsidR="00D200AA" w:rsidRPr="00725A12" w:rsidRDefault="00D200AA" w:rsidP="00D200AA">
            <w:pPr>
              <w:spacing w:after="120" w:line="259" w:lineRule="auto"/>
              <w:jc w:val="both"/>
              <w:rPr>
                <w:rFonts w:ascii="Times New Roman" w:eastAsia="Times New Roman" w:hAnsi="Times New Roman" w:cs="Times New Roman"/>
                <w:lang w:val="en-GB" w:eastAsia="en-GB"/>
              </w:rPr>
            </w:pPr>
            <w:r w:rsidRPr="00725A12">
              <w:rPr>
                <w:rFonts w:ascii="Times New Roman" w:eastAsia="Times New Roman" w:hAnsi="Times New Roman" w:cs="Times New Roman"/>
                <w:i/>
                <w:iCs/>
                <w:lang w:val="en-GB" w:eastAsia="en-GB"/>
              </w:rPr>
              <w:t>First results:</w:t>
            </w:r>
            <w:r w:rsidRPr="00725A12">
              <w:rPr>
                <w:rFonts w:ascii="Times New Roman" w:eastAsia="Times New Roman" w:hAnsi="Times New Roman" w:cs="Times New Roman"/>
                <w:lang w:val="en-GB" w:eastAsia="en-GB"/>
              </w:rPr>
              <w:t xml:space="preserve"> Preparation of international investment positions data results from several stages: collection, compilation, validation and publication. The following table shows deadlines for each stage: </w:t>
            </w:r>
          </w:p>
          <w:tbl>
            <w:tblPr>
              <w:tblStyle w:val="TableGrid2"/>
              <w:tblW w:w="7637" w:type="dxa"/>
              <w:tblLook w:val="04A0" w:firstRow="1" w:lastRow="0" w:firstColumn="1" w:lastColumn="0" w:noHBand="0" w:noVBand="1"/>
            </w:tblPr>
            <w:tblGrid>
              <w:gridCol w:w="1645"/>
              <w:gridCol w:w="1350"/>
              <w:gridCol w:w="1530"/>
              <w:gridCol w:w="1440"/>
              <w:gridCol w:w="1672"/>
            </w:tblGrid>
            <w:tr w:rsidR="00D200AA" w:rsidRPr="00BE09D9" w14:paraId="6A39262E" w14:textId="77777777" w:rsidTr="00D200AA">
              <w:trPr>
                <w:trHeight w:val="825"/>
              </w:trPr>
              <w:tc>
                <w:tcPr>
                  <w:tcW w:w="1645" w:type="dxa"/>
                  <w:tcBorders>
                    <w:top w:val="single" w:sz="4" w:space="0" w:color="auto"/>
                    <w:left w:val="single" w:sz="4" w:space="0" w:color="auto"/>
                    <w:bottom w:val="single" w:sz="4" w:space="0" w:color="auto"/>
                    <w:right w:val="single" w:sz="4" w:space="0" w:color="auto"/>
                  </w:tcBorders>
                  <w:hideMark/>
                </w:tcPr>
                <w:p w14:paraId="01633C35" w14:textId="77777777" w:rsidR="00D200AA" w:rsidRPr="00D200AA" w:rsidRDefault="00D200AA" w:rsidP="00D200AA">
                  <w:pPr>
                    <w:rPr>
                      <w:rFonts w:ascii="Times New Roman" w:hAnsi="Times New Roman"/>
                    </w:rPr>
                  </w:pPr>
                  <w:r w:rsidRPr="00D200AA">
                    <w:rPr>
                      <w:rFonts w:ascii="Times New Roman" w:hAnsi="Times New Roman"/>
                    </w:rPr>
                    <w:t>Description</w:t>
                  </w:r>
                </w:p>
              </w:tc>
              <w:tc>
                <w:tcPr>
                  <w:tcW w:w="1350" w:type="dxa"/>
                  <w:tcBorders>
                    <w:top w:val="single" w:sz="4" w:space="0" w:color="auto"/>
                    <w:left w:val="single" w:sz="4" w:space="0" w:color="auto"/>
                    <w:bottom w:val="single" w:sz="4" w:space="0" w:color="auto"/>
                    <w:right w:val="single" w:sz="4" w:space="0" w:color="auto"/>
                  </w:tcBorders>
                  <w:hideMark/>
                </w:tcPr>
                <w:p w14:paraId="57096544" w14:textId="77777777" w:rsidR="00D200AA" w:rsidRPr="00D200AA" w:rsidRDefault="00D200AA" w:rsidP="00D200AA">
                  <w:pPr>
                    <w:rPr>
                      <w:rFonts w:ascii="Times New Roman" w:hAnsi="Times New Roman"/>
                    </w:rPr>
                  </w:pPr>
                  <w:r w:rsidRPr="00D200AA">
                    <w:rPr>
                      <w:rFonts w:ascii="Times New Roman" w:hAnsi="Times New Roman"/>
                    </w:rPr>
                    <w:t>Collection</w:t>
                  </w:r>
                </w:p>
              </w:tc>
              <w:tc>
                <w:tcPr>
                  <w:tcW w:w="1530" w:type="dxa"/>
                  <w:tcBorders>
                    <w:top w:val="single" w:sz="4" w:space="0" w:color="auto"/>
                    <w:left w:val="single" w:sz="4" w:space="0" w:color="auto"/>
                    <w:bottom w:val="single" w:sz="4" w:space="0" w:color="auto"/>
                    <w:right w:val="single" w:sz="4" w:space="0" w:color="auto"/>
                  </w:tcBorders>
                  <w:hideMark/>
                </w:tcPr>
                <w:p w14:paraId="1E7EBB65" w14:textId="77777777" w:rsidR="00D200AA" w:rsidRPr="00D200AA" w:rsidRDefault="00D200AA" w:rsidP="00D200AA">
                  <w:pPr>
                    <w:rPr>
                      <w:rFonts w:ascii="Times New Roman" w:hAnsi="Times New Roman"/>
                    </w:rPr>
                  </w:pPr>
                  <w:r w:rsidRPr="00D200AA">
                    <w:rPr>
                      <w:rFonts w:ascii="Times New Roman" w:hAnsi="Times New Roman"/>
                    </w:rPr>
                    <w:t>Compilation</w:t>
                  </w:r>
                </w:p>
              </w:tc>
              <w:tc>
                <w:tcPr>
                  <w:tcW w:w="1440" w:type="dxa"/>
                  <w:tcBorders>
                    <w:top w:val="single" w:sz="4" w:space="0" w:color="auto"/>
                    <w:left w:val="single" w:sz="4" w:space="0" w:color="auto"/>
                    <w:bottom w:val="single" w:sz="4" w:space="0" w:color="auto"/>
                    <w:right w:val="single" w:sz="4" w:space="0" w:color="auto"/>
                  </w:tcBorders>
                  <w:hideMark/>
                </w:tcPr>
                <w:p w14:paraId="7EE7E0E3" w14:textId="77777777" w:rsidR="00D200AA" w:rsidRPr="00D200AA" w:rsidRDefault="00D200AA" w:rsidP="00D200AA">
                  <w:pPr>
                    <w:rPr>
                      <w:rFonts w:ascii="Times New Roman" w:hAnsi="Times New Roman"/>
                    </w:rPr>
                  </w:pPr>
                  <w:r w:rsidRPr="00D200AA">
                    <w:rPr>
                      <w:rFonts w:ascii="Times New Roman" w:hAnsi="Times New Roman"/>
                    </w:rPr>
                    <w:t>Validation</w:t>
                  </w:r>
                </w:p>
              </w:tc>
              <w:tc>
                <w:tcPr>
                  <w:tcW w:w="1672" w:type="dxa"/>
                  <w:tcBorders>
                    <w:top w:val="single" w:sz="4" w:space="0" w:color="auto"/>
                    <w:left w:val="single" w:sz="4" w:space="0" w:color="auto"/>
                    <w:bottom w:val="single" w:sz="4" w:space="0" w:color="auto"/>
                    <w:right w:val="single" w:sz="4" w:space="0" w:color="auto"/>
                  </w:tcBorders>
                  <w:hideMark/>
                </w:tcPr>
                <w:p w14:paraId="20AB6472" w14:textId="77777777" w:rsidR="00D200AA" w:rsidRPr="00D200AA" w:rsidRDefault="00D200AA" w:rsidP="00D200AA">
                  <w:pPr>
                    <w:rPr>
                      <w:rFonts w:ascii="Times New Roman" w:hAnsi="Times New Roman"/>
                    </w:rPr>
                  </w:pPr>
                  <w:r w:rsidRPr="00D200AA">
                    <w:rPr>
                      <w:rFonts w:ascii="Times New Roman" w:hAnsi="Times New Roman"/>
                    </w:rPr>
                    <w:t>Publication</w:t>
                  </w:r>
                </w:p>
              </w:tc>
            </w:tr>
            <w:tr w:rsidR="00D200AA" w:rsidRPr="00BE09D9" w14:paraId="43612DD0" w14:textId="77777777" w:rsidTr="00D200AA">
              <w:trPr>
                <w:trHeight w:val="510"/>
              </w:trPr>
              <w:tc>
                <w:tcPr>
                  <w:tcW w:w="1645" w:type="dxa"/>
                  <w:tcBorders>
                    <w:top w:val="single" w:sz="4" w:space="0" w:color="auto"/>
                    <w:left w:val="single" w:sz="4" w:space="0" w:color="auto"/>
                    <w:bottom w:val="single" w:sz="4" w:space="0" w:color="auto"/>
                    <w:right w:val="single" w:sz="4" w:space="0" w:color="auto"/>
                  </w:tcBorders>
                  <w:vAlign w:val="center"/>
                  <w:hideMark/>
                </w:tcPr>
                <w:p w14:paraId="2D7A9877" w14:textId="77777777" w:rsidR="00D200AA" w:rsidRPr="00D200AA" w:rsidRDefault="00D200AA" w:rsidP="00D200AA">
                  <w:pPr>
                    <w:rPr>
                      <w:rFonts w:ascii="Times New Roman" w:hAnsi="Times New Roman"/>
                    </w:rPr>
                  </w:pPr>
                  <w:r w:rsidRPr="00D200AA">
                    <w:rPr>
                      <w:rFonts w:ascii="Times New Roman" w:hAnsi="Times New Roman"/>
                    </w:rPr>
                    <w:t>Foreign direct investment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37DA55" w14:textId="77777777" w:rsidR="00D200AA" w:rsidRPr="00D200AA" w:rsidRDefault="00D200AA" w:rsidP="00D200AA">
                  <w:pPr>
                    <w:rPr>
                      <w:rFonts w:ascii="Times New Roman" w:hAnsi="Times New Roman"/>
                    </w:rPr>
                  </w:pPr>
                  <w:r w:rsidRPr="00D200AA">
                    <w:rPr>
                      <w:rFonts w:ascii="Times New Roman" w:hAnsi="Times New Roman"/>
                    </w:rPr>
                    <w:t>t+30 days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0BFC533" w14:textId="77777777" w:rsidR="00D200AA" w:rsidRPr="00D200AA" w:rsidRDefault="00D200AA" w:rsidP="00D200AA">
                  <w:pPr>
                    <w:rPr>
                      <w:rFonts w:ascii="Times New Roman" w:hAnsi="Times New Roman"/>
                    </w:rPr>
                  </w:pPr>
                  <w:r w:rsidRPr="00D200AA">
                    <w:rPr>
                      <w:rFonts w:ascii="Times New Roman" w:hAnsi="Times New Roman"/>
                    </w:rPr>
                    <w:t>t+40 days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7FCF297" w14:textId="77777777" w:rsidR="00D200AA" w:rsidRPr="00D200AA" w:rsidRDefault="00D200AA" w:rsidP="00D200AA">
                  <w:pPr>
                    <w:rPr>
                      <w:rFonts w:ascii="Times New Roman" w:hAnsi="Times New Roman"/>
                    </w:rPr>
                  </w:pPr>
                  <w:r w:rsidRPr="00D200AA">
                    <w:rPr>
                      <w:rFonts w:ascii="Times New Roman" w:hAnsi="Times New Roman"/>
                    </w:rPr>
                    <w:t>t+60 days</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DF38C7B" w14:textId="77777777" w:rsidR="00D200AA" w:rsidRPr="00D200AA" w:rsidRDefault="00D200AA" w:rsidP="00D200AA">
                  <w:pPr>
                    <w:rPr>
                      <w:rFonts w:ascii="Times New Roman" w:hAnsi="Times New Roman"/>
                    </w:rPr>
                  </w:pPr>
                  <w:r w:rsidRPr="00D200AA">
                    <w:rPr>
                      <w:rFonts w:ascii="Times New Roman" w:hAnsi="Times New Roman"/>
                    </w:rPr>
                    <w:t>t+85 days</w:t>
                  </w:r>
                </w:p>
              </w:tc>
            </w:tr>
          </w:tbl>
          <w:p w14:paraId="02276A52" w14:textId="77777777" w:rsidR="00D200AA" w:rsidRPr="00725A12" w:rsidRDefault="00D200AA" w:rsidP="00D200AA">
            <w:pPr>
              <w:spacing w:after="120" w:line="259" w:lineRule="auto"/>
              <w:jc w:val="both"/>
              <w:rPr>
                <w:rFonts w:ascii="Times New Roman" w:hAnsi="Times New Roman" w:cs="Times New Roman"/>
                <w:i/>
                <w:iCs/>
              </w:rPr>
            </w:pPr>
            <w:r w:rsidRPr="00725A12">
              <w:rPr>
                <w:rFonts w:ascii="Times New Roman" w:hAnsi="Times New Roman" w:cs="Times New Roman"/>
                <w:i/>
                <w:iCs/>
              </w:rPr>
              <w:t>First results of quarterly data on foreign direct investment are published at t+85 days.</w:t>
            </w:r>
          </w:p>
          <w:tbl>
            <w:tblPr>
              <w:tblStyle w:val="TableGrid2"/>
              <w:tblW w:w="7641" w:type="dxa"/>
              <w:tblLook w:val="04A0" w:firstRow="1" w:lastRow="0" w:firstColumn="1" w:lastColumn="0" w:noHBand="0" w:noVBand="1"/>
            </w:tblPr>
            <w:tblGrid>
              <w:gridCol w:w="1645"/>
              <w:gridCol w:w="1350"/>
              <w:gridCol w:w="1530"/>
              <w:gridCol w:w="1380"/>
              <w:gridCol w:w="1736"/>
            </w:tblGrid>
            <w:tr w:rsidR="00D200AA" w:rsidRPr="00D200AA" w14:paraId="716B78E9" w14:textId="77777777" w:rsidTr="00D200AA">
              <w:trPr>
                <w:trHeight w:val="413"/>
              </w:trPr>
              <w:tc>
                <w:tcPr>
                  <w:tcW w:w="1645" w:type="dxa"/>
                  <w:tcBorders>
                    <w:top w:val="single" w:sz="4" w:space="0" w:color="auto"/>
                    <w:left w:val="single" w:sz="4" w:space="0" w:color="auto"/>
                    <w:bottom w:val="single" w:sz="4" w:space="0" w:color="auto"/>
                    <w:right w:val="single" w:sz="4" w:space="0" w:color="auto"/>
                  </w:tcBorders>
                  <w:hideMark/>
                </w:tcPr>
                <w:p w14:paraId="07047B5E" w14:textId="77777777" w:rsidR="00D200AA" w:rsidRPr="00D200AA" w:rsidRDefault="00D200AA" w:rsidP="00D200AA">
                  <w:pPr>
                    <w:rPr>
                      <w:rFonts w:ascii="Times New Roman" w:hAnsi="Times New Roman"/>
                    </w:rPr>
                  </w:pPr>
                  <w:r w:rsidRPr="00D200AA">
                    <w:rPr>
                      <w:rFonts w:ascii="Times New Roman" w:hAnsi="Times New Roman"/>
                    </w:rPr>
                    <w:t>Description</w:t>
                  </w:r>
                </w:p>
              </w:tc>
              <w:tc>
                <w:tcPr>
                  <w:tcW w:w="1350" w:type="dxa"/>
                  <w:tcBorders>
                    <w:top w:val="single" w:sz="4" w:space="0" w:color="auto"/>
                    <w:left w:val="single" w:sz="4" w:space="0" w:color="auto"/>
                    <w:bottom w:val="single" w:sz="4" w:space="0" w:color="auto"/>
                    <w:right w:val="single" w:sz="4" w:space="0" w:color="auto"/>
                  </w:tcBorders>
                  <w:hideMark/>
                </w:tcPr>
                <w:p w14:paraId="51FD72DB" w14:textId="77777777" w:rsidR="00D200AA" w:rsidRPr="00D200AA" w:rsidRDefault="00D200AA" w:rsidP="00D200AA">
                  <w:pPr>
                    <w:rPr>
                      <w:rFonts w:ascii="Times New Roman" w:hAnsi="Times New Roman"/>
                    </w:rPr>
                  </w:pPr>
                  <w:r w:rsidRPr="00D200AA">
                    <w:rPr>
                      <w:rFonts w:ascii="Times New Roman" w:hAnsi="Times New Roman"/>
                    </w:rPr>
                    <w:t>Collection</w:t>
                  </w:r>
                </w:p>
              </w:tc>
              <w:tc>
                <w:tcPr>
                  <w:tcW w:w="1530" w:type="dxa"/>
                  <w:tcBorders>
                    <w:top w:val="single" w:sz="4" w:space="0" w:color="auto"/>
                    <w:left w:val="single" w:sz="4" w:space="0" w:color="auto"/>
                    <w:bottom w:val="single" w:sz="4" w:space="0" w:color="auto"/>
                    <w:right w:val="single" w:sz="4" w:space="0" w:color="auto"/>
                  </w:tcBorders>
                  <w:hideMark/>
                </w:tcPr>
                <w:p w14:paraId="032C0DC2" w14:textId="77777777" w:rsidR="00D200AA" w:rsidRPr="00D200AA" w:rsidRDefault="00D200AA" w:rsidP="00D200AA">
                  <w:pPr>
                    <w:rPr>
                      <w:rFonts w:ascii="Times New Roman" w:hAnsi="Times New Roman"/>
                    </w:rPr>
                  </w:pPr>
                  <w:r w:rsidRPr="00D200AA">
                    <w:rPr>
                      <w:rFonts w:ascii="Times New Roman" w:hAnsi="Times New Roman"/>
                    </w:rPr>
                    <w:t>Revision of quarterly data</w:t>
                  </w:r>
                </w:p>
              </w:tc>
              <w:tc>
                <w:tcPr>
                  <w:tcW w:w="1380" w:type="dxa"/>
                  <w:tcBorders>
                    <w:top w:val="single" w:sz="4" w:space="0" w:color="auto"/>
                    <w:left w:val="single" w:sz="4" w:space="0" w:color="auto"/>
                    <w:bottom w:val="single" w:sz="4" w:space="0" w:color="auto"/>
                    <w:right w:val="single" w:sz="4" w:space="0" w:color="auto"/>
                  </w:tcBorders>
                  <w:hideMark/>
                </w:tcPr>
                <w:p w14:paraId="4C1888EB" w14:textId="77777777" w:rsidR="00D200AA" w:rsidRPr="00D200AA" w:rsidRDefault="00D200AA" w:rsidP="00D200AA">
                  <w:pPr>
                    <w:rPr>
                      <w:rFonts w:ascii="Times New Roman" w:hAnsi="Times New Roman"/>
                    </w:rPr>
                  </w:pPr>
                  <w:r w:rsidRPr="00D200AA">
                    <w:rPr>
                      <w:rFonts w:ascii="Times New Roman" w:hAnsi="Times New Roman"/>
                    </w:rPr>
                    <w:t>Validation</w:t>
                  </w:r>
                </w:p>
              </w:tc>
              <w:tc>
                <w:tcPr>
                  <w:tcW w:w="1736" w:type="dxa"/>
                  <w:tcBorders>
                    <w:top w:val="single" w:sz="4" w:space="0" w:color="auto"/>
                    <w:left w:val="single" w:sz="4" w:space="0" w:color="auto"/>
                    <w:bottom w:val="single" w:sz="4" w:space="0" w:color="auto"/>
                    <w:right w:val="single" w:sz="4" w:space="0" w:color="auto"/>
                  </w:tcBorders>
                  <w:hideMark/>
                </w:tcPr>
                <w:p w14:paraId="6449771D" w14:textId="1E35F485" w:rsidR="00D200AA" w:rsidRPr="00D200AA" w:rsidRDefault="00D200AA" w:rsidP="00D200AA">
                  <w:pPr>
                    <w:rPr>
                      <w:rFonts w:ascii="Times New Roman" w:hAnsi="Times New Roman"/>
                    </w:rPr>
                  </w:pPr>
                  <w:r w:rsidRPr="00D200AA">
                    <w:rPr>
                      <w:rFonts w:ascii="Times New Roman" w:hAnsi="Times New Roman"/>
                    </w:rPr>
                    <w:t>Transmission of data</w:t>
                  </w:r>
                  <w:r>
                    <w:rPr>
                      <w:rFonts w:ascii="Times New Roman" w:hAnsi="Times New Roman"/>
                    </w:rPr>
                    <w:t xml:space="preserve"> to Eurostat</w:t>
                  </w:r>
                </w:p>
              </w:tc>
            </w:tr>
            <w:tr w:rsidR="00D200AA" w:rsidRPr="00D200AA" w14:paraId="658A4E68" w14:textId="77777777" w:rsidTr="00D200AA">
              <w:trPr>
                <w:trHeight w:val="671"/>
              </w:trPr>
              <w:tc>
                <w:tcPr>
                  <w:tcW w:w="1645" w:type="dxa"/>
                  <w:tcBorders>
                    <w:top w:val="single" w:sz="4" w:space="0" w:color="auto"/>
                    <w:left w:val="single" w:sz="4" w:space="0" w:color="auto"/>
                    <w:bottom w:val="single" w:sz="4" w:space="0" w:color="auto"/>
                    <w:right w:val="single" w:sz="4" w:space="0" w:color="auto"/>
                  </w:tcBorders>
                  <w:vAlign w:val="center"/>
                  <w:hideMark/>
                </w:tcPr>
                <w:p w14:paraId="430A79A1" w14:textId="77777777" w:rsidR="00D200AA" w:rsidRPr="00D200AA" w:rsidRDefault="00D200AA" w:rsidP="00D200AA">
                  <w:pPr>
                    <w:rPr>
                      <w:rFonts w:ascii="Times New Roman" w:hAnsi="Times New Roman"/>
                    </w:rPr>
                  </w:pPr>
                  <w:r w:rsidRPr="00D200AA">
                    <w:rPr>
                      <w:rFonts w:ascii="Times New Roman" w:hAnsi="Times New Roman"/>
                    </w:rPr>
                    <w:t>Foreign direct investment annually</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3E9006A" w14:textId="77777777" w:rsidR="00D200AA" w:rsidRPr="00D200AA" w:rsidRDefault="00D200AA" w:rsidP="00D200AA">
                  <w:pPr>
                    <w:rPr>
                      <w:rFonts w:ascii="Times New Roman" w:hAnsi="Times New Roman"/>
                    </w:rPr>
                  </w:pPr>
                  <w:r w:rsidRPr="00D200AA">
                    <w:rPr>
                      <w:rFonts w:ascii="Times New Roman" w:hAnsi="Times New Roman"/>
                    </w:rPr>
                    <w:t>t+7 months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CC19DB4" w14:textId="77777777" w:rsidR="00D200AA" w:rsidRPr="00D200AA" w:rsidRDefault="00D200AA" w:rsidP="00D200AA">
                  <w:pPr>
                    <w:rPr>
                      <w:rFonts w:ascii="Times New Roman" w:hAnsi="Times New Roman"/>
                    </w:rPr>
                  </w:pPr>
                  <w:r w:rsidRPr="00D200AA">
                    <w:rPr>
                      <w:rFonts w:ascii="Times New Roman" w:hAnsi="Times New Roman"/>
                    </w:rPr>
                    <w:t>t+8 months</w:t>
                  </w:r>
                </w:p>
              </w:tc>
              <w:tc>
                <w:tcPr>
                  <w:tcW w:w="1380" w:type="dxa"/>
                  <w:tcBorders>
                    <w:top w:val="single" w:sz="4" w:space="0" w:color="auto"/>
                    <w:left w:val="single" w:sz="4" w:space="0" w:color="auto"/>
                    <w:bottom w:val="single" w:sz="4" w:space="0" w:color="auto"/>
                    <w:right w:val="single" w:sz="4" w:space="0" w:color="auto"/>
                  </w:tcBorders>
                  <w:vAlign w:val="center"/>
                  <w:hideMark/>
                </w:tcPr>
                <w:p w14:paraId="4ACBC8E6" w14:textId="77777777" w:rsidR="00D200AA" w:rsidRPr="00D200AA" w:rsidRDefault="00D200AA" w:rsidP="00D200AA">
                  <w:pPr>
                    <w:rPr>
                      <w:rFonts w:ascii="Times New Roman" w:hAnsi="Times New Roman"/>
                    </w:rPr>
                  </w:pPr>
                  <w:r w:rsidRPr="00D200AA">
                    <w:rPr>
                      <w:rFonts w:ascii="Times New Roman" w:hAnsi="Times New Roman"/>
                    </w:rPr>
                    <w:t>t+8.5 months</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6E6F67A" w14:textId="77777777" w:rsidR="00D200AA" w:rsidRPr="00D200AA" w:rsidRDefault="00D200AA" w:rsidP="00D200AA">
                  <w:pPr>
                    <w:rPr>
                      <w:rFonts w:ascii="Times New Roman" w:hAnsi="Times New Roman"/>
                    </w:rPr>
                  </w:pPr>
                  <w:r w:rsidRPr="00D200AA">
                    <w:rPr>
                      <w:rFonts w:ascii="Times New Roman" w:hAnsi="Times New Roman"/>
                    </w:rPr>
                    <w:t>t+9 moths</w:t>
                  </w:r>
                </w:p>
              </w:tc>
            </w:tr>
          </w:tbl>
          <w:p w14:paraId="2D89EE45" w14:textId="77777777" w:rsidR="00725A12" w:rsidRDefault="00D200AA" w:rsidP="00F4539A">
            <w:pPr>
              <w:spacing w:after="120"/>
              <w:jc w:val="both"/>
              <w:rPr>
                <w:rFonts w:ascii="Times New Roman" w:hAnsi="Times New Roman" w:cs="Times New Roman"/>
                <w:color w:val="000000" w:themeColor="text1"/>
              </w:rPr>
            </w:pPr>
            <w:r w:rsidRPr="00725A12">
              <w:rPr>
                <w:rFonts w:ascii="Times New Roman" w:hAnsi="Times New Roman" w:cs="Times New Roman"/>
                <w:i/>
                <w:iCs/>
                <w:color w:val="000000" w:themeColor="text1"/>
              </w:rPr>
              <w:t>Timeliness of results:</w:t>
            </w:r>
            <w:r w:rsidRPr="00725A12">
              <w:rPr>
                <w:rFonts w:ascii="Times New Roman" w:hAnsi="Times New Roman" w:cs="Times New Roman"/>
                <w:color w:val="000000" w:themeColor="text1"/>
              </w:rPr>
              <w:t xml:space="preserve"> Time series on periods earlier than the latest period (of first publication) are revised when there is a cause/reason for because of a new compilation/estimation method, new data sources and updates of data reported. </w:t>
            </w:r>
          </w:p>
          <w:p w14:paraId="3A3AD605" w14:textId="7C499299" w:rsidR="00D77562" w:rsidRPr="00FF27AD" w:rsidRDefault="00D200AA" w:rsidP="00F4539A">
            <w:pPr>
              <w:spacing w:after="120"/>
              <w:jc w:val="both"/>
              <w:rPr>
                <w:rFonts w:ascii="Times New Roman" w:hAnsi="Times New Roman" w:cs="Times New Roman"/>
              </w:rPr>
            </w:pPr>
            <w:r w:rsidRPr="00725A12">
              <w:rPr>
                <w:rFonts w:ascii="Times New Roman" w:hAnsi="Times New Roman" w:cs="Times New Roman"/>
                <w:color w:val="000000" w:themeColor="text1"/>
              </w:rPr>
              <w:t>Final results can be available two years after first publication. Major methodological changes will be carried out for the full length of time series.</w:t>
            </w:r>
          </w:p>
        </w:tc>
      </w:tr>
      <w:tr w:rsidR="00D77562" w:rsidRPr="00493D72" w14:paraId="7B9DD140" w14:textId="77777777" w:rsidTr="00BB1DFF">
        <w:trPr>
          <w:gridAfter w:val="1"/>
          <w:wAfter w:w="851" w:type="dxa"/>
          <w:trHeight w:val="567"/>
        </w:trPr>
        <w:tc>
          <w:tcPr>
            <w:tcW w:w="2471" w:type="dxa"/>
            <w:shd w:val="clear" w:color="auto" w:fill="FFFFCC"/>
            <w:noWrap/>
            <w:vAlign w:val="center"/>
            <w:hideMark/>
          </w:tcPr>
          <w:p w14:paraId="47BD0587" w14:textId="77777777" w:rsidR="00D77562" w:rsidRPr="00493D72" w:rsidRDefault="00D77562" w:rsidP="00D77562">
            <w:pPr>
              <w:spacing w:after="0"/>
              <w:rPr>
                <w:rFonts w:ascii="Times New Roman" w:eastAsia="Times New Roman" w:hAnsi="Times New Roman" w:cs="Times New Roman"/>
                <w:bCs/>
                <w:noProof/>
                <w:color w:val="000000" w:themeColor="text1"/>
                <w:sz w:val="24"/>
                <w:szCs w:val="24"/>
                <w:lang w:val="sq-AL" w:eastAsia="sq-AL"/>
              </w:rPr>
            </w:pPr>
            <w:r w:rsidRPr="00493D72">
              <w:rPr>
                <w:rFonts w:ascii="Times New Roman" w:eastAsia="Times New Roman" w:hAnsi="Times New Roman" w:cs="Times New Roman"/>
                <w:noProof/>
                <w:color w:val="000000" w:themeColor="text1"/>
                <w:sz w:val="24"/>
                <w:szCs w:val="24"/>
                <w:lang w:val="sq-AL" w:eastAsia="sq-AL"/>
              </w:rPr>
              <w:t xml:space="preserve">14.2. </w:t>
            </w:r>
            <w:r w:rsidRPr="00493D72">
              <w:rPr>
                <w:rFonts w:ascii="Times New Roman" w:eastAsia="Times New Roman" w:hAnsi="Times New Roman" w:cs="Times New Roman"/>
                <w:bCs/>
                <w:noProof/>
                <w:color w:val="000000" w:themeColor="text1"/>
                <w:sz w:val="24"/>
                <w:szCs w:val="24"/>
                <w:lang w:val="sq-AL" w:eastAsia="sq-AL"/>
              </w:rPr>
              <w:t>Punctuality</w:t>
            </w:r>
          </w:p>
        </w:tc>
        <w:tc>
          <w:tcPr>
            <w:tcW w:w="7872" w:type="dxa"/>
            <w:vAlign w:val="center"/>
          </w:tcPr>
          <w:p w14:paraId="5BB22ED8" w14:textId="77777777" w:rsidR="00D200AA" w:rsidRPr="00D200AA" w:rsidRDefault="00D200AA" w:rsidP="00D200AA">
            <w:pPr>
              <w:spacing w:before="30" w:after="30" w:line="240" w:lineRule="auto"/>
              <w:jc w:val="both"/>
              <w:rPr>
                <w:rFonts w:ascii="Times New Roman" w:hAnsi="Times New Roman" w:cs="Times New Roman"/>
                <w:color w:val="000000" w:themeColor="text1"/>
              </w:rPr>
            </w:pPr>
            <w:r w:rsidRPr="00D200AA">
              <w:rPr>
                <w:rFonts w:ascii="Times New Roman" w:hAnsi="Times New Roman" w:cs="Times New Roman"/>
                <w:color w:val="000000" w:themeColor="text1"/>
              </w:rPr>
              <w:t>The first transmission of data to Eurostat took place in September 2016, starting from first year 2014 only for three questionnaires, and from 2018 full set of obliged questionnaires. Since then, the punctuality of data transmission has been improved strongly. The last DI data for Questionnaire T4.1, T4.2, T4.3, T5.1 and T5.2 for the reference year 2024-2025 were transmitted by BOA to Eurostat on time.</w:t>
            </w:r>
          </w:p>
          <w:p w14:paraId="3989EEE0" w14:textId="1C35C9C7" w:rsidR="00D77562" w:rsidRPr="00FF27AD" w:rsidRDefault="00D200AA" w:rsidP="00D200AA">
            <w:pPr>
              <w:spacing w:before="30" w:after="30" w:line="240" w:lineRule="auto"/>
              <w:jc w:val="both"/>
              <w:rPr>
                <w:rFonts w:ascii="Times New Roman" w:hAnsi="Times New Roman" w:cs="Times New Roman"/>
                <w:color w:val="000000" w:themeColor="text1"/>
              </w:rPr>
            </w:pPr>
            <w:r w:rsidRPr="00D200AA">
              <w:rPr>
                <w:rFonts w:ascii="Times New Roman" w:hAnsi="Times New Roman" w:cs="Times New Roman"/>
                <w:color w:val="000000" w:themeColor="text1"/>
              </w:rPr>
              <w:t>Regarding publication of data, it can be mentioned that since the first release of the statistics publications calendar, there have been no occasions on which the release date diverged from the pre-announced date. The next release date will be announced in advance. On the day of publication, the statistical data is published during the second half of the working day. It is strived for that the frequency of publication of statistics responds to user requirements as much as is possible.</w:t>
            </w:r>
          </w:p>
        </w:tc>
      </w:tr>
      <w:tr w:rsidR="00D77562" w:rsidRPr="00493D72" w14:paraId="4E82E16C" w14:textId="77777777" w:rsidTr="005B7ED2">
        <w:trPr>
          <w:gridAfter w:val="1"/>
          <w:wAfter w:w="851" w:type="dxa"/>
          <w:trHeight w:val="567"/>
        </w:trPr>
        <w:tc>
          <w:tcPr>
            <w:tcW w:w="10343" w:type="dxa"/>
            <w:gridSpan w:val="2"/>
            <w:shd w:val="clear" w:color="auto" w:fill="C5E0B3" w:themeFill="accent6" w:themeFillTint="66"/>
            <w:noWrap/>
            <w:vAlign w:val="center"/>
          </w:tcPr>
          <w:p w14:paraId="70718832" w14:textId="49CF7698" w:rsidR="00D77562" w:rsidRPr="00493D72" w:rsidRDefault="00935F2B" w:rsidP="00D77562">
            <w:pPr>
              <w:pStyle w:val="Heading1"/>
              <w:spacing w:before="0"/>
              <w:rPr>
                <w:rFonts w:ascii="Times New Roman" w:eastAsia="Times New Roman" w:hAnsi="Times New Roman" w:cs="Times New Roman"/>
                <w:b w:val="0"/>
                <w:bCs w:val="0"/>
                <w:noProof/>
                <w:color w:val="000000"/>
                <w:sz w:val="24"/>
                <w:szCs w:val="24"/>
                <w:lang w:val="sq-AL" w:eastAsia="sq-AL"/>
              </w:rPr>
            </w:pPr>
            <w:bookmarkStart w:id="13" w:name="_Toc222230608"/>
            <w:r w:rsidRPr="00935F2B">
              <w:rPr>
                <w:rFonts w:ascii="Times New Roman" w:eastAsia="Times New Roman" w:hAnsi="Times New Roman" w:cs="Times New Roman"/>
                <w:noProof/>
                <w:color w:val="000000" w:themeColor="text1"/>
                <w:sz w:val="24"/>
                <w:szCs w:val="24"/>
                <w:lang w:val="sq-AL" w:eastAsia="sq-AL"/>
              </w:rPr>
              <w:t>15. Coherence and comparability</w:t>
            </w:r>
            <w:bookmarkEnd w:id="13"/>
          </w:p>
        </w:tc>
      </w:tr>
      <w:tr w:rsidR="00D77562" w:rsidRPr="00493D72" w14:paraId="7EC8E7F1" w14:textId="77777777" w:rsidTr="00BB1DFF">
        <w:trPr>
          <w:gridAfter w:val="1"/>
          <w:wAfter w:w="851" w:type="dxa"/>
          <w:trHeight w:val="567"/>
        </w:trPr>
        <w:tc>
          <w:tcPr>
            <w:tcW w:w="2471" w:type="dxa"/>
            <w:shd w:val="clear" w:color="auto" w:fill="FFFFCC"/>
            <w:noWrap/>
            <w:vAlign w:val="center"/>
            <w:hideMark/>
          </w:tcPr>
          <w:p w14:paraId="0E0EBE6F"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15.1. Comparability - geographical</w:t>
            </w:r>
          </w:p>
        </w:tc>
        <w:tc>
          <w:tcPr>
            <w:tcW w:w="7872" w:type="dxa"/>
          </w:tcPr>
          <w:p w14:paraId="66AC65C3" w14:textId="5C740D5F" w:rsidR="00D77562" w:rsidRPr="003731D4" w:rsidRDefault="00D200AA" w:rsidP="00FF27AD">
            <w:pPr>
              <w:spacing w:before="30" w:after="30" w:line="240" w:lineRule="auto"/>
              <w:jc w:val="both"/>
              <w:rPr>
                <w:sz w:val="24"/>
                <w:lang w:val="en-GB"/>
              </w:rPr>
            </w:pPr>
            <w:r w:rsidRPr="00D200AA">
              <w:rPr>
                <w:rFonts w:ascii="Times New Roman" w:hAnsi="Times New Roman" w:cs="Times New Roman"/>
                <w:color w:val="000000" w:themeColor="text1"/>
              </w:rPr>
              <w:t xml:space="preserve">Data on direct investment </w:t>
            </w:r>
            <w:r w:rsidR="00606E27" w:rsidRPr="00D200AA">
              <w:rPr>
                <w:rFonts w:ascii="Times New Roman" w:hAnsi="Times New Roman" w:cs="Times New Roman"/>
                <w:color w:val="000000" w:themeColor="text1"/>
              </w:rPr>
              <w:t>has</w:t>
            </w:r>
            <w:r w:rsidRPr="00D200AA">
              <w:rPr>
                <w:rFonts w:ascii="Times New Roman" w:hAnsi="Times New Roman" w:cs="Times New Roman"/>
                <w:color w:val="000000" w:themeColor="text1"/>
              </w:rPr>
              <w:t xml:space="preserve"> been compiled according to the international methodology and comparable internationally. The data are comprehensive and transmitted by partner countries, NACE activities, and partner countries, NACE activities.</w:t>
            </w:r>
          </w:p>
        </w:tc>
      </w:tr>
      <w:tr w:rsidR="00D77562" w:rsidRPr="00493D72" w14:paraId="55B05FF4" w14:textId="77777777" w:rsidTr="00BB1DFF">
        <w:trPr>
          <w:gridAfter w:val="1"/>
          <w:wAfter w:w="851" w:type="dxa"/>
          <w:trHeight w:val="567"/>
        </w:trPr>
        <w:tc>
          <w:tcPr>
            <w:tcW w:w="2471" w:type="dxa"/>
            <w:shd w:val="clear" w:color="auto" w:fill="FFFFCC"/>
            <w:noWrap/>
            <w:vAlign w:val="center"/>
            <w:hideMark/>
          </w:tcPr>
          <w:p w14:paraId="7C76FD49"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15.2. Comparability - over time</w:t>
            </w:r>
          </w:p>
        </w:tc>
        <w:tc>
          <w:tcPr>
            <w:tcW w:w="7872" w:type="dxa"/>
          </w:tcPr>
          <w:p w14:paraId="367EEDBB" w14:textId="7070E6ED" w:rsidR="00D200AA" w:rsidRPr="00D200AA" w:rsidRDefault="00D200AA" w:rsidP="00D200AA">
            <w:pPr>
              <w:spacing w:before="30" w:after="30" w:line="240" w:lineRule="auto"/>
              <w:jc w:val="both"/>
              <w:rPr>
                <w:rFonts w:ascii="Times New Roman" w:hAnsi="Times New Roman" w:cs="Times New Roman"/>
                <w:color w:val="000000" w:themeColor="text1"/>
              </w:rPr>
            </w:pPr>
            <w:r w:rsidRPr="00D200AA">
              <w:rPr>
                <w:rFonts w:ascii="Times New Roman" w:hAnsi="Times New Roman" w:cs="Times New Roman"/>
                <w:color w:val="000000" w:themeColor="text1"/>
              </w:rPr>
              <w:t xml:space="preserve">There exist time series for foreign direct investment starting from the year 2003. When changes in source data, methodology, or techniques are introduced, historical series are reconstructed as far back as reasonably possible, from 2014 </w:t>
            </w:r>
            <w:r w:rsidR="00606E27" w:rsidRPr="00D200AA">
              <w:rPr>
                <w:rFonts w:ascii="Times New Roman" w:hAnsi="Times New Roman" w:cs="Times New Roman"/>
                <w:color w:val="000000" w:themeColor="text1"/>
              </w:rPr>
              <w:t>the BPM6 methodology is used</w:t>
            </w:r>
            <w:r w:rsidRPr="00D200AA">
              <w:rPr>
                <w:rFonts w:ascii="Times New Roman" w:hAnsi="Times New Roman" w:cs="Times New Roman"/>
                <w:color w:val="000000" w:themeColor="text1"/>
              </w:rPr>
              <w:t>.</w:t>
            </w:r>
          </w:p>
          <w:p w14:paraId="3E72E7EA" w14:textId="77777777" w:rsidR="00D200AA" w:rsidRPr="00D200AA" w:rsidRDefault="00D200AA" w:rsidP="00D200AA">
            <w:pPr>
              <w:spacing w:before="30" w:after="30" w:line="240" w:lineRule="auto"/>
              <w:jc w:val="both"/>
              <w:rPr>
                <w:rFonts w:ascii="Times New Roman" w:hAnsi="Times New Roman" w:cs="Times New Roman"/>
                <w:color w:val="000000" w:themeColor="text1"/>
              </w:rPr>
            </w:pPr>
            <w:r w:rsidRPr="00D200AA">
              <w:rPr>
                <w:rFonts w:ascii="Times New Roman" w:hAnsi="Times New Roman" w:cs="Times New Roman"/>
                <w:color w:val="000000" w:themeColor="text1"/>
              </w:rPr>
              <w:lastRenderedPageBreak/>
              <w:t>Time series are checked to avoid possible outliers.</w:t>
            </w:r>
          </w:p>
          <w:p w14:paraId="7BDFD9B8" w14:textId="5937D2B3" w:rsidR="00D77562" w:rsidRPr="003731D4" w:rsidRDefault="00D200AA" w:rsidP="00D200AA">
            <w:pPr>
              <w:spacing w:before="30" w:after="30" w:line="240" w:lineRule="auto"/>
              <w:jc w:val="both"/>
              <w:rPr>
                <w:sz w:val="24"/>
                <w:lang w:val="en-GB"/>
              </w:rPr>
            </w:pPr>
            <w:r w:rsidRPr="00D200AA">
              <w:rPr>
                <w:rFonts w:ascii="Times New Roman" w:hAnsi="Times New Roman" w:cs="Times New Roman"/>
                <w:color w:val="000000" w:themeColor="text1"/>
              </w:rPr>
              <w:t>Instances of perceived inter-temporal inconsistencies are individually examined.</w:t>
            </w:r>
          </w:p>
        </w:tc>
      </w:tr>
      <w:tr w:rsidR="00D77562" w:rsidRPr="00493D72" w14:paraId="2FE137D4" w14:textId="77777777" w:rsidTr="00BB1DFF">
        <w:trPr>
          <w:gridAfter w:val="1"/>
          <w:wAfter w:w="851" w:type="dxa"/>
          <w:trHeight w:val="567"/>
        </w:trPr>
        <w:tc>
          <w:tcPr>
            <w:tcW w:w="2471" w:type="dxa"/>
            <w:shd w:val="clear" w:color="auto" w:fill="FFFFCC"/>
            <w:noWrap/>
            <w:vAlign w:val="center"/>
            <w:hideMark/>
          </w:tcPr>
          <w:p w14:paraId="6A5DF412"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15.3. Coherence - cross domain</w:t>
            </w:r>
          </w:p>
        </w:tc>
        <w:tc>
          <w:tcPr>
            <w:tcW w:w="7872" w:type="dxa"/>
            <w:noWrap/>
          </w:tcPr>
          <w:p w14:paraId="31694DFA" w14:textId="15AB77ED" w:rsidR="00D77562" w:rsidRPr="003731D4" w:rsidRDefault="00D200AA" w:rsidP="00575F1B">
            <w:pPr>
              <w:spacing w:before="30" w:after="30" w:line="240" w:lineRule="auto"/>
              <w:jc w:val="both"/>
              <w:rPr>
                <w:sz w:val="24"/>
                <w:lang w:val="en-GB"/>
              </w:rPr>
            </w:pPr>
            <w:r w:rsidRPr="00D200AA">
              <w:rPr>
                <w:rFonts w:ascii="Times New Roman" w:hAnsi="Times New Roman" w:cs="Times New Roman"/>
                <w:color w:val="000000" w:themeColor="text1"/>
              </w:rPr>
              <w:t>As the concepts for the direct investment, balance of payment and international investment positions, and national accounts are now methodologically consistent with one another, this assessment of consistency aims to show how far these accounting frameworks have been consolidated with each other.</w:t>
            </w:r>
          </w:p>
        </w:tc>
      </w:tr>
      <w:tr w:rsidR="00D77562" w:rsidRPr="00493D72" w14:paraId="587823B7" w14:textId="77777777" w:rsidTr="00BB1DFF">
        <w:trPr>
          <w:gridAfter w:val="1"/>
          <w:wAfter w:w="851" w:type="dxa"/>
          <w:trHeight w:val="567"/>
        </w:trPr>
        <w:tc>
          <w:tcPr>
            <w:tcW w:w="2471" w:type="dxa"/>
            <w:shd w:val="clear" w:color="auto" w:fill="FFFFCC"/>
            <w:noWrap/>
            <w:vAlign w:val="center"/>
            <w:hideMark/>
          </w:tcPr>
          <w:p w14:paraId="6E2788D8"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15.4. Coherence - internal</w:t>
            </w:r>
          </w:p>
        </w:tc>
        <w:tc>
          <w:tcPr>
            <w:tcW w:w="7872" w:type="dxa"/>
          </w:tcPr>
          <w:p w14:paraId="5F73116A" w14:textId="77777777" w:rsidR="00D200AA" w:rsidRPr="00D200AA" w:rsidRDefault="00D200AA" w:rsidP="00D200AA">
            <w:pPr>
              <w:spacing w:before="30" w:after="30" w:line="240" w:lineRule="auto"/>
              <w:jc w:val="both"/>
              <w:rPr>
                <w:rFonts w:ascii="Times New Roman" w:hAnsi="Times New Roman" w:cs="Times New Roman"/>
                <w:color w:val="000000" w:themeColor="text1"/>
              </w:rPr>
            </w:pPr>
            <w:r w:rsidRPr="00D200AA">
              <w:rPr>
                <w:rFonts w:ascii="Times New Roman" w:hAnsi="Times New Roman" w:cs="Times New Roman"/>
                <w:color w:val="000000" w:themeColor="text1"/>
              </w:rPr>
              <w:t>Internal consistency is measured also by evaluating the respect of integrity rules, coherence between the quarterly and annual data. The internal consistency of the data was checked before finalizing the data.</w:t>
            </w:r>
          </w:p>
          <w:p w14:paraId="5C7000A6" w14:textId="77777777" w:rsidR="00D200AA" w:rsidRPr="00D200AA" w:rsidRDefault="00D200AA" w:rsidP="00D200AA">
            <w:pPr>
              <w:spacing w:before="30" w:after="30" w:line="240" w:lineRule="auto"/>
              <w:jc w:val="both"/>
              <w:rPr>
                <w:rFonts w:ascii="Times New Roman" w:hAnsi="Times New Roman" w:cs="Times New Roman"/>
                <w:color w:val="000000" w:themeColor="text1"/>
              </w:rPr>
            </w:pPr>
            <w:r w:rsidRPr="00D200AA">
              <w:rPr>
                <w:rFonts w:ascii="Times New Roman" w:hAnsi="Times New Roman" w:cs="Times New Roman"/>
                <w:color w:val="000000" w:themeColor="text1"/>
              </w:rPr>
              <w:t>The data on direct investment are consistent and always reconciled, in terms of variations due to transactions, with the financial account transactions in the balance of payments data, as well as with international investment positions and external debt data (inter-lending company) due to positions data.</w:t>
            </w:r>
          </w:p>
          <w:p w14:paraId="7DB9B595" w14:textId="4FD5C4C8" w:rsidR="00D77562" w:rsidRPr="003731D4" w:rsidRDefault="00D200AA" w:rsidP="00D200AA">
            <w:pPr>
              <w:spacing w:before="30" w:after="30" w:line="240" w:lineRule="auto"/>
              <w:jc w:val="both"/>
              <w:rPr>
                <w:sz w:val="24"/>
                <w:lang w:val="en-GB"/>
              </w:rPr>
            </w:pPr>
            <w:r w:rsidRPr="00D200AA">
              <w:rPr>
                <w:rFonts w:ascii="Times New Roman" w:hAnsi="Times New Roman" w:cs="Times New Roman"/>
                <w:color w:val="000000" w:themeColor="text1"/>
              </w:rPr>
              <w:t>Integrity rules state that the sum of the components should be equal to the aggregates. The integrity rules are defined by a set of equations included in the BOP Vademecum, which should be respected in the datasets transmitted to Eurostat.</w:t>
            </w:r>
          </w:p>
        </w:tc>
      </w:tr>
      <w:tr w:rsidR="00D77562" w:rsidRPr="00493D72" w14:paraId="59C19F15" w14:textId="77777777" w:rsidTr="001178D7">
        <w:trPr>
          <w:gridAfter w:val="1"/>
          <w:wAfter w:w="851" w:type="dxa"/>
          <w:trHeight w:val="611"/>
        </w:trPr>
        <w:tc>
          <w:tcPr>
            <w:tcW w:w="2471" w:type="dxa"/>
            <w:shd w:val="clear" w:color="auto" w:fill="C5E0B3" w:themeFill="accent6" w:themeFillTint="66"/>
            <w:vAlign w:val="center"/>
            <w:hideMark/>
          </w:tcPr>
          <w:p w14:paraId="13FF16CC" w14:textId="77777777" w:rsidR="00D77562" w:rsidRPr="00493D72" w:rsidRDefault="00D77562" w:rsidP="00D77562">
            <w:pPr>
              <w:pStyle w:val="Heading1"/>
              <w:spacing w:before="0"/>
              <w:rPr>
                <w:rFonts w:ascii="Times New Roman" w:eastAsia="Times New Roman" w:hAnsi="Times New Roman" w:cs="Times New Roman"/>
                <w:b w:val="0"/>
                <w:bCs w:val="0"/>
                <w:noProof/>
                <w:color w:val="000000"/>
                <w:sz w:val="24"/>
                <w:szCs w:val="24"/>
                <w:lang w:val="sq-AL" w:eastAsia="sq-AL"/>
              </w:rPr>
            </w:pPr>
            <w:bookmarkStart w:id="14" w:name="_Toc222230609"/>
            <w:r w:rsidRPr="00493D72">
              <w:rPr>
                <w:rFonts w:ascii="Times New Roman" w:eastAsia="Times New Roman" w:hAnsi="Times New Roman" w:cs="Times New Roman"/>
                <w:noProof/>
                <w:color w:val="000000" w:themeColor="text1"/>
                <w:sz w:val="24"/>
                <w:szCs w:val="24"/>
                <w:lang w:val="sq-AL" w:eastAsia="sq-AL"/>
              </w:rPr>
              <w:t>16.</w:t>
            </w:r>
            <w:r w:rsidRPr="00493D72">
              <w:rPr>
                <w:rFonts w:ascii="Times New Roman" w:eastAsia="Times New Roman" w:hAnsi="Times New Roman" w:cs="Times New Roman"/>
                <w:b w:val="0"/>
                <w:bCs w:val="0"/>
                <w:noProof/>
                <w:color w:val="000000"/>
                <w:sz w:val="24"/>
                <w:szCs w:val="24"/>
                <w:lang w:val="sq-AL" w:eastAsia="sq-AL"/>
              </w:rPr>
              <w:t xml:space="preserve"> </w:t>
            </w:r>
            <w:r w:rsidRPr="00493D72">
              <w:rPr>
                <w:rFonts w:ascii="Times New Roman" w:eastAsia="Times New Roman" w:hAnsi="Times New Roman" w:cs="Times New Roman"/>
                <w:noProof/>
                <w:color w:val="000000" w:themeColor="text1"/>
                <w:sz w:val="24"/>
                <w:szCs w:val="24"/>
                <w:lang w:val="sq-AL" w:eastAsia="sq-AL"/>
              </w:rPr>
              <w:t>Cost and burden</w:t>
            </w:r>
            <w:bookmarkEnd w:id="14"/>
          </w:p>
        </w:tc>
        <w:tc>
          <w:tcPr>
            <w:tcW w:w="7872" w:type="dxa"/>
            <w:vAlign w:val="center"/>
          </w:tcPr>
          <w:p w14:paraId="24553B0E" w14:textId="1A62F5D3" w:rsidR="00D77562" w:rsidRDefault="005304DA" w:rsidP="00FF27AD">
            <w:pPr>
              <w:spacing w:before="30" w:after="30" w:line="240" w:lineRule="auto"/>
              <w:jc w:val="both"/>
              <w:rPr>
                <w:rFonts w:ascii="Times New Roman" w:eastAsia="Times New Roman" w:hAnsi="Times New Roman" w:cs="Times New Roman"/>
                <w:lang w:val="en-GB" w:eastAsia="en-GB"/>
              </w:rPr>
            </w:pPr>
            <w:r w:rsidRPr="005304DA">
              <w:rPr>
                <w:rFonts w:ascii="Times New Roman" w:eastAsia="Times New Roman" w:hAnsi="Times New Roman" w:cs="Times New Roman"/>
                <w:lang w:val="en-GB" w:eastAsia="en-GB"/>
              </w:rPr>
              <w:t>Staff working fo</w:t>
            </w:r>
            <w:r>
              <w:rPr>
                <w:rFonts w:ascii="Times New Roman" w:eastAsia="Times New Roman" w:hAnsi="Times New Roman" w:cs="Times New Roman"/>
                <w:lang w:val="en-GB" w:eastAsia="en-GB"/>
              </w:rPr>
              <w:t xml:space="preserve">r </w:t>
            </w:r>
            <w:r w:rsidR="00D52092">
              <w:rPr>
                <w:rFonts w:ascii="Times New Roman" w:eastAsia="Times New Roman" w:hAnsi="Times New Roman" w:cs="Times New Roman"/>
                <w:lang w:val="en-GB" w:eastAsia="en-GB"/>
              </w:rPr>
              <w:t>DI</w:t>
            </w:r>
            <w:r>
              <w:rPr>
                <w:rFonts w:ascii="Times New Roman" w:eastAsia="Times New Roman" w:hAnsi="Times New Roman" w:cs="Times New Roman"/>
                <w:lang w:val="en-GB" w:eastAsia="en-GB"/>
              </w:rPr>
              <w:t xml:space="preserve"> are </w:t>
            </w:r>
            <w:r w:rsidR="00E3178D">
              <w:rPr>
                <w:rFonts w:ascii="Times New Roman" w:eastAsia="Times New Roman" w:hAnsi="Times New Roman" w:cs="Times New Roman"/>
                <w:lang w:val="en-GB" w:eastAsia="en-GB"/>
              </w:rPr>
              <w:t>2</w:t>
            </w:r>
            <w:r>
              <w:rPr>
                <w:rFonts w:ascii="Times New Roman" w:eastAsia="Times New Roman" w:hAnsi="Times New Roman" w:cs="Times New Roman"/>
                <w:lang w:val="en-GB" w:eastAsia="en-GB"/>
              </w:rPr>
              <w:t xml:space="preserve"> employees.</w:t>
            </w:r>
          </w:p>
          <w:p w14:paraId="3C1A587E" w14:textId="727B8C3D" w:rsidR="005304DA" w:rsidRPr="00FF27AD" w:rsidRDefault="005304DA" w:rsidP="00FF27AD">
            <w:pPr>
              <w:spacing w:before="30" w:after="30" w:line="240" w:lineRule="auto"/>
              <w:jc w:val="both"/>
              <w:rPr>
                <w:rFonts w:ascii="Times New Roman" w:eastAsia="Times New Roman" w:hAnsi="Times New Roman" w:cs="Times New Roman"/>
                <w:lang w:val="en-GB" w:eastAsia="en-GB"/>
              </w:rPr>
            </w:pPr>
          </w:p>
        </w:tc>
      </w:tr>
      <w:tr w:rsidR="00D77562" w:rsidRPr="00493D72" w14:paraId="5C4B261A" w14:textId="77777777" w:rsidTr="005B7ED2">
        <w:trPr>
          <w:gridAfter w:val="1"/>
          <w:wAfter w:w="851" w:type="dxa"/>
          <w:trHeight w:val="567"/>
        </w:trPr>
        <w:tc>
          <w:tcPr>
            <w:tcW w:w="10343" w:type="dxa"/>
            <w:gridSpan w:val="2"/>
            <w:shd w:val="clear" w:color="auto" w:fill="C5E0B3" w:themeFill="accent6" w:themeFillTint="66"/>
            <w:vAlign w:val="center"/>
          </w:tcPr>
          <w:p w14:paraId="7400C324" w14:textId="0C2AEF6F" w:rsidR="00D77562" w:rsidRPr="00493D72" w:rsidRDefault="00936235" w:rsidP="00D77562">
            <w:pPr>
              <w:pStyle w:val="Heading1"/>
              <w:spacing w:before="0"/>
              <w:rPr>
                <w:rFonts w:ascii="Times New Roman" w:eastAsia="Times New Roman" w:hAnsi="Times New Roman" w:cs="Times New Roman"/>
                <w:noProof/>
                <w:color w:val="000000"/>
                <w:sz w:val="24"/>
                <w:szCs w:val="24"/>
                <w:lang w:val="sq-AL" w:eastAsia="sq-AL"/>
              </w:rPr>
            </w:pPr>
            <w:bookmarkStart w:id="15" w:name="_Toc222230610"/>
            <w:r w:rsidRPr="00936235">
              <w:rPr>
                <w:rFonts w:ascii="Times New Roman" w:eastAsia="Times New Roman" w:hAnsi="Times New Roman" w:cs="Times New Roman"/>
                <w:noProof/>
                <w:color w:val="000000" w:themeColor="text1"/>
                <w:sz w:val="24"/>
                <w:szCs w:val="24"/>
                <w:lang w:val="sq-AL" w:eastAsia="sq-AL"/>
              </w:rPr>
              <w:t>17. Data revision</w:t>
            </w:r>
            <w:bookmarkEnd w:id="15"/>
          </w:p>
        </w:tc>
      </w:tr>
      <w:tr w:rsidR="00D77562" w:rsidRPr="00493D72" w14:paraId="181F56E2" w14:textId="77777777" w:rsidTr="00BB1DFF">
        <w:trPr>
          <w:gridAfter w:val="1"/>
          <w:wAfter w:w="851" w:type="dxa"/>
          <w:trHeight w:val="567"/>
        </w:trPr>
        <w:tc>
          <w:tcPr>
            <w:tcW w:w="2471" w:type="dxa"/>
            <w:shd w:val="clear" w:color="auto" w:fill="FFFFCC"/>
            <w:noWrap/>
            <w:vAlign w:val="center"/>
            <w:hideMark/>
          </w:tcPr>
          <w:p w14:paraId="4A018E2F" w14:textId="77777777" w:rsidR="00D77562" w:rsidRPr="001178D7" w:rsidRDefault="00D77562" w:rsidP="00D77562">
            <w:pPr>
              <w:spacing w:after="0"/>
              <w:rPr>
                <w:rFonts w:ascii="Times New Roman" w:eastAsia="Times New Roman" w:hAnsi="Times New Roman" w:cs="Times New Roman"/>
                <w:noProof/>
                <w:color w:val="000000"/>
                <w:sz w:val="20"/>
                <w:szCs w:val="20"/>
                <w:lang w:val="sq-AL" w:eastAsia="sq-AL"/>
              </w:rPr>
            </w:pPr>
            <w:bookmarkStart w:id="16" w:name="_Hlk166490529"/>
            <w:r w:rsidRPr="00EF1FEE">
              <w:rPr>
                <w:rFonts w:ascii="Times New Roman" w:eastAsia="Times New Roman" w:hAnsi="Times New Roman" w:cs="Times New Roman"/>
                <w:noProof/>
                <w:color w:val="000000"/>
                <w:sz w:val="24"/>
                <w:szCs w:val="24"/>
                <w:lang w:val="sq-AL" w:eastAsia="sq-AL"/>
              </w:rPr>
              <w:t>17.1. Data revision - policy</w:t>
            </w:r>
          </w:p>
        </w:tc>
        <w:tc>
          <w:tcPr>
            <w:tcW w:w="7872" w:type="dxa"/>
          </w:tcPr>
          <w:p w14:paraId="5E09C272" w14:textId="77777777" w:rsidR="00EF1FEE" w:rsidRPr="00A478E2" w:rsidRDefault="00EF1FEE" w:rsidP="00EF1FEE">
            <w:pPr>
              <w:spacing w:before="30" w:after="30"/>
              <w:jc w:val="both"/>
              <w:rPr>
                <w:rFonts w:ascii="Times New Roman" w:hAnsi="Times New Roman" w:cs="Times New Roman"/>
                <w:lang w:eastAsia="nl-NL"/>
              </w:rPr>
            </w:pPr>
            <w:r w:rsidRPr="00A478E2">
              <w:rPr>
                <w:rFonts w:ascii="Times New Roman" w:hAnsi="Times New Roman" w:cs="Times New Roman"/>
                <w:lang w:eastAsia="nl-NL"/>
              </w:rPr>
              <w:t xml:space="preserve">The revision procedure is predetermined, consistent in time and available to public. The revision calendar, available at the official website of Bank of Albania, informs the users in advance regarding possible revisions of statistical indicators. </w:t>
            </w:r>
          </w:p>
          <w:p w14:paraId="37757312" w14:textId="77777777" w:rsidR="00EF1FEE" w:rsidRPr="00A478E2" w:rsidRDefault="00EF1FEE" w:rsidP="00EF1FEE">
            <w:pPr>
              <w:spacing w:before="30" w:after="30"/>
              <w:jc w:val="both"/>
              <w:rPr>
                <w:rFonts w:ascii="Times New Roman" w:hAnsi="Times New Roman" w:cs="Times New Roman"/>
                <w:lang w:eastAsia="nl-NL"/>
              </w:rPr>
            </w:pPr>
            <w:r w:rsidRPr="00A478E2">
              <w:rPr>
                <w:rFonts w:ascii="Times New Roman" w:hAnsi="Times New Roman" w:cs="Times New Roman"/>
                <w:lang w:eastAsia="nl-NL"/>
              </w:rPr>
              <w:t>The revision policy by Bank of Albania follows a consistent and transparent publication calendar where the revisions cycle is predetermined and available to public. The revision policy is in accordance with main principles established by the European Central Bank, Data Quality Assessment Framework and EUROSTAT and as such are being reflected in the Code of Practice of Bank of Albania Statistics.</w:t>
            </w:r>
          </w:p>
          <w:p w14:paraId="2FCC4358" w14:textId="77777777" w:rsidR="00EF1FEE" w:rsidRPr="00A478E2" w:rsidRDefault="00EF1FEE" w:rsidP="00EF1FEE">
            <w:pPr>
              <w:spacing w:before="30" w:after="30"/>
              <w:jc w:val="both"/>
              <w:rPr>
                <w:rFonts w:ascii="Times New Roman" w:hAnsi="Times New Roman" w:cs="Times New Roman"/>
                <w:lang w:eastAsia="nl-NL"/>
              </w:rPr>
            </w:pPr>
            <w:r w:rsidRPr="00A478E2">
              <w:rPr>
                <w:rFonts w:ascii="Times New Roman" w:hAnsi="Times New Roman" w:cs="Times New Roman"/>
                <w:lang w:eastAsia="nl-NL"/>
              </w:rPr>
              <w:t xml:space="preserve">The main principles include the following: </w:t>
            </w:r>
          </w:p>
          <w:p w14:paraId="4A405D96" w14:textId="1B5C3524" w:rsidR="00EF1FEE" w:rsidRPr="00A478E2" w:rsidRDefault="00EF1FEE" w:rsidP="00EF1FEE">
            <w:pPr>
              <w:spacing w:before="30" w:after="30"/>
              <w:jc w:val="both"/>
              <w:rPr>
                <w:rFonts w:ascii="Times New Roman" w:hAnsi="Times New Roman" w:cs="Times New Roman"/>
                <w:lang w:eastAsia="nl-NL"/>
              </w:rPr>
            </w:pPr>
            <w:r w:rsidRPr="00A478E2">
              <w:rPr>
                <w:rFonts w:ascii="Times New Roman" w:hAnsi="Times New Roman" w:cs="Times New Roman"/>
                <w:lang w:eastAsia="nl-NL"/>
              </w:rPr>
              <w:t>•</w:t>
            </w:r>
            <w:r>
              <w:rPr>
                <w:rFonts w:ascii="Times New Roman" w:hAnsi="Times New Roman" w:cs="Times New Roman"/>
                <w:lang w:eastAsia="nl-NL"/>
              </w:rPr>
              <w:t xml:space="preserve"> </w:t>
            </w:r>
            <w:r w:rsidRPr="00A478E2">
              <w:rPr>
                <w:rFonts w:ascii="Times New Roman" w:hAnsi="Times New Roman" w:cs="Times New Roman"/>
                <w:lang w:eastAsia="nl-NL"/>
              </w:rPr>
              <w:t xml:space="preserve">Revisions follow a rational procedure – revisions of already published statistical data </w:t>
            </w:r>
            <w:r w:rsidR="00936235" w:rsidRPr="00A478E2">
              <w:rPr>
                <w:rFonts w:ascii="Times New Roman" w:hAnsi="Times New Roman" w:cs="Times New Roman"/>
                <w:lang w:eastAsia="nl-NL"/>
              </w:rPr>
              <w:t>are</w:t>
            </w:r>
            <w:r w:rsidRPr="00A478E2">
              <w:rPr>
                <w:rFonts w:ascii="Times New Roman" w:hAnsi="Times New Roman" w:cs="Times New Roman"/>
                <w:lang w:eastAsia="nl-NL"/>
              </w:rPr>
              <w:t xml:space="preserve"> limited to only those cases when revisions change material value of statistics.</w:t>
            </w:r>
          </w:p>
          <w:p w14:paraId="22531C6F" w14:textId="77777777" w:rsidR="00EF1FEE" w:rsidRPr="00A478E2" w:rsidRDefault="00EF1FEE" w:rsidP="00EF1FEE">
            <w:pPr>
              <w:spacing w:before="30" w:after="30"/>
              <w:jc w:val="both"/>
              <w:rPr>
                <w:rFonts w:ascii="Times New Roman" w:hAnsi="Times New Roman" w:cs="Times New Roman"/>
                <w:lang w:eastAsia="nl-NL"/>
              </w:rPr>
            </w:pPr>
            <w:r w:rsidRPr="00A478E2">
              <w:rPr>
                <w:rFonts w:ascii="Times New Roman" w:hAnsi="Times New Roman" w:cs="Times New Roman"/>
                <w:lang w:eastAsia="nl-NL"/>
              </w:rPr>
              <w:t>•</w:t>
            </w:r>
            <w:r>
              <w:rPr>
                <w:rFonts w:ascii="Times New Roman" w:hAnsi="Times New Roman" w:cs="Times New Roman"/>
                <w:lang w:eastAsia="nl-NL"/>
              </w:rPr>
              <w:t xml:space="preserve"> </w:t>
            </w:r>
            <w:r w:rsidRPr="00A478E2">
              <w:rPr>
                <w:rFonts w:ascii="Times New Roman" w:hAnsi="Times New Roman" w:cs="Times New Roman"/>
                <w:lang w:eastAsia="nl-NL"/>
              </w:rPr>
              <w:t xml:space="preserve">Revisions include explanatory notes – when historic statistical data already published include major revisions, the revised statistics are accompanied by explanatory notes on major indicators revised. </w:t>
            </w:r>
          </w:p>
          <w:p w14:paraId="6976991A" w14:textId="69C8102B" w:rsidR="00EF1FEE" w:rsidRDefault="00EF1FEE" w:rsidP="00EF1FEE">
            <w:pPr>
              <w:spacing w:before="30" w:after="30"/>
              <w:jc w:val="both"/>
              <w:rPr>
                <w:rFonts w:ascii="Times New Roman" w:hAnsi="Times New Roman" w:cs="Times New Roman"/>
                <w:lang w:eastAsia="nl-NL"/>
              </w:rPr>
            </w:pPr>
            <w:r w:rsidRPr="00A478E2">
              <w:rPr>
                <w:rFonts w:ascii="Times New Roman" w:hAnsi="Times New Roman" w:cs="Times New Roman"/>
                <w:lang w:eastAsia="nl-NL"/>
              </w:rPr>
              <w:t>•</w:t>
            </w:r>
            <w:r>
              <w:rPr>
                <w:rFonts w:ascii="Times New Roman" w:hAnsi="Times New Roman" w:cs="Times New Roman"/>
                <w:lang w:eastAsia="nl-NL"/>
              </w:rPr>
              <w:t xml:space="preserve"> </w:t>
            </w:r>
            <w:r w:rsidRPr="00A478E2">
              <w:rPr>
                <w:rFonts w:ascii="Times New Roman" w:hAnsi="Times New Roman" w:cs="Times New Roman"/>
                <w:lang w:eastAsia="nl-NL"/>
              </w:rPr>
              <w:t xml:space="preserve">Revisions are </w:t>
            </w:r>
            <w:r w:rsidR="00D200AA" w:rsidRPr="00A478E2">
              <w:rPr>
                <w:rFonts w:ascii="Times New Roman" w:hAnsi="Times New Roman" w:cs="Times New Roman"/>
                <w:lang w:eastAsia="nl-NL"/>
              </w:rPr>
              <w:t>planned</w:t>
            </w:r>
            <w:r w:rsidRPr="00A478E2">
              <w:rPr>
                <w:rFonts w:ascii="Times New Roman" w:hAnsi="Times New Roman" w:cs="Times New Roman"/>
                <w:lang w:eastAsia="nl-NL"/>
              </w:rPr>
              <w:t xml:space="preserve"> of time – Statistics of Bank of Albania are revised in accordance with the publication calendar published at the beginning of each calendar year at the official website of Bank of Albania. </w:t>
            </w:r>
            <w:r w:rsidRPr="00CB01A1">
              <w:rPr>
                <w:rFonts w:ascii="Times New Roman" w:hAnsi="Times New Roman" w:cs="Times New Roman"/>
                <w:lang w:eastAsia="nl-NL"/>
              </w:rPr>
              <w:t>The procedure to be followed is summarized in the table below.</w:t>
            </w:r>
          </w:p>
          <w:p w14:paraId="3516A5E4" w14:textId="77777777" w:rsidR="002F0D6E" w:rsidRDefault="002F0D6E" w:rsidP="00EF1FEE">
            <w:pPr>
              <w:spacing w:before="30" w:after="30"/>
              <w:jc w:val="both"/>
              <w:rPr>
                <w:rFonts w:ascii="Times New Roman" w:hAnsi="Times New Roman" w:cs="Times New Roman"/>
                <w:lang w:eastAsia="nl-NL"/>
              </w:rPr>
            </w:pPr>
          </w:p>
          <w:tbl>
            <w:tblPr>
              <w:tblW w:w="7725" w:type="dxa"/>
              <w:tblLook w:val="04A0" w:firstRow="1" w:lastRow="0" w:firstColumn="1" w:lastColumn="0" w:noHBand="0" w:noVBand="1"/>
            </w:tblPr>
            <w:tblGrid>
              <w:gridCol w:w="1543"/>
              <w:gridCol w:w="1543"/>
              <w:gridCol w:w="1543"/>
              <w:gridCol w:w="1544"/>
              <w:gridCol w:w="1552"/>
            </w:tblGrid>
            <w:tr w:rsidR="00E46901" w:rsidRPr="00936235" w14:paraId="44FCB25A" w14:textId="77777777" w:rsidTr="00E3178D">
              <w:trPr>
                <w:trHeight w:val="37"/>
              </w:trPr>
              <w:tc>
                <w:tcPr>
                  <w:tcW w:w="1543" w:type="dxa"/>
                </w:tcPr>
                <w:p w14:paraId="0B095770" w14:textId="77777777" w:rsidR="00936235" w:rsidRPr="00936235" w:rsidRDefault="00936235" w:rsidP="00936235">
                  <w:pPr>
                    <w:ind w:left="420"/>
                    <w:rPr>
                      <w:rFonts w:ascii="Times New Roman" w:hAnsi="Times New Roman"/>
                      <w:color w:val="2E74B5" w:themeColor="accent5" w:themeShade="BF"/>
                      <w:sz w:val="18"/>
                      <w:szCs w:val="18"/>
                    </w:rPr>
                  </w:pPr>
                  <w:r w:rsidRPr="00936235">
                    <w:rPr>
                      <w:rFonts w:ascii="Times New Roman" w:hAnsi="Times New Roman"/>
                      <w:color w:val="000000" w:themeColor="text1"/>
                      <w:sz w:val="18"/>
                      <w:szCs w:val="18"/>
                    </w:rPr>
                    <w:t>Statistics</w:t>
                  </w:r>
                </w:p>
              </w:tc>
              <w:tc>
                <w:tcPr>
                  <w:tcW w:w="1543" w:type="dxa"/>
                </w:tcPr>
                <w:p w14:paraId="006C2B19" w14:textId="77777777"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sz w:val="18"/>
                      <w:szCs w:val="18"/>
                    </w:rPr>
                    <w:t>Periodicity</w:t>
                  </w:r>
                </w:p>
              </w:tc>
              <w:tc>
                <w:tcPr>
                  <w:tcW w:w="1543" w:type="dxa"/>
                </w:tcPr>
                <w:p w14:paraId="50BE1587" w14:textId="77777777"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color w:val="000000" w:themeColor="text1"/>
                      <w:sz w:val="18"/>
                      <w:szCs w:val="18"/>
                    </w:rPr>
                    <w:t>Publication date</w:t>
                  </w:r>
                </w:p>
              </w:tc>
              <w:tc>
                <w:tcPr>
                  <w:tcW w:w="1544" w:type="dxa"/>
                </w:tcPr>
                <w:p w14:paraId="274CC5C5" w14:textId="77777777"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color w:val="000000" w:themeColor="text1"/>
                      <w:sz w:val="18"/>
                      <w:szCs w:val="18"/>
                    </w:rPr>
                    <w:t>Reference period*</w:t>
                  </w:r>
                </w:p>
              </w:tc>
              <w:tc>
                <w:tcPr>
                  <w:tcW w:w="1552" w:type="dxa"/>
                </w:tcPr>
                <w:p w14:paraId="474BE0D2" w14:textId="77777777"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sz w:val="18"/>
                      <w:szCs w:val="18"/>
                    </w:rPr>
                    <w:t>Reference period revisions</w:t>
                  </w:r>
                </w:p>
              </w:tc>
            </w:tr>
            <w:tr w:rsidR="00E46901" w:rsidRPr="00936235" w14:paraId="24320F51" w14:textId="77777777" w:rsidTr="00E3178D">
              <w:trPr>
                <w:trHeight w:val="174"/>
              </w:trPr>
              <w:tc>
                <w:tcPr>
                  <w:tcW w:w="1543" w:type="dxa"/>
                  <w:vMerge w:val="restart"/>
                </w:tcPr>
                <w:p w14:paraId="2D530D46" w14:textId="77777777" w:rsidR="00936235" w:rsidRPr="00936235" w:rsidRDefault="00936235" w:rsidP="00936235">
                  <w:pPr>
                    <w:jc w:val="center"/>
                    <w:rPr>
                      <w:rFonts w:ascii="Times New Roman" w:hAnsi="Times New Roman"/>
                      <w:color w:val="2E74B5" w:themeColor="accent5" w:themeShade="BF"/>
                      <w:sz w:val="18"/>
                      <w:szCs w:val="18"/>
                    </w:rPr>
                  </w:pPr>
                </w:p>
                <w:p w14:paraId="66310374" w14:textId="77777777" w:rsidR="00936235" w:rsidRPr="00936235" w:rsidRDefault="00936235" w:rsidP="00936235">
                  <w:pPr>
                    <w:jc w:val="center"/>
                    <w:rPr>
                      <w:rFonts w:ascii="Times New Roman" w:hAnsi="Times New Roman"/>
                      <w:color w:val="2E74B5" w:themeColor="accent5" w:themeShade="BF"/>
                      <w:sz w:val="18"/>
                      <w:szCs w:val="18"/>
                    </w:rPr>
                  </w:pPr>
                </w:p>
                <w:p w14:paraId="015E6EDB" w14:textId="77777777" w:rsidR="00936235" w:rsidRPr="00936235" w:rsidRDefault="00936235" w:rsidP="00936235">
                  <w:pPr>
                    <w:jc w:val="center"/>
                    <w:rPr>
                      <w:rFonts w:ascii="Times New Roman" w:hAnsi="Times New Roman"/>
                      <w:color w:val="2E74B5" w:themeColor="accent5" w:themeShade="BF"/>
                      <w:sz w:val="18"/>
                      <w:szCs w:val="18"/>
                    </w:rPr>
                  </w:pPr>
                </w:p>
                <w:p w14:paraId="1ECF88C0" w14:textId="77777777" w:rsidR="00936235" w:rsidRPr="00936235" w:rsidRDefault="00936235" w:rsidP="00936235">
                  <w:pPr>
                    <w:jc w:val="center"/>
                    <w:rPr>
                      <w:rFonts w:ascii="Times New Roman" w:hAnsi="Times New Roman"/>
                      <w:color w:val="2E74B5" w:themeColor="accent5" w:themeShade="BF"/>
                      <w:sz w:val="18"/>
                      <w:szCs w:val="18"/>
                    </w:rPr>
                  </w:pPr>
                </w:p>
                <w:p w14:paraId="1ABDE247" w14:textId="77777777" w:rsidR="00936235" w:rsidRPr="00936235" w:rsidRDefault="00936235" w:rsidP="00936235">
                  <w:pPr>
                    <w:jc w:val="center"/>
                    <w:rPr>
                      <w:rFonts w:ascii="Times New Roman" w:hAnsi="Times New Roman"/>
                      <w:color w:val="2E74B5" w:themeColor="accent5" w:themeShade="BF"/>
                      <w:sz w:val="18"/>
                      <w:szCs w:val="18"/>
                    </w:rPr>
                  </w:pPr>
                </w:p>
                <w:p w14:paraId="019E8970" w14:textId="1083E6FA" w:rsidR="00936235" w:rsidRPr="00936235" w:rsidRDefault="00D200AA" w:rsidP="00936235">
                  <w:pPr>
                    <w:jc w:val="center"/>
                    <w:rPr>
                      <w:rFonts w:ascii="Times New Roman" w:hAnsi="Times New Roman"/>
                      <w:color w:val="2E74B5" w:themeColor="accent5" w:themeShade="BF"/>
                      <w:sz w:val="18"/>
                      <w:szCs w:val="18"/>
                    </w:rPr>
                  </w:pPr>
                  <w:r w:rsidRPr="00D200AA">
                    <w:rPr>
                      <w:rFonts w:ascii="Times New Roman" w:hAnsi="Times New Roman"/>
                      <w:sz w:val="18"/>
                      <w:szCs w:val="18"/>
                    </w:rPr>
                    <w:lastRenderedPageBreak/>
                    <w:t>Direct Investment transactions and positions</w:t>
                  </w:r>
                </w:p>
              </w:tc>
              <w:tc>
                <w:tcPr>
                  <w:tcW w:w="1543" w:type="dxa"/>
                  <w:vMerge w:val="restart"/>
                </w:tcPr>
                <w:p w14:paraId="3A0B3C08" w14:textId="77777777" w:rsidR="00936235" w:rsidRPr="00936235" w:rsidRDefault="00936235" w:rsidP="00936235">
                  <w:pPr>
                    <w:jc w:val="center"/>
                    <w:rPr>
                      <w:rFonts w:ascii="Times New Roman" w:hAnsi="Times New Roman"/>
                      <w:color w:val="2E74B5" w:themeColor="accent5" w:themeShade="BF"/>
                      <w:sz w:val="18"/>
                      <w:szCs w:val="18"/>
                    </w:rPr>
                  </w:pPr>
                </w:p>
                <w:p w14:paraId="5C0AD2CA" w14:textId="77777777" w:rsidR="00936235" w:rsidRPr="00936235" w:rsidRDefault="00936235" w:rsidP="00936235">
                  <w:pPr>
                    <w:jc w:val="center"/>
                    <w:rPr>
                      <w:rFonts w:ascii="Times New Roman" w:hAnsi="Times New Roman"/>
                      <w:color w:val="2E74B5" w:themeColor="accent5" w:themeShade="BF"/>
                      <w:sz w:val="18"/>
                      <w:szCs w:val="18"/>
                    </w:rPr>
                  </w:pPr>
                </w:p>
                <w:p w14:paraId="26456ED8" w14:textId="77777777" w:rsidR="00936235" w:rsidRPr="00936235" w:rsidRDefault="00936235" w:rsidP="00936235">
                  <w:pPr>
                    <w:jc w:val="center"/>
                    <w:rPr>
                      <w:rFonts w:ascii="Times New Roman" w:hAnsi="Times New Roman"/>
                      <w:color w:val="2E74B5" w:themeColor="accent5" w:themeShade="BF"/>
                      <w:sz w:val="18"/>
                      <w:szCs w:val="18"/>
                    </w:rPr>
                  </w:pPr>
                </w:p>
                <w:p w14:paraId="50BA17AE" w14:textId="77777777" w:rsidR="00936235" w:rsidRPr="00936235" w:rsidRDefault="00936235" w:rsidP="00936235">
                  <w:pPr>
                    <w:jc w:val="center"/>
                    <w:rPr>
                      <w:rFonts w:ascii="Times New Roman" w:hAnsi="Times New Roman"/>
                      <w:color w:val="2E74B5" w:themeColor="accent5" w:themeShade="BF"/>
                      <w:sz w:val="18"/>
                      <w:szCs w:val="18"/>
                    </w:rPr>
                  </w:pPr>
                </w:p>
                <w:p w14:paraId="0E2B456E" w14:textId="77777777" w:rsidR="00936235" w:rsidRPr="00936235" w:rsidRDefault="00936235" w:rsidP="00936235">
                  <w:pPr>
                    <w:jc w:val="center"/>
                    <w:rPr>
                      <w:rFonts w:ascii="Times New Roman" w:hAnsi="Times New Roman"/>
                      <w:color w:val="2E74B5" w:themeColor="accent5" w:themeShade="BF"/>
                      <w:sz w:val="18"/>
                      <w:szCs w:val="18"/>
                    </w:rPr>
                  </w:pPr>
                </w:p>
                <w:p w14:paraId="2D1350EC" w14:textId="77777777" w:rsidR="00936235" w:rsidRPr="00936235" w:rsidRDefault="00936235" w:rsidP="00936235">
                  <w:pPr>
                    <w:jc w:val="center"/>
                    <w:rPr>
                      <w:rFonts w:ascii="Times New Roman" w:hAnsi="Times New Roman"/>
                      <w:color w:val="2E74B5" w:themeColor="accent5" w:themeShade="BF"/>
                      <w:sz w:val="18"/>
                      <w:szCs w:val="18"/>
                    </w:rPr>
                  </w:pPr>
                  <w:r w:rsidRPr="00936235">
                    <w:rPr>
                      <w:rFonts w:ascii="Times New Roman" w:hAnsi="Times New Roman"/>
                      <w:sz w:val="18"/>
                      <w:szCs w:val="18"/>
                    </w:rPr>
                    <w:lastRenderedPageBreak/>
                    <w:t>Quarterly</w:t>
                  </w:r>
                </w:p>
              </w:tc>
              <w:tc>
                <w:tcPr>
                  <w:tcW w:w="1543" w:type="dxa"/>
                </w:tcPr>
                <w:p w14:paraId="59143DE8" w14:textId="77777777"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color w:val="000000" w:themeColor="text1"/>
                      <w:sz w:val="18"/>
                      <w:szCs w:val="18"/>
                    </w:rPr>
                    <w:lastRenderedPageBreak/>
                    <w:t>March</w:t>
                  </w:r>
                </w:p>
              </w:tc>
              <w:tc>
                <w:tcPr>
                  <w:tcW w:w="1544" w:type="dxa"/>
                </w:tcPr>
                <w:p w14:paraId="7897D4C1" w14:textId="77777777"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color w:val="000000" w:themeColor="text1"/>
                      <w:sz w:val="18"/>
                      <w:szCs w:val="18"/>
                    </w:rPr>
                    <w:t>Q4 (A-1)</w:t>
                  </w:r>
                </w:p>
              </w:tc>
              <w:tc>
                <w:tcPr>
                  <w:tcW w:w="1552" w:type="dxa"/>
                </w:tcPr>
                <w:p w14:paraId="73C9EA65" w14:textId="77777777"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sz w:val="18"/>
                      <w:szCs w:val="18"/>
                    </w:rPr>
                    <w:t>Q1, Q2 and Q3 of previous year A-1 and every quarter for reference years A-2, A-3 and A-4.</w:t>
                  </w:r>
                </w:p>
              </w:tc>
            </w:tr>
            <w:tr w:rsidR="00E46901" w:rsidRPr="00936235" w14:paraId="6AB9C91B" w14:textId="77777777" w:rsidTr="00E3178D">
              <w:trPr>
                <w:trHeight w:val="119"/>
              </w:trPr>
              <w:tc>
                <w:tcPr>
                  <w:tcW w:w="1543" w:type="dxa"/>
                  <w:vMerge/>
                </w:tcPr>
                <w:p w14:paraId="2F825C2F" w14:textId="77777777" w:rsidR="00936235" w:rsidRPr="00936235" w:rsidRDefault="00936235" w:rsidP="00936235">
                  <w:pPr>
                    <w:rPr>
                      <w:color w:val="2E74B5" w:themeColor="accent5" w:themeShade="BF"/>
                      <w:sz w:val="18"/>
                      <w:szCs w:val="18"/>
                    </w:rPr>
                  </w:pPr>
                </w:p>
              </w:tc>
              <w:tc>
                <w:tcPr>
                  <w:tcW w:w="1543" w:type="dxa"/>
                  <w:vMerge/>
                </w:tcPr>
                <w:p w14:paraId="37175509" w14:textId="77777777" w:rsidR="00936235" w:rsidRPr="00936235" w:rsidRDefault="00936235" w:rsidP="00936235">
                  <w:pPr>
                    <w:rPr>
                      <w:rFonts w:ascii="Times New Roman" w:hAnsi="Times New Roman"/>
                      <w:color w:val="2E74B5" w:themeColor="accent5" w:themeShade="BF"/>
                      <w:sz w:val="18"/>
                      <w:szCs w:val="18"/>
                    </w:rPr>
                  </w:pPr>
                </w:p>
              </w:tc>
              <w:tc>
                <w:tcPr>
                  <w:tcW w:w="1543" w:type="dxa"/>
                </w:tcPr>
                <w:p w14:paraId="15260B92" w14:textId="77777777"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sz w:val="18"/>
                      <w:szCs w:val="18"/>
                    </w:rPr>
                    <w:t>June</w:t>
                  </w:r>
                </w:p>
              </w:tc>
              <w:tc>
                <w:tcPr>
                  <w:tcW w:w="1544" w:type="dxa"/>
                </w:tcPr>
                <w:p w14:paraId="6F969696" w14:textId="77777777"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sz w:val="18"/>
                      <w:szCs w:val="18"/>
                    </w:rPr>
                    <w:t>Q1 (A)</w:t>
                  </w:r>
                </w:p>
              </w:tc>
              <w:tc>
                <w:tcPr>
                  <w:tcW w:w="1552" w:type="dxa"/>
                </w:tcPr>
                <w:p w14:paraId="7F1BDB52" w14:textId="77777777"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sz w:val="18"/>
                      <w:szCs w:val="18"/>
                    </w:rPr>
                    <w:t>Q1, Q2, Q3 and Q4 of the previous year A-1</w:t>
                  </w:r>
                </w:p>
              </w:tc>
            </w:tr>
            <w:tr w:rsidR="00E46901" w:rsidRPr="00936235" w14:paraId="1E0D5BB2" w14:textId="77777777" w:rsidTr="00E3178D">
              <w:trPr>
                <w:trHeight w:val="148"/>
              </w:trPr>
              <w:tc>
                <w:tcPr>
                  <w:tcW w:w="1543" w:type="dxa"/>
                  <w:vMerge/>
                </w:tcPr>
                <w:p w14:paraId="7464F56F" w14:textId="77777777" w:rsidR="00936235" w:rsidRPr="00936235" w:rsidRDefault="00936235" w:rsidP="00936235">
                  <w:pPr>
                    <w:rPr>
                      <w:color w:val="2E74B5" w:themeColor="accent5" w:themeShade="BF"/>
                      <w:sz w:val="18"/>
                      <w:szCs w:val="18"/>
                    </w:rPr>
                  </w:pPr>
                </w:p>
              </w:tc>
              <w:tc>
                <w:tcPr>
                  <w:tcW w:w="1543" w:type="dxa"/>
                  <w:vMerge/>
                </w:tcPr>
                <w:p w14:paraId="6028A15A" w14:textId="77777777" w:rsidR="00936235" w:rsidRPr="00936235" w:rsidRDefault="00936235" w:rsidP="00936235">
                  <w:pPr>
                    <w:rPr>
                      <w:rFonts w:ascii="Times New Roman" w:hAnsi="Times New Roman"/>
                      <w:color w:val="2E74B5" w:themeColor="accent5" w:themeShade="BF"/>
                      <w:sz w:val="18"/>
                      <w:szCs w:val="18"/>
                    </w:rPr>
                  </w:pPr>
                </w:p>
              </w:tc>
              <w:tc>
                <w:tcPr>
                  <w:tcW w:w="1543" w:type="dxa"/>
                </w:tcPr>
                <w:p w14:paraId="11C2E79E" w14:textId="77777777" w:rsidR="00936235" w:rsidRPr="00936235" w:rsidRDefault="00936235" w:rsidP="00936235">
                  <w:pPr>
                    <w:rPr>
                      <w:rFonts w:ascii="Times New Roman" w:hAnsi="Times New Roman"/>
                      <w:sz w:val="18"/>
                      <w:szCs w:val="18"/>
                    </w:rPr>
                  </w:pPr>
                  <w:r w:rsidRPr="00936235">
                    <w:rPr>
                      <w:rFonts w:ascii="Times New Roman" w:hAnsi="Times New Roman"/>
                      <w:sz w:val="18"/>
                      <w:szCs w:val="18"/>
                    </w:rPr>
                    <w:t>September</w:t>
                  </w:r>
                </w:p>
              </w:tc>
              <w:tc>
                <w:tcPr>
                  <w:tcW w:w="1544" w:type="dxa"/>
                </w:tcPr>
                <w:p w14:paraId="7D3C5DC7" w14:textId="77777777"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sz w:val="18"/>
                      <w:szCs w:val="18"/>
                    </w:rPr>
                    <w:t>Q2 (A)</w:t>
                  </w:r>
                </w:p>
              </w:tc>
              <w:tc>
                <w:tcPr>
                  <w:tcW w:w="1552" w:type="dxa"/>
                </w:tcPr>
                <w:p w14:paraId="0FE6A324" w14:textId="755F089F"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color w:val="000000" w:themeColor="text1"/>
                      <w:sz w:val="18"/>
                      <w:szCs w:val="18"/>
                    </w:rPr>
                    <w:t>Q1 of year A-1 and every quarter for the reference years A-2, A-3 and A-4.</w:t>
                  </w:r>
                </w:p>
              </w:tc>
            </w:tr>
            <w:tr w:rsidR="00E46901" w:rsidRPr="00936235" w14:paraId="6AE34450" w14:textId="77777777" w:rsidTr="00E3178D">
              <w:trPr>
                <w:trHeight w:val="114"/>
              </w:trPr>
              <w:tc>
                <w:tcPr>
                  <w:tcW w:w="1543" w:type="dxa"/>
                  <w:vMerge/>
                </w:tcPr>
                <w:p w14:paraId="01837750" w14:textId="77777777" w:rsidR="00936235" w:rsidRPr="00936235" w:rsidRDefault="00936235" w:rsidP="00936235">
                  <w:pPr>
                    <w:rPr>
                      <w:color w:val="2E74B5" w:themeColor="accent5" w:themeShade="BF"/>
                      <w:sz w:val="18"/>
                      <w:szCs w:val="18"/>
                    </w:rPr>
                  </w:pPr>
                </w:p>
              </w:tc>
              <w:tc>
                <w:tcPr>
                  <w:tcW w:w="1543" w:type="dxa"/>
                  <w:vMerge/>
                </w:tcPr>
                <w:p w14:paraId="2B84DBA8" w14:textId="77777777" w:rsidR="00936235" w:rsidRPr="00936235" w:rsidRDefault="00936235" w:rsidP="00936235">
                  <w:pPr>
                    <w:rPr>
                      <w:rFonts w:ascii="Times New Roman" w:hAnsi="Times New Roman"/>
                      <w:color w:val="2E74B5" w:themeColor="accent5" w:themeShade="BF"/>
                      <w:sz w:val="18"/>
                      <w:szCs w:val="18"/>
                    </w:rPr>
                  </w:pPr>
                </w:p>
              </w:tc>
              <w:tc>
                <w:tcPr>
                  <w:tcW w:w="1543" w:type="dxa"/>
                </w:tcPr>
                <w:p w14:paraId="22EB7A3A" w14:textId="77777777" w:rsidR="00936235" w:rsidRPr="00936235" w:rsidRDefault="00936235" w:rsidP="00936235">
                  <w:pPr>
                    <w:rPr>
                      <w:rFonts w:ascii="Times New Roman" w:hAnsi="Times New Roman"/>
                      <w:sz w:val="18"/>
                      <w:szCs w:val="18"/>
                    </w:rPr>
                  </w:pPr>
                  <w:r w:rsidRPr="00936235">
                    <w:rPr>
                      <w:rFonts w:ascii="Times New Roman" w:hAnsi="Times New Roman"/>
                      <w:sz w:val="18"/>
                      <w:szCs w:val="18"/>
                    </w:rPr>
                    <w:t>December</w:t>
                  </w:r>
                </w:p>
              </w:tc>
              <w:tc>
                <w:tcPr>
                  <w:tcW w:w="1544" w:type="dxa"/>
                </w:tcPr>
                <w:p w14:paraId="3EBCB8E8" w14:textId="77777777" w:rsidR="00936235" w:rsidRPr="00936235" w:rsidRDefault="00936235" w:rsidP="00936235">
                  <w:pPr>
                    <w:rPr>
                      <w:rFonts w:ascii="Times New Roman" w:hAnsi="Times New Roman"/>
                      <w:sz w:val="18"/>
                      <w:szCs w:val="18"/>
                    </w:rPr>
                  </w:pPr>
                  <w:r w:rsidRPr="00936235">
                    <w:rPr>
                      <w:rFonts w:ascii="Times New Roman" w:hAnsi="Times New Roman"/>
                      <w:sz w:val="18"/>
                      <w:szCs w:val="18"/>
                    </w:rPr>
                    <w:t>Q3 (A)</w:t>
                  </w:r>
                </w:p>
              </w:tc>
              <w:tc>
                <w:tcPr>
                  <w:tcW w:w="1552" w:type="dxa"/>
                </w:tcPr>
                <w:p w14:paraId="690E7675" w14:textId="2E092BA2" w:rsidR="00936235" w:rsidRPr="00936235" w:rsidRDefault="00936235" w:rsidP="00936235">
                  <w:pPr>
                    <w:rPr>
                      <w:rFonts w:ascii="Times New Roman" w:hAnsi="Times New Roman"/>
                      <w:color w:val="2E74B5" w:themeColor="accent5" w:themeShade="BF"/>
                      <w:sz w:val="18"/>
                      <w:szCs w:val="18"/>
                    </w:rPr>
                  </w:pPr>
                  <w:r w:rsidRPr="00936235">
                    <w:rPr>
                      <w:rFonts w:ascii="Times New Roman" w:hAnsi="Times New Roman"/>
                      <w:sz w:val="18"/>
                      <w:szCs w:val="18"/>
                    </w:rPr>
                    <w:t>Q1 and Q2 of the current year A and every quarter for reference year A-1.</w:t>
                  </w:r>
                </w:p>
              </w:tc>
            </w:tr>
            <w:tr w:rsidR="00D200AA" w:rsidRPr="00936235" w14:paraId="4DDF43D1" w14:textId="77777777" w:rsidTr="00E3178D">
              <w:trPr>
                <w:trHeight w:val="114"/>
              </w:trPr>
              <w:tc>
                <w:tcPr>
                  <w:tcW w:w="1543" w:type="dxa"/>
                </w:tcPr>
                <w:p w14:paraId="0CFD8C66" w14:textId="77777777" w:rsidR="00D200AA" w:rsidRPr="00936235" w:rsidRDefault="00D200AA" w:rsidP="00E3178D">
                  <w:pPr>
                    <w:rPr>
                      <w:color w:val="2E74B5" w:themeColor="accent5" w:themeShade="BF"/>
                      <w:sz w:val="18"/>
                      <w:szCs w:val="18"/>
                    </w:rPr>
                  </w:pPr>
                </w:p>
              </w:tc>
              <w:tc>
                <w:tcPr>
                  <w:tcW w:w="1543" w:type="dxa"/>
                </w:tcPr>
                <w:p w14:paraId="75FFCCD7" w14:textId="77777777" w:rsidR="00D200AA" w:rsidRPr="00936235" w:rsidRDefault="00D200AA" w:rsidP="00936235">
                  <w:pPr>
                    <w:rPr>
                      <w:rFonts w:ascii="Times New Roman" w:hAnsi="Times New Roman"/>
                      <w:color w:val="2E74B5" w:themeColor="accent5" w:themeShade="BF"/>
                      <w:sz w:val="18"/>
                      <w:szCs w:val="18"/>
                    </w:rPr>
                  </w:pPr>
                </w:p>
              </w:tc>
              <w:tc>
                <w:tcPr>
                  <w:tcW w:w="1543" w:type="dxa"/>
                </w:tcPr>
                <w:p w14:paraId="71623F40" w14:textId="77777777" w:rsidR="00D200AA" w:rsidRPr="00936235" w:rsidRDefault="00D200AA" w:rsidP="00936235">
                  <w:pPr>
                    <w:rPr>
                      <w:rFonts w:ascii="Times New Roman" w:hAnsi="Times New Roman"/>
                      <w:sz w:val="18"/>
                      <w:szCs w:val="18"/>
                    </w:rPr>
                  </w:pPr>
                </w:p>
              </w:tc>
              <w:tc>
                <w:tcPr>
                  <w:tcW w:w="1544" w:type="dxa"/>
                </w:tcPr>
                <w:p w14:paraId="612170DC" w14:textId="77777777" w:rsidR="00D200AA" w:rsidRPr="00936235" w:rsidRDefault="00D200AA" w:rsidP="00936235">
                  <w:pPr>
                    <w:rPr>
                      <w:rFonts w:ascii="Times New Roman" w:hAnsi="Times New Roman"/>
                      <w:sz w:val="18"/>
                      <w:szCs w:val="18"/>
                    </w:rPr>
                  </w:pPr>
                </w:p>
              </w:tc>
              <w:tc>
                <w:tcPr>
                  <w:tcW w:w="1552" w:type="dxa"/>
                </w:tcPr>
                <w:p w14:paraId="5AF39671" w14:textId="77777777" w:rsidR="00D200AA" w:rsidRPr="00936235" w:rsidRDefault="00D200AA" w:rsidP="00936235">
                  <w:pPr>
                    <w:rPr>
                      <w:rFonts w:ascii="Times New Roman" w:hAnsi="Times New Roman"/>
                      <w:sz w:val="18"/>
                      <w:szCs w:val="18"/>
                    </w:rPr>
                  </w:pPr>
                </w:p>
              </w:tc>
            </w:tr>
            <w:tr w:rsidR="00E3178D" w:rsidRPr="00936235" w14:paraId="6011AFCD" w14:textId="77777777" w:rsidTr="00E3178D">
              <w:trPr>
                <w:trHeight w:val="114"/>
              </w:trPr>
              <w:tc>
                <w:tcPr>
                  <w:tcW w:w="7725" w:type="dxa"/>
                  <w:gridSpan w:val="5"/>
                </w:tcPr>
                <w:p w14:paraId="170B8851" w14:textId="77777777" w:rsidR="00E3178D" w:rsidRDefault="00E3178D" w:rsidP="00E3178D">
                  <w:pPr>
                    <w:rPr>
                      <w:color w:val="2E74B5" w:themeColor="accent5" w:themeShade="BF"/>
                      <w:sz w:val="18"/>
                      <w:szCs w:val="18"/>
                    </w:rPr>
                  </w:pPr>
                  <w:r w:rsidRPr="00D200AA">
                    <w:rPr>
                      <w:color w:val="2E74B5" w:themeColor="accent5" w:themeShade="BF"/>
                      <w:sz w:val="18"/>
                      <w:szCs w:val="18"/>
                    </w:rPr>
                    <w:t>* Note: “Q” stands for quarterly, “A” for current year and “A-1” for previous year.</w:t>
                  </w:r>
                </w:p>
                <w:p w14:paraId="1BB73FA7" w14:textId="77777777" w:rsidR="00E3178D" w:rsidRPr="00936235" w:rsidRDefault="00E3178D" w:rsidP="00936235">
                  <w:pPr>
                    <w:rPr>
                      <w:rFonts w:ascii="Times New Roman" w:hAnsi="Times New Roman"/>
                      <w:sz w:val="18"/>
                      <w:szCs w:val="18"/>
                    </w:rPr>
                  </w:pPr>
                </w:p>
              </w:tc>
            </w:tr>
          </w:tbl>
          <w:p w14:paraId="38B879A4" w14:textId="77777777" w:rsidR="00D77562" w:rsidRPr="001178D7" w:rsidRDefault="00D77562" w:rsidP="007432D9">
            <w:pPr>
              <w:spacing w:before="120" w:after="240" w:line="240" w:lineRule="auto"/>
              <w:ind w:right="85"/>
              <w:jc w:val="both"/>
              <w:rPr>
                <w:rFonts w:ascii="Times New Roman" w:hAnsi="Times New Roman" w:cs="Times New Roman"/>
                <w:sz w:val="20"/>
                <w:szCs w:val="20"/>
                <w:lang w:eastAsia="nl-NL"/>
              </w:rPr>
            </w:pPr>
          </w:p>
        </w:tc>
      </w:tr>
      <w:bookmarkEnd w:id="16"/>
      <w:tr w:rsidR="00D77562" w:rsidRPr="00493D72" w14:paraId="79F68076" w14:textId="77777777" w:rsidTr="00BB1DFF">
        <w:trPr>
          <w:gridAfter w:val="1"/>
          <w:wAfter w:w="851" w:type="dxa"/>
          <w:trHeight w:val="567"/>
        </w:trPr>
        <w:tc>
          <w:tcPr>
            <w:tcW w:w="2471" w:type="dxa"/>
            <w:shd w:val="clear" w:color="auto" w:fill="FFFFCC"/>
            <w:noWrap/>
            <w:vAlign w:val="center"/>
            <w:hideMark/>
          </w:tcPr>
          <w:p w14:paraId="0554C877" w14:textId="77777777" w:rsidR="00D77562" w:rsidRPr="00493D72" w:rsidRDefault="00D77562" w:rsidP="00D77562">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17.2. Data revision - practise</w:t>
            </w:r>
          </w:p>
        </w:tc>
        <w:tc>
          <w:tcPr>
            <w:tcW w:w="7872" w:type="dxa"/>
          </w:tcPr>
          <w:p w14:paraId="47C6E31C" w14:textId="77777777" w:rsidR="00E3178D" w:rsidRPr="00E3178D" w:rsidRDefault="00E3178D" w:rsidP="00E3178D">
            <w:pPr>
              <w:spacing w:before="30" w:after="30" w:line="240" w:lineRule="auto"/>
              <w:jc w:val="both"/>
              <w:rPr>
                <w:rFonts w:ascii="Times New Roman" w:hAnsi="Times New Roman" w:cs="Times New Roman"/>
                <w:lang w:eastAsia="nl-NL"/>
              </w:rPr>
            </w:pPr>
            <w:r w:rsidRPr="00E3178D">
              <w:rPr>
                <w:rFonts w:ascii="Times New Roman" w:hAnsi="Times New Roman" w:cs="Times New Roman"/>
                <w:lang w:eastAsia="nl-NL"/>
              </w:rPr>
              <w:t>Revisions are done because of newly received information and are carried out at fixed moments of publication. In case of changes of methodology, a separate short document is published.</w:t>
            </w:r>
          </w:p>
          <w:p w14:paraId="34037F57" w14:textId="65FF4024" w:rsidR="00E3178D" w:rsidRPr="00E3178D" w:rsidRDefault="00E3178D" w:rsidP="00E3178D">
            <w:pPr>
              <w:spacing w:before="30" w:after="30" w:line="240" w:lineRule="auto"/>
              <w:jc w:val="both"/>
              <w:rPr>
                <w:rFonts w:ascii="Times New Roman" w:hAnsi="Times New Roman" w:cs="Times New Roman"/>
                <w:lang w:eastAsia="nl-NL"/>
              </w:rPr>
            </w:pPr>
            <w:r w:rsidRPr="00E3178D">
              <w:rPr>
                <w:rFonts w:ascii="Times New Roman" w:hAnsi="Times New Roman" w:cs="Times New Roman"/>
                <w:lang w:eastAsia="nl-NL"/>
              </w:rPr>
              <w:t>The published data which are revised are based on revision policies of the statistics department. The quarterly compilation of the balance of payments and international investments position are subject of two types of revisions: routine and major revisions.</w:t>
            </w:r>
          </w:p>
          <w:p w14:paraId="0539021A" w14:textId="77777777" w:rsidR="00E3178D" w:rsidRPr="00E3178D" w:rsidRDefault="00E3178D" w:rsidP="00E3178D">
            <w:pPr>
              <w:spacing w:before="30" w:after="30" w:line="240" w:lineRule="auto"/>
              <w:jc w:val="both"/>
              <w:rPr>
                <w:rFonts w:ascii="Times New Roman" w:hAnsi="Times New Roman" w:cs="Times New Roman"/>
                <w:lang w:eastAsia="nl-NL"/>
              </w:rPr>
            </w:pPr>
            <w:r w:rsidRPr="005F45A0">
              <w:rPr>
                <w:rFonts w:ascii="Times New Roman" w:hAnsi="Times New Roman" w:cs="Times New Roman"/>
                <w:i/>
                <w:iCs/>
                <w:lang w:eastAsia="nl-NL"/>
              </w:rPr>
              <w:t>Routine revisions:</w:t>
            </w:r>
            <w:r w:rsidRPr="00E3178D">
              <w:rPr>
                <w:rFonts w:ascii="Times New Roman" w:hAnsi="Times New Roman" w:cs="Times New Roman"/>
                <w:lang w:eastAsia="nl-NL"/>
              </w:rPr>
              <w:t xml:space="preserve"> The quarterly and annual revisions stem from the late arrival of reports or corrections of errors in previous reports, as well as the inclusion of data that are only available on a semi-annual basis, for the quarterly revisions, or on an annual basis, for the annual revisions. Once a year, the direct investment transactions and positions data from the last three years are revised and the revisions are presented.</w:t>
            </w:r>
          </w:p>
          <w:p w14:paraId="209B1EBA" w14:textId="77125C95" w:rsidR="00D77562" w:rsidRPr="00344520" w:rsidRDefault="00E3178D" w:rsidP="00E3178D">
            <w:pPr>
              <w:spacing w:before="30" w:after="30" w:line="240" w:lineRule="auto"/>
              <w:jc w:val="both"/>
              <w:rPr>
                <w:rFonts w:ascii="Times New Roman" w:hAnsi="Times New Roman" w:cs="Times New Roman"/>
                <w:lang w:eastAsia="nl-NL"/>
              </w:rPr>
            </w:pPr>
            <w:r w:rsidRPr="005F45A0">
              <w:rPr>
                <w:rFonts w:ascii="Times New Roman" w:hAnsi="Times New Roman" w:cs="Times New Roman"/>
                <w:i/>
                <w:iCs/>
                <w:lang w:eastAsia="nl-NL"/>
              </w:rPr>
              <w:t>Major revisions:</w:t>
            </w:r>
            <w:r w:rsidRPr="00E3178D">
              <w:rPr>
                <w:rFonts w:ascii="Times New Roman" w:hAnsi="Times New Roman" w:cs="Times New Roman"/>
                <w:lang w:eastAsia="nl-NL"/>
              </w:rPr>
              <w:t xml:space="preserve"> Major revisions are linked with international methodology revisions (introduced by BPM6 manual), changes in definitions, methods and classifications, as well as incorporation of a widening scope of various data sources.</w:t>
            </w:r>
          </w:p>
        </w:tc>
      </w:tr>
      <w:tr w:rsidR="00D77562" w:rsidRPr="00493D72" w14:paraId="40E6668C" w14:textId="77777777" w:rsidTr="005B7ED2">
        <w:trPr>
          <w:gridAfter w:val="1"/>
          <w:wAfter w:w="851" w:type="dxa"/>
          <w:trHeight w:val="567"/>
        </w:trPr>
        <w:tc>
          <w:tcPr>
            <w:tcW w:w="10343" w:type="dxa"/>
            <w:gridSpan w:val="2"/>
            <w:shd w:val="clear" w:color="auto" w:fill="C5E0B3" w:themeFill="accent6" w:themeFillTint="66"/>
            <w:vAlign w:val="center"/>
          </w:tcPr>
          <w:p w14:paraId="00AB263B" w14:textId="4B1FFB2F" w:rsidR="00D77562" w:rsidRPr="00493D72" w:rsidRDefault="00E46901" w:rsidP="00D77562">
            <w:pPr>
              <w:pStyle w:val="Heading1"/>
              <w:spacing w:before="0"/>
              <w:rPr>
                <w:rFonts w:ascii="Times New Roman" w:eastAsia="Times New Roman" w:hAnsi="Times New Roman" w:cs="Times New Roman"/>
                <w:noProof/>
                <w:color w:val="000000"/>
                <w:sz w:val="24"/>
                <w:szCs w:val="24"/>
                <w:lang w:val="sq-AL" w:eastAsia="sq-AL"/>
              </w:rPr>
            </w:pPr>
            <w:bookmarkStart w:id="17" w:name="_Toc222230611"/>
            <w:r w:rsidRPr="00E46901">
              <w:rPr>
                <w:rFonts w:ascii="Times New Roman" w:eastAsia="Times New Roman" w:hAnsi="Times New Roman" w:cs="Times New Roman"/>
                <w:noProof/>
                <w:color w:val="000000" w:themeColor="text1"/>
                <w:sz w:val="24"/>
                <w:szCs w:val="24"/>
                <w:lang w:val="sq-AL" w:eastAsia="sq-AL"/>
              </w:rPr>
              <w:t>18. Statistical processing</w:t>
            </w:r>
            <w:bookmarkEnd w:id="17"/>
          </w:p>
        </w:tc>
      </w:tr>
      <w:tr w:rsidR="00D77562" w:rsidRPr="00493D72" w14:paraId="1E26D145" w14:textId="77777777" w:rsidTr="00BB1DFF">
        <w:trPr>
          <w:gridAfter w:val="1"/>
          <w:wAfter w:w="851" w:type="dxa"/>
          <w:trHeight w:val="567"/>
        </w:trPr>
        <w:tc>
          <w:tcPr>
            <w:tcW w:w="2471" w:type="dxa"/>
            <w:shd w:val="clear" w:color="auto" w:fill="FFFFCC"/>
            <w:vAlign w:val="center"/>
            <w:hideMark/>
          </w:tcPr>
          <w:p w14:paraId="61F8DCC7" w14:textId="77777777" w:rsidR="00D77562" w:rsidRPr="00493D72" w:rsidRDefault="00D77562" w:rsidP="00D77562">
            <w:pPr>
              <w:spacing w:after="0"/>
              <w:rPr>
                <w:rFonts w:ascii="Times New Roman" w:hAnsi="Times New Roman" w:cs="Times New Roman"/>
                <w:noProof/>
                <w:sz w:val="24"/>
                <w:szCs w:val="24"/>
                <w:lang w:val="sq-AL"/>
              </w:rPr>
            </w:pPr>
            <w:r w:rsidRPr="00493D72">
              <w:rPr>
                <w:rFonts w:ascii="Times New Roman" w:hAnsi="Times New Roman" w:cs="Times New Roman"/>
                <w:noProof/>
                <w:sz w:val="24"/>
                <w:szCs w:val="24"/>
                <w:lang w:val="sq-AL"/>
              </w:rPr>
              <w:t>18.1. Source data </w:t>
            </w:r>
          </w:p>
        </w:tc>
        <w:tc>
          <w:tcPr>
            <w:tcW w:w="7872" w:type="dxa"/>
          </w:tcPr>
          <w:p w14:paraId="0B00336E" w14:textId="63A43E3A" w:rsidR="00E3178D" w:rsidRPr="00E3178D" w:rsidRDefault="00E3178D" w:rsidP="00E3178D">
            <w:pPr>
              <w:spacing w:before="30" w:after="30"/>
              <w:jc w:val="both"/>
              <w:rPr>
                <w:rFonts w:ascii="Times New Roman" w:hAnsi="Times New Roman" w:cs="Times New Roman"/>
                <w:lang w:eastAsia="nl-NL"/>
              </w:rPr>
            </w:pPr>
            <w:r w:rsidRPr="00E3178D">
              <w:rPr>
                <w:rFonts w:ascii="Times New Roman" w:hAnsi="Times New Roman" w:cs="Times New Roman"/>
                <w:lang w:eastAsia="nl-NL"/>
              </w:rPr>
              <w:t xml:space="preserve">Direct reporters (DI) are companies with a high degree of </w:t>
            </w:r>
            <w:r w:rsidR="005F45A0" w:rsidRPr="00E3178D">
              <w:rPr>
                <w:rFonts w:ascii="Times New Roman" w:hAnsi="Times New Roman" w:cs="Times New Roman"/>
                <w:lang w:eastAsia="nl-NL"/>
              </w:rPr>
              <w:t>cross-border</w:t>
            </w:r>
            <w:r w:rsidRPr="00E3178D">
              <w:rPr>
                <w:rFonts w:ascii="Times New Roman" w:hAnsi="Times New Roman" w:cs="Times New Roman"/>
                <w:lang w:eastAsia="nl-NL"/>
              </w:rPr>
              <w:t xml:space="preserve"> transactions and with high position on direct investment. Direct reporters are industrial and commercial corporations for all sectors, engaging in direct investment. These companies report quarterly position data regarding their lending and borrowing transactions with non-residents, at the individual level: (1) transactions on intercompany accounts with non-resident companies; (2) positions; and (3) noncash transactions.</w:t>
            </w:r>
          </w:p>
          <w:p w14:paraId="21C1CBDE" w14:textId="77777777" w:rsidR="00E3178D" w:rsidRPr="00E3178D" w:rsidRDefault="00E3178D" w:rsidP="00E3178D">
            <w:pPr>
              <w:spacing w:before="30" w:after="30"/>
              <w:jc w:val="both"/>
              <w:rPr>
                <w:rFonts w:ascii="Times New Roman" w:hAnsi="Times New Roman" w:cs="Times New Roman"/>
                <w:lang w:eastAsia="nl-NL"/>
              </w:rPr>
            </w:pPr>
            <w:r w:rsidRPr="00E3178D">
              <w:rPr>
                <w:rFonts w:ascii="Times New Roman" w:hAnsi="Times New Roman" w:cs="Times New Roman"/>
                <w:lang w:eastAsia="nl-NL"/>
              </w:rPr>
              <w:t>The National Agency for Natural Resources (NANR) reports data on drilling enterprises active in Albania.</w:t>
            </w:r>
          </w:p>
          <w:p w14:paraId="22B6D360" w14:textId="77777777" w:rsidR="00E3178D" w:rsidRPr="00E3178D" w:rsidRDefault="00E3178D" w:rsidP="00E3178D">
            <w:pPr>
              <w:spacing w:before="30" w:after="30"/>
              <w:jc w:val="both"/>
              <w:rPr>
                <w:rFonts w:ascii="Times New Roman" w:hAnsi="Times New Roman" w:cs="Times New Roman"/>
                <w:lang w:eastAsia="nl-NL"/>
              </w:rPr>
            </w:pPr>
            <w:r w:rsidRPr="00E3178D">
              <w:rPr>
                <w:rFonts w:ascii="Times New Roman" w:hAnsi="Times New Roman" w:cs="Times New Roman"/>
                <w:lang w:eastAsia="nl-NL"/>
              </w:rPr>
              <w:t>The international transactions reporting system (ITRS) is part of the broader institutional data collection framework of many economies. Generally, an ITRS is a data collection system that obtains data from banks on behalf of their customers to counterparties outside at the level of individual transactions. The most comprehensive “traditional” ITRS measures in monthly basis: (1) cash transactions with non-residents that pass through domestic banks; (2) cash transactions that pass-through enterprise accounts with banks abroad; (3) transactions on intercompany accounts with non-resident companies.</w:t>
            </w:r>
          </w:p>
          <w:p w14:paraId="5AD7C78A" w14:textId="77777777" w:rsidR="00E3178D" w:rsidRPr="00E3178D" w:rsidRDefault="00E3178D" w:rsidP="00E3178D">
            <w:pPr>
              <w:spacing w:before="30" w:after="30"/>
              <w:jc w:val="both"/>
              <w:rPr>
                <w:rFonts w:ascii="Times New Roman" w:hAnsi="Times New Roman" w:cs="Times New Roman"/>
                <w:lang w:eastAsia="nl-NL"/>
              </w:rPr>
            </w:pPr>
            <w:r w:rsidRPr="00E3178D">
              <w:rPr>
                <w:rFonts w:ascii="Times New Roman" w:hAnsi="Times New Roman" w:cs="Times New Roman"/>
                <w:lang w:eastAsia="nl-NL"/>
              </w:rPr>
              <w:t>Recently, for evaluation of reinvested earning are use the monthly data from General Tax Directorate.</w:t>
            </w:r>
          </w:p>
          <w:p w14:paraId="230EE5C8" w14:textId="77777777" w:rsidR="00E3178D" w:rsidRPr="00E3178D" w:rsidRDefault="00E3178D" w:rsidP="00E3178D">
            <w:pPr>
              <w:spacing w:before="30" w:after="30"/>
              <w:jc w:val="both"/>
              <w:rPr>
                <w:rFonts w:ascii="Times New Roman" w:hAnsi="Times New Roman" w:cs="Times New Roman"/>
                <w:lang w:eastAsia="nl-NL"/>
              </w:rPr>
            </w:pPr>
            <w:r w:rsidRPr="00E3178D">
              <w:rPr>
                <w:rFonts w:ascii="Times New Roman" w:hAnsi="Times New Roman" w:cs="Times New Roman"/>
                <w:lang w:eastAsia="nl-NL"/>
              </w:rPr>
              <w:t xml:space="preserve">The reporting system for some of the data collected from banks was defined jointly by the Bank of Albania, for the purposes of its statistical obligations, and by the Banking Supervisions Department, for the purposes of banking supervision. The Bank of Albania </w:t>
            </w:r>
            <w:r w:rsidRPr="00E3178D">
              <w:rPr>
                <w:rFonts w:ascii="Times New Roman" w:hAnsi="Times New Roman" w:cs="Times New Roman"/>
                <w:lang w:eastAsia="nl-NL"/>
              </w:rPr>
              <w:lastRenderedPageBreak/>
              <w:t>collects the data monthly from banks and branches of foreign banks and quarterly from the non-bank financial institutions (to determine resident banks’ assets and liabilities vis-à-vis non-residents. The data are also used to estimate and verify the securities portfolios owned by resident banks, along with the direct investment of the resident banking sector (foreign investment and identification of resident banks in which foreign enterprises own equity stakes).</w:t>
            </w:r>
          </w:p>
          <w:p w14:paraId="0D91EBAC" w14:textId="0636C470" w:rsidR="00E3178D" w:rsidRPr="00E3178D" w:rsidRDefault="00E3178D" w:rsidP="00E3178D">
            <w:pPr>
              <w:spacing w:before="30" w:after="30"/>
              <w:jc w:val="both"/>
              <w:rPr>
                <w:rFonts w:ascii="Times New Roman" w:hAnsi="Times New Roman" w:cs="Times New Roman"/>
                <w:lang w:eastAsia="nl-NL"/>
              </w:rPr>
            </w:pPr>
            <w:r w:rsidRPr="00E3178D">
              <w:rPr>
                <w:rFonts w:ascii="Times New Roman" w:hAnsi="Times New Roman" w:cs="Times New Roman"/>
                <w:lang w:eastAsia="nl-NL"/>
              </w:rPr>
              <w:t>Also, each quarter, the Bank of Albania use bilateral data (mirror data) with neighboring countries on direct investments. These data are also used to determine the direct investment transactions and position in the direct investment.</w:t>
            </w:r>
          </w:p>
          <w:p w14:paraId="233AB462" w14:textId="7055244E" w:rsidR="00D77562" w:rsidRPr="00E3178D" w:rsidRDefault="00E3178D" w:rsidP="00E3178D">
            <w:pPr>
              <w:spacing w:before="30" w:after="30"/>
              <w:jc w:val="both"/>
              <w:rPr>
                <w:rFonts w:ascii="Times New Roman" w:hAnsi="Times New Roman" w:cs="Times New Roman"/>
                <w:lang w:eastAsia="nl-NL"/>
              </w:rPr>
            </w:pPr>
            <w:r w:rsidRPr="00E3178D">
              <w:rPr>
                <w:rFonts w:ascii="Times New Roman" w:hAnsi="Times New Roman" w:cs="Times New Roman"/>
                <w:lang w:eastAsia="nl-NL"/>
              </w:rPr>
              <w:t>National Registration Center manages the database on companies and contains information on all entities and 20,000 balance sheets. This data source is used to compile data on inward direct investment income and positions and reconciled once a year in September the annual and quarterly data.</w:t>
            </w:r>
          </w:p>
        </w:tc>
      </w:tr>
      <w:tr w:rsidR="001178D7" w:rsidRPr="00493D72" w14:paraId="7E7D5A90" w14:textId="77777777" w:rsidTr="00BB1DFF">
        <w:trPr>
          <w:gridAfter w:val="1"/>
          <w:wAfter w:w="851" w:type="dxa"/>
          <w:trHeight w:val="567"/>
        </w:trPr>
        <w:tc>
          <w:tcPr>
            <w:tcW w:w="2471" w:type="dxa"/>
            <w:shd w:val="clear" w:color="auto" w:fill="FFFFCC"/>
            <w:vAlign w:val="center"/>
            <w:hideMark/>
          </w:tcPr>
          <w:p w14:paraId="52370A59" w14:textId="77777777" w:rsidR="001178D7" w:rsidRPr="00493D72" w:rsidRDefault="001178D7" w:rsidP="001178D7">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18.2. Frequency of data collection</w:t>
            </w:r>
          </w:p>
        </w:tc>
        <w:tc>
          <w:tcPr>
            <w:tcW w:w="7872" w:type="dxa"/>
            <w:noWrap/>
          </w:tcPr>
          <w:p w14:paraId="2494E0B6" w14:textId="35EEFD8B" w:rsidR="001178D7" w:rsidRPr="00172BEE" w:rsidRDefault="00E46901" w:rsidP="00FF27AD">
            <w:pPr>
              <w:spacing w:before="30" w:after="30" w:line="240" w:lineRule="auto"/>
              <w:jc w:val="both"/>
              <w:rPr>
                <w:sz w:val="24"/>
              </w:rPr>
            </w:pPr>
            <w:r w:rsidRPr="00344520">
              <w:rPr>
                <w:rFonts w:ascii="Times New Roman" w:hAnsi="Times New Roman" w:cs="Times New Roman"/>
                <w:lang w:eastAsia="nl-NL"/>
              </w:rPr>
              <w:t>Annual, quarterly and monthly</w:t>
            </w:r>
            <w:r>
              <w:rPr>
                <w:rFonts w:ascii="Times New Roman" w:hAnsi="Times New Roman" w:cs="Times New Roman"/>
                <w:lang w:eastAsia="nl-NL"/>
              </w:rPr>
              <w:t>.</w:t>
            </w:r>
          </w:p>
        </w:tc>
      </w:tr>
      <w:tr w:rsidR="001178D7" w:rsidRPr="00493D72" w14:paraId="5FC9AE13" w14:textId="77777777" w:rsidTr="00BB1DFF">
        <w:trPr>
          <w:gridAfter w:val="1"/>
          <w:wAfter w:w="851" w:type="dxa"/>
          <w:trHeight w:val="567"/>
        </w:trPr>
        <w:tc>
          <w:tcPr>
            <w:tcW w:w="2471" w:type="dxa"/>
            <w:shd w:val="clear" w:color="auto" w:fill="FFFFCC"/>
            <w:vAlign w:val="center"/>
            <w:hideMark/>
          </w:tcPr>
          <w:p w14:paraId="2A084C36" w14:textId="77777777" w:rsidR="001178D7" w:rsidRPr="00493D72" w:rsidRDefault="001178D7" w:rsidP="001178D7">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18.3. Data collection</w:t>
            </w:r>
          </w:p>
        </w:tc>
        <w:tc>
          <w:tcPr>
            <w:tcW w:w="7872" w:type="dxa"/>
          </w:tcPr>
          <w:p w14:paraId="16BE02A1" w14:textId="77777777" w:rsidR="00E3178D" w:rsidRPr="00016360" w:rsidRDefault="00E3178D" w:rsidP="00E3178D">
            <w:pPr>
              <w:spacing w:after="240" w:line="240" w:lineRule="auto"/>
              <w:ind w:right="85"/>
              <w:jc w:val="both"/>
              <w:rPr>
                <w:rFonts w:ascii="Times New Roman" w:hAnsi="Times New Roman" w:cs="Times New Roman"/>
                <w:lang w:eastAsia="nl-NL"/>
              </w:rPr>
            </w:pPr>
            <w:r w:rsidRPr="00016360">
              <w:rPr>
                <w:rFonts w:ascii="Times New Roman" w:hAnsi="Times New Roman" w:cs="Times New Roman"/>
                <w:lang w:eastAsia="nl-NL"/>
              </w:rPr>
              <w:t xml:space="preserve">Unified financial reporting system (URS) for some of the data collected from banks was defined jointly by the Bank of Albania, for the purposes of its statistical obligations, and by the Banking Supervisions Department, for the purposes of banking supervision. The Bank of Albania collects the data monthly banks and branches of foreign banks and quarterly for the non-bank financial institutions (to determine resident banks’ assets and liabilities vis-à-vis non-residents. The data are also used to estimate and verify the securities portfolios owned by resident banks, along with the direct investment of the resident banking sector (foreign investment and identification of resident banks in which foreign enterprises own equity stakes). </w:t>
            </w:r>
          </w:p>
          <w:p w14:paraId="1277A63E" w14:textId="77777777" w:rsidR="00E3178D" w:rsidRPr="00016360" w:rsidRDefault="00E3178D" w:rsidP="00E3178D">
            <w:pPr>
              <w:spacing w:after="240" w:line="240" w:lineRule="auto"/>
              <w:ind w:right="85"/>
              <w:jc w:val="both"/>
              <w:rPr>
                <w:rFonts w:ascii="Times New Roman" w:hAnsi="Times New Roman" w:cs="Times New Roman"/>
                <w:lang w:eastAsia="nl-NL"/>
              </w:rPr>
            </w:pPr>
            <w:r w:rsidRPr="00016360">
              <w:rPr>
                <w:rFonts w:ascii="Times New Roman" w:hAnsi="Times New Roman" w:cs="Times New Roman"/>
                <w:lang w:eastAsia="nl-NL"/>
              </w:rPr>
              <w:t>The equity capital transactions and positions of outward direct investment come partly from the direct reporting ITRS (International transactions reporting system) and partly from mirror data sources like the reporting from the Bank of Kosovo.</w:t>
            </w:r>
          </w:p>
          <w:p w14:paraId="13316481" w14:textId="6643FEE9" w:rsidR="00E3178D" w:rsidRPr="00016360" w:rsidRDefault="00E3178D" w:rsidP="00E3178D">
            <w:pPr>
              <w:spacing w:after="240" w:line="240" w:lineRule="auto"/>
              <w:ind w:right="85"/>
              <w:jc w:val="both"/>
              <w:rPr>
                <w:rFonts w:ascii="Times New Roman" w:hAnsi="Times New Roman" w:cs="Times New Roman"/>
                <w:lang w:eastAsia="nl-NL"/>
              </w:rPr>
            </w:pPr>
            <w:r w:rsidRPr="00016360">
              <w:rPr>
                <w:rFonts w:ascii="Times New Roman" w:hAnsi="Times New Roman" w:cs="Times New Roman"/>
                <w:lang w:eastAsia="nl-NL"/>
              </w:rPr>
              <w:t>The equity capital transactions and positions of inward direct investment are based primarily on the identification of non-residents’ holdings of more than 10% of the equity capital in any resident enterprise. The comprehensive and up-to-date business register of DI is available for the purpose of identifying the largest direct investment companies which are provided by Institute of Statistics. Direct reporters (DI) are companies with a high degree of cross-border transactions and with high position on direct investment</w:t>
            </w:r>
          </w:p>
          <w:p w14:paraId="68E96361" w14:textId="77777777" w:rsidR="00E3178D" w:rsidRPr="00016360" w:rsidRDefault="00E3178D" w:rsidP="00E3178D">
            <w:pPr>
              <w:spacing w:after="240" w:line="240" w:lineRule="auto"/>
              <w:ind w:right="85"/>
              <w:jc w:val="both"/>
              <w:rPr>
                <w:rFonts w:ascii="Times New Roman" w:hAnsi="Times New Roman" w:cs="Times New Roman"/>
                <w:lang w:eastAsia="nl-NL"/>
              </w:rPr>
            </w:pPr>
            <w:r w:rsidRPr="00016360">
              <w:rPr>
                <w:rFonts w:ascii="Times New Roman" w:hAnsi="Times New Roman" w:cs="Times New Roman"/>
                <w:lang w:eastAsia="nl-NL"/>
              </w:rPr>
              <w:t>Transactions and positions are also tracked using the accounting data of the direct investment enterprises identified. The data sources depend on the sector of the direct investment enterprise:</w:t>
            </w:r>
          </w:p>
          <w:p w14:paraId="5C967B1F" w14:textId="3FEC8F6D" w:rsidR="00E3178D" w:rsidRPr="00016360" w:rsidRDefault="00E3178D" w:rsidP="00E3178D">
            <w:pPr>
              <w:pStyle w:val="ListParagraph"/>
              <w:numPr>
                <w:ilvl w:val="0"/>
                <w:numId w:val="25"/>
              </w:numPr>
              <w:spacing w:after="240"/>
              <w:ind w:right="85"/>
              <w:jc w:val="both"/>
              <w:rPr>
                <w:rFonts w:ascii="Times New Roman" w:hAnsi="Times New Roman" w:cs="Times New Roman"/>
                <w:sz w:val="22"/>
                <w:szCs w:val="22"/>
                <w:lang w:eastAsia="nl-NL"/>
              </w:rPr>
            </w:pPr>
            <w:r w:rsidRPr="00016360">
              <w:rPr>
                <w:rFonts w:ascii="Times New Roman" w:hAnsi="Times New Roman" w:cs="Times New Roman"/>
                <w:sz w:val="22"/>
                <w:szCs w:val="22"/>
                <w:lang w:eastAsia="nl-NL"/>
              </w:rPr>
              <w:t>industrial and commercial sector: Bank of Albania (direct reports DI, ITRS) and National Business Centre (annual data); the National Agency for Natural Resources (NANR) reports quarterly data on drilling enterprises active in Albania.</w:t>
            </w:r>
          </w:p>
          <w:p w14:paraId="13FE29E8" w14:textId="7CBF26AE" w:rsidR="00E3178D" w:rsidRPr="00016360" w:rsidRDefault="00E3178D" w:rsidP="00E3178D">
            <w:pPr>
              <w:pStyle w:val="ListParagraph"/>
              <w:numPr>
                <w:ilvl w:val="0"/>
                <w:numId w:val="25"/>
              </w:numPr>
              <w:spacing w:after="240"/>
              <w:ind w:right="85"/>
              <w:jc w:val="both"/>
              <w:rPr>
                <w:rFonts w:ascii="Times New Roman" w:hAnsi="Times New Roman" w:cs="Times New Roman"/>
                <w:sz w:val="22"/>
                <w:szCs w:val="22"/>
                <w:lang w:eastAsia="nl-NL"/>
              </w:rPr>
            </w:pPr>
            <w:r w:rsidRPr="00016360">
              <w:rPr>
                <w:rFonts w:ascii="Times New Roman" w:hAnsi="Times New Roman" w:cs="Times New Roman"/>
                <w:sz w:val="22"/>
                <w:szCs w:val="22"/>
                <w:lang w:eastAsia="nl-NL"/>
              </w:rPr>
              <w:t>banking and finance: Bank of Albania (direct reports URS).</w:t>
            </w:r>
          </w:p>
          <w:p w14:paraId="189A745D" w14:textId="1D93D911" w:rsidR="00E3178D" w:rsidRPr="00016360" w:rsidRDefault="00E3178D" w:rsidP="00E3178D">
            <w:pPr>
              <w:pStyle w:val="ListParagraph"/>
              <w:numPr>
                <w:ilvl w:val="0"/>
                <w:numId w:val="25"/>
              </w:numPr>
              <w:spacing w:after="240"/>
              <w:ind w:right="85"/>
              <w:jc w:val="both"/>
              <w:rPr>
                <w:rFonts w:ascii="Times New Roman" w:hAnsi="Times New Roman" w:cs="Times New Roman"/>
                <w:sz w:val="22"/>
                <w:szCs w:val="22"/>
                <w:lang w:eastAsia="nl-NL"/>
              </w:rPr>
            </w:pPr>
            <w:r w:rsidRPr="00016360">
              <w:rPr>
                <w:rFonts w:ascii="Times New Roman" w:hAnsi="Times New Roman" w:cs="Times New Roman"/>
                <w:sz w:val="22"/>
                <w:szCs w:val="22"/>
                <w:lang w:eastAsia="nl-NL"/>
              </w:rPr>
              <w:t>insurance: direct reporters (DI) and National Business Centre (annual data).</w:t>
            </w:r>
          </w:p>
          <w:p w14:paraId="786EC768" w14:textId="3077D9AC" w:rsidR="00E3178D" w:rsidRPr="00016360" w:rsidRDefault="00E3178D" w:rsidP="00E3178D">
            <w:pPr>
              <w:pStyle w:val="ListParagraph"/>
              <w:numPr>
                <w:ilvl w:val="0"/>
                <w:numId w:val="25"/>
              </w:numPr>
              <w:spacing w:after="240"/>
              <w:ind w:right="85"/>
              <w:jc w:val="both"/>
              <w:rPr>
                <w:rFonts w:ascii="Times New Roman" w:hAnsi="Times New Roman" w:cs="Times New Roman"/>
                <w:sz w:val="22"/>
                <w:szCs w:val="22"/>
                <w:lang w:eastAsia="nl-NL"/>
              </w:rPr>
            </w:pPr>
            <w:r w:rsidRPr="00016360">
              <w:rPr>
                <w:rFonts w:ascii="Times New Roman" w:hAnsi="Times New Roman" w:cs="Times New Roman"/>
                <w:sz w:val="22"/>
                <w:szCs w:val="22"/>
                <w:lang w:eastAsia="nl-NL"/>
              </w:rPr>
              <w:t>the real-estate investment transactions (ITRS).</w:t>
            </w:r>
          </w:p>
          <w:p w14:paraId="07CFCDE1" w14:textId="708846F9" w:rsidR="00E3178D" w:rsidRPr="00016360" w:rsidRDefault="00E3178D" w:rsidP="00E3178D">
            <w:pPr>
              <w:pStyle w:val="ListParagraph"/>
              <w:numPr>
                <w:ilvl w:val="0"/>
                <w:numId w:val="25"/>
              </w:numPr>
              <w:spacing w:after="240"/>
              <w:ind w:right="85"/>
              <w:jc w:val="both"/>
              <w:rPr>
                <w:rFonts w:ascii="Times New Roman" w:hAnsi="Times New Roman" w:cs="Times New Roman"/>
                <w:sz w:val="22"/>
                <w:szCs w:val="22"/>
                <w:lang w:eastAsia="nl-NL"/>
              </w:rPr>
            </w:pPr>
            <w:r w:rsidRPr="00016360">
              <w:rPr>
                <w:rFonts w:ascii="Times New Roman" w:hAnsi="Times New Roman" w:cs="Times New Roman"/>
                <w:sz w:val="22"/>
                <w:szCs w:val="22"/>
                <w:lang w:eastAsia="nl-NL"/>
              </w:rPr>
              <w:t>the real-estate position is calculated through cumulative flows during years.</w:t>
            </w:r>
          </w:p>
          <w:p w14:paraId="1B607DE0" w14:textId="47357D68" w:rsidR="00E3178D" w:rsidRPr="00E3178D" w:rsidRDefault="00E3178D" w:rsidP="00E3178D">
            <w:pPr>
              <w:spacing w:after="240" w:line="240" w:lineRule="auto"/>
              <w:ind w:right="85"/>
              <w:jc w:val="both"/>
              <w:rPr>
                <w:rFonts w:ascii="Times New Roman" w:hAnsi="Times New Roman" w:cs="Times New Roman"/>
                <w:sz w:val="24"/>
                <w:szCs w:val="24"/>
                <w:lang w:eastAsia="nl-NL"/>
              </w:rPr>
            </w:pPr>
            <w:r w:rsidRPr="00016360">
              <w:rPr>
                <w:rFonts w:ascii="Times New Roman" w:hAnsi="Times New Roman" w:cs="Times New Roman"/>
                <w:lang w:eastAsia="nl-NL"/>
              </w:rPr>
              <w:t xml:space="preserve">Further information could be found on the BOA’s webpage (Albanian versions): </w:t>
            </w:r>
            <w:hyperlink r:id="rId18" w:history="1">
              <w:r w:rsidRPr="0086362C">
                <w:rPr>
                  <w:rStyle w:val="Hyperlink"/>
                  <w:rFonts w:ascii="Times New Roman" w:hAnsi="Times New Roman" w:cs="Times New Roman"/>
                  <w:sz w:val="24"/>
                  <w:szCs w:val="24"/>
                  <w:lang w:eastAsia="nl-NL"/>
                </w:rPr>
                <w:t>https://www.bankofalbania.org/Statistikat/Statistikat_e_Sektorit_te_Jashtem/Investimet_e_huaja_direkte/</w:t>
              </w:r>
            </w:hyperlink>
          </w:p>
        </w:tc>
      </w:tr>
      <w:tr w:rsidR="001178D7" w:rsidRPr="00493D72" w14:paraId="5182E177" w14:textId="77777777" w:rsidTr="00BB1DFF">
        <w:trPr>
          <w:gridAfter w:val="1"/>
          <w:wAfter w:w="851" w:type="dxa"/>
          <w:trHeight w:val="567"/>
        </w:trPr>
        <w:tc>
          <w:tcPr>
            <w:tcW w:w="2471" w:type="dxa"/>
            <w:shd w:val="clear" w:color="auto" w:fill="FFFFCC"/>
            <w:vAlign w:val="center"/>
            <w:hideMark/>
          </w:tcPr>
          <w:p w14:paraId="5727F57A" w14:textId="77777777" w:rsidR="001178D7" w:rsidRPr="00493D72" w:rsidRDefault="001178D7" w:rsidP="001178D7">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18.4. Data validation</w:t>
            </w:r>
          </w:p>
        </w:tc>
        <w:tc>
          <w:tcPr>
            <w:tcW w:w="7872" w:type="dxa"/>
          </w:tcPr>
          <w:p w14:paraId="60332526" w14:textId="77777777" w:rsidR="00E3178D" w:rsidRPr="00E3178D" w:rsidRDefault="00E3178D" w:rsidP="00E3178D">
            <w:pPr>
              <w:spacing w:before="30" w:after="30"/>
              <w:jc w:val="both"/>
              <w:rPr>
                <w:rFonts w:ascii="Times New Roman" w:hAnsi="Times New Roman" w:cs="Times New Roman"/>
                <w:lang w:eastAsia="nl-NL"/>
              </w:rPr>
            </w:pPr>
            <w:r w:rsidRPr="00E3178D">
              <w:rPr>
                <w:rFonts w:ascii="Times New Roman" w:hAnsi="Times New Roman" w:cs="Times New Roman"/>
                <w:lang w:eastAsia="nl-NL"/>
              </w:rPr>
              <w:t>Data are checked according to:</w:t>
            </w:r>
          </w:p>
          <w:p w14:paraId="252506D6" w14:textId="77777777" w:rsidR="00E3178D" w:rsidRPr="00E3178D" w:rsidRDefault="00E3178D" w:rsidP="00E3178D">
            <w:pPr>
              <w:spacing w:before="30" w:after="30"/>
              <w:jc w:val="both"/>
              <w:rPr>
                <w:rFonts w:ascii="Times New Roman" w:hAnsi="Times New Roman" w:cs="Times New Roman"/>
                <w:lang w:eastAsia="nl-NL"/>
              </w:rPr>
            </w:pPr>
            <w:r w:rsidRPr="00E3178D">
              <w:rPr>
                <w:rFonts w:ascii="Times New Roman" w:hAnsi="Times New Roman" w:cs="Times New Roman"/>
                <w:lang w:eastAsia="nl-NL"/>
              </w:rPr>
              <w:t>- Validation level 1 - Quality checks related to information included in the file,</w:t>
            </w:r>
          </w:p>
          <w:p w14:paraId="18840607" w14:textId="77777777" w:rsidR="00E3178D" w:rsidRPr="00E3178D" w:rsidRDefault="00E3178D" w:rsidP="00E3178D">
            <w:pPr>
              <w:spacing w:before="30" w:after="30"/>
              <w:jc w:val="both"/>
              <w:rPr>
                <w:rFonts w:ascii="Times New Roman" w:hAnsi="Times New Roman" w:cs="Times New Roman"/>
                <w:lang w:eastAsia="nl-NL"/>
              </w:rPr>
            </w:pPr>
            <w:r w:rsidRPr="00E3178D">
              <w:rPr>
                <w:rFonts w:ascii="Times New Roman" w:hAnsi="Times New Roman" w:cs="Times New Roman"/>
                <w:lang w:eastAsia="nl-NL"/>
              </w:rPr>
              <w:t>- Validation level 2 - Revision checks,</w:t>
            </w:r>
          </w:p>
          <w:p w14:paraId="1BE7FC8F" w14:textId="77777777" w:rsidR="00E3178D" w:rsidRPr="00E3178D" w:rsidRDefault="00E3178D" w:rsidP="00E3178D">
            <w:pPr>
              <w:spacing w:before="30" w:after="30"/>
              <w:jc w:val="both"/>
              <w:rPr>
                <w:rFonts w:ascii="Times New Roman" w:hAnsi="Times New Roman" w:cs="Times New Roman"/>
                <w:lang w:eastAsia="nl-NL"/>
              </w:rPr>
            </w:pPr>
            <w:r w:rsidRPr="00E3178D">
              <w:rPr>
                <w:rFonts w:ascii="Times New Roman" w:hAnsi="Times New Roman" w:cs="Times New Roman"/>
                <w:lang w:eastAsia="nl-NL"/>
              </w:rPr>
              <w:t>- Validation level 3 - Consistency checks IIP statistics data and BOP financial accounts data,</w:t>
            </w:r>
          </w:p>
          <w:p w14:paraId="2DD0AE67" w14:textId="62E787A1" w:rsidR="00E3178D" w:rsidRPr="00E3178D" w:rsidRDefault="00E3178D" w:rsidP="00E3178D">
            <w:pPr>
              <w:spacing w:before="30" w:after="30"/>
              <w:jc w:val="both"/>
              <w:rPr>
                <w:rFonts w:ascii="Times New Roman" w:hAnsi="Times New Roman" w:cs="Times New Roman"/>
                <w:lang w:eastAsia="nl-NL"/>
              </w:rPr>
            </w:pPr>
            <w:r w:rsidRPr="00E3178D">
              <w:rPr>
                <w:rFonts w:ascii="Times New Roman" w:hAnsi="Times New Roman" w:cs="Times New Roman"/>
                <w:lang w:eastAsia="nl-NL"/>
              </w:rPr>
              <w:t>For each source, the internal and external coherence of individual data of transactions and positions on enterprise level is checked by ascertaining that accounts are balanced, and the data in different sources are consistent to choose the most reliable data based on the appropriate coherency check. Information on individual transactions is available at BOA from reporting system and BOA can obtain further details of data if needed for the purpose of quality control. In case banks have difficulties with classification, ad-hoc advice will be asked from BOA. BOA organizes training of commercial bank staff for coding work on a regular basis.</w:t>
            </w:r>
          </w:p>
          <w:p w14:paraId="39BF5E97" w14:textId="4887A61B" w:rsidR="00E3178D" w:rsidRPr="00E3178D" w:rsidRDefault="00E3178D" w:rsidP="00E3178D">
            <w:pPr>
              <w:spacing w:before="30" w:after="30"/>
              <w:jc w:val="both"/>
              <w:rPr>
                <w:rFonts w:ascii="Times New Roman" w:hAnsi="Times New Roman" w:cs="Times New Roman"/>
                <w:lang w:eastAsia="nl-NL"/>
              </w:rPr>
            </w:pPr>
            <w:r w:rsidRPr="00E3178D">
              <w:rPr>
                <w:rFonts w:ascii="Times New Roman" w:hAnsi="Times New Roman" w:cs="Times New Roman"/>
                <w:lang w:eastAsia="nl-NL"/>
              </w:rPr>
              <w:t>Integrity rules state that the sum of the components should be equal to the aggregates. The integrity rules are defined by a set of equations included in the BOP Vademecum, which should be complied with the datasets transmitted to Eurostat.</w:t>
            </w:r>
          </w:p>
          <w:p w14:paraId="7D9C9108" w14:textId="77777777" w:rsidR="00E3178D" w:rsidRPr="00E3178D" w:rsidRDefault="00E3178D" w:rsidP="00E3178D">
            <w:pPr>
              <w:spacing w:before="30" w:after="30"/>
              <w:jc w:val="both"/>
              <w:rPr>
                <w:rFonts w:ascii="Times New Roman" w:hAnsi="Times New Roman" w:cs="Times New Roman"/>
                <w:lang w:eastAsia="nl-NL"/>
              </w:rPr>
            </w:pPr>
            <w:r w:rsidRPr="00E3178D">
              <w:rPr>
                <w:rFonts w:ascii="Times New Roman" w:hAnsi="Times New Roman" w:cs="Times New Roman"/>
                <w:lang w:eastAsia="nl-NL"/>
              </w:rPr>
              <w:t xml:space="preserve">In principle, when annual data are available, quarterly data should be adjusted accordingly. Each subsequent quarterly publication includes revisions of previous years.   </w:t>
            </w:r>
          </w:p>
          <w:p w14:paraId="7A74D95D" w14:textId="44A9CCD0" w:rsidR="00E3178D" w:rsidRPr="00E3178D" w:rsidRDefault="00E3178D" w:rsidP="00E3178D">
            <w:pPr>
              <w:spacing w:before="30" w:after="30"/>
              <w:jc w:val="both"/>
              <w:rPr>
                <w:rFonts w:ascii="Times New Roman" w:hAnsi="Times New Roman" w:cs="Times New Roman"/>
                <w:lang w:eastAsia="nl-NL"/>
              </w:rPr>
            </w:pPr>
            <w:r w:rsidRPr="00E3178D">
              <w:rPr>
                <w:rFonts w:ascii="Times New Roman" w:hAnsi="Times New Roman" w:cs="Times New Roman"/>
                <w:lang w:eastAsia="nl-NL"/>
              </w:rPr>
              <w:t>Generally, the value of DI at the end of the analyses year should be equal to sum of DI at the end of the previous year, BOP financial account transactions in analyses year, revaluations due to exchange rate changes in analyses year, revaluations due to other price changes in analyses year and other changes in the volume of assets/liabilities in analyses year.</w:t>
            </w:r>
          </w:p>
          <w:p w14:paraId="33013CB6" w14:textId="6FC3AF8E" w:rsidR="001178D7" w:rsidRPr="00344520" w:rsidRDefault="00E3178D" w:rsidP="00E3178D">
            <w:pPr>
              <w:spacing w:before="30" w:after="30"/>
              <w:jc w:val="both"/>
              <w:rPr>
                <w:rFonts w:ascii="Times New Roman" w:hAnsi="Times New Roman" w:cs="Times New Roman"/>
                <w:lang w:eastAsia="nl-NL"/>
              </w:rPr>
            </w:pPr>
            <w:r w:rsidRPr="00E3178D">
              <w:rPr>
                <w:rFonts w:ascii="Times New Roman" w:hAnsi="Times New Roman" w:cs="Times New Roman"/>
                <w:lang w:eastAsia="nl-NL"/>
              </w:rPr>
              <w:t>Direct investment positions indicators (transactions) are reconciled with the Balance of Payments (Financial Account) indicators and the External Debt indicators for inter-lending company positions.  The difference between the opening position and closing position value of direct investment data for each category is equal to the sum of transactions, price changes, exchange rate changes, and other adjustments for that category</w:t>
            </w:r>
          </w:p>
        </w:tc>
      </w:tr>
      <w:tr w:rsidR="001178D7" w:rsidRPr="00493D72" w14:paraId="5F4662FF" w14:textId="77777777" w:rsidTr="00BB1DFF">
        <w:trPr>
          <w:gridAfter w:val="1"/>
          <w:wAfter w:w="851" w:type="dxa"/>
          <w:trHeight w:val="567"/>
        </w:trPr>
        <w:tc>
          <w:tcPr>
            <w:tcW w:w="2471" w:type="dxa"/>
            <w:shd w:val="clear" w:color="auto" w:fill="FFFFCC"/>
            <w:vAlign w:val="center"/>
            <w:hideMark/>
          </w:tcPr>
          <w:p w14:paraId="251079C9" w14:textId="77777777" w:rsidR="001178D7" w:rsidRPr="00493D72" w:rsidRDefault="001178D7" w:rsidP="001178D7">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18.5. Data compilation </w:t>
            </w:r>
          </w:p>
        </w:tc>
        <w:tc>
          <w:tcPr>
            <w:tcW w:w="7872" w:type="dxa"/>
          </w:tcPr>
          <w:p w14:paraId="5FE57201" w14:textId="77777777" w:rsidR="00E3178D" w:rsidRPr="00E3178D" w:rsidRDefault="00E3178D" w:rsidP="00E3178D">
            <w:pPr>
              <w:spacing w:before="30" w:after="30"/>
              <w:jc w:val="both"/>
              <w:rPr>
                <w:rFonts w:ascii="Times New Roman" w:hAnsi="Times New Roman" w:cs="Times New Roman"/>
                <w:lang w:eastAsia="nl-NL"/>
              </w:rPr>
            </w:pPr>
            <w:r w:rsidRPr="00E3178D">
              <w:rPr>
                <w:rFonts w:ascii="Times New Roman" w:hAnsi="Times New Roman" w:cs="Times New Roman"/>
                <w:lang w:eastAsia="nl-NL"/>
              </w:rPr>
              <w:t xml:space="preserve">Positions in financial assets and liabilities according to the methodology generally must be valued on the market value. Stock Exchange is currently not operational and determining such a value is difficult. </w:t>
            </w:r>
          </w:p>
          <w:p w14:paraId="00536ACE" w14:textId="4E13AF3D" w:rsidR="00E3178D" w:rsidRPr="00E3178D" w:rsidRDefault="00E3178D" w:rsidP="00E3178D">
            <w:pPr>
              <w:spacing w:before="30" w:after="30"/>
              <w:jc w:val="both"/>
              <w:rPr>
                <w:rFonts w:ascii="Times New Roman" w:hAnsi="Times New Roman" w:cs="Times New Roman"/>
                <w:lang w:eastAsia="nl-NL"/>
              </w:rPr>
            </w:pPr>
            <w:r w:rsidRPr="00E3178D">
              <w:rPr>
                <w:rFonts w:ascii="Times New Roman" w:hAnsi="Times New Roman" w:cs="Times New Roman"/>
                <w:lang w:eastAsia="nl-NL"/>
              </w:rPr>
              <w:t>All the items of DI, position of direct investment assets and liabilities is reported at book value, meaning the value that enterprises report in their financial statements.</w:t>
            </w:r>
          </w:p>
          <w:p w14:paraId="041CC88C" w14:textId="1B351D88" w:rsidR="001178D7" w:rsidRDefault="00E3178D" w:rsidP="00E3178D">
            <w:pPr>
              <w:spacing w:before="30" w:after="30"/>
              <w:jc w:val="both"/>
              <w:rPr>
                <w:sz w:val="24"/>
              </w:rPr>
            </w:pPr>
            <w:r w:rsidRPr="00E3178D">
              <w:rPr>
                <w:rFonts w:ascii="Times New Roman" w:hAnsi="Times New Roman" w:cs="Times New Roman"/>
                <w:lang w:eastAsia="nl-NL"/>
              </w:rPr>
              <w:t>The distinction between short-term and long-term debt is based on the original maturity. The long-term debt includes all liabilities with original maturity of more than a year, and the short-term those with original maturity of one year or less).</w:t>
            </w:r>
          </w:p>
        </w:tc>
      </w:tr>
      <w:tr w:rsidR="001178D7" w:rsidRPr="00493D72" w14:paraId="04430D8D" w14:textId="77777777" w:rsidTr="00BB1DFF">
        <w:trPr>
          <w:gridAfter w:val="1"/>
          <w:wAfter w:w="851" w:type="dxa"/>
          <w:trHeight w:val="567"/>
        </w:trPr>
        <w:tc>
          <w:tcPr>
            <w:tcW w:w="2471" w:type="dxa"/>
            <w:shd w:val="clear" w:color="auto" w:fill="FFFFCC"/>
            <w:vAlign w:val="center"/>
            <w:hideMark/>
          </w:tcPr>
          <w:p w14:paraId="2A50BD0F" w14:textId="77777777" w:rsidR="001178D7" w:rsidRPr="00493D72" w:rsidRDefault="001178D7" w:rsidP="001178D7">
            <w:pPr>
              <w:spacing w:after="0"/>
              <w:rPr>
                <w:rFonts w:ascii="Times New Roman" w:hAnsi="Times New Roman" w:cs="Times New Roman"/>
                <w:noProof/>
                <w:sz w:val="24"/>
                <w:szCs w:val="24"/>
                <w:lang w:val="sq-AL"/>
              </w:rPr>
            </w:pPr>
            <w:r w:rsidRPr="00493D72">
              <w:rPr>
                <w:rFonts w:ascii="Times New Roman" w:hAnsi="Times New Roman" w:cs="Times New Roman"/>
                <w:noProof/>
                <w:sz w:val="24"/>
                <w:szCs w:val="24"/>
                <w:lang w:val="sq-AL"/>
              </w:rPr>
              <w:t>18.6. Adjustment</w:t>
            </w:r>
          </w:p>
        </w:tc>
        <w:tc>
          <w:tcPr>
            <w:tcW w:w="7872" w:type="dxa"/>
            <w:noWrap/>
          </w:tcPr>
          <w:p w14:paraId="7671BBEB" w14:textId="2E490E2D" w:rsidR="001178D7" w:rsidRDefault="00E46901" w:rsidP="00F56CBD">
            <w:pPr>
              <w:pStyle w:val="TableParagraph"/>
              <w:spacing w:before="240" w:after="240"/>
              <w:ind w:right="85"/>
              <w:jc w:val="both"/>
              <w:rPr>
                <w:sz w:val="24"/>
              </w:rPr>
            </w:pPr>
            <w:r w:rsidRPr="00344520">
              <w:rPr>
                <w:lang w:eastAsia="nl-NL"/>
              </w:rPr>
              <w:t>Not applicable</w:t>
            </w:r>
          </w:p>
        </w:tc>
      </w:tr>
      <w:tr w:rsidR="001178D7" w:rsidRPr="00493D72" w14:paraId="317E9AA4" w14:textId="77777777" w:rsidTr="00BB1DFF">
        <w:trPr>
          <w:gridAfter w:val="1"/>
          <w:wAfter w:w="851" w:type="dxa"/>
          <w:trHeight w:val="567"/>
        </w:trPr>
        <w:tc>
          <w:tcPr>
            <w:tcW w:w="2471" w:type="dxa"/>
            <w:shd w:val="clear" w:color="auto" w:fill="C5E0B3" w:themeFill="accent6" w:themeFillTint="66"/>
            <w:vAlign w:val="center"/>
            <w:hideMark/>
          </w:tcPr>
          <w:p w14:paraId="1B6B9259" w14:textId="77777777" w:rsidR="001178D7" w:rsidRPr="00493D72" w:rsidRDefault="001178D7" w:rsidP="001178D7">
            <w:pPr>
              <w:pStyle w:val="Heading1"/>
              <w:spacing w:before="0"/>
              <w:rPr>
                <w:rFonts w:ascii="Times New Roman" w:eastAsia="Times New Roman" w:hAnsi="Times New Roman" w:cs="Times New Roman"/>
                <w:b w:val="0"/>
                <w:bCs w:val="0"/>
                <w:noProof/>
                <w:color w:val="000000"/>
                <w:sz w:val="24"/>
                <w:szCs w:val="24"/>
                <w:lang w:val="sq-AL" w:eastAsia="sq-AL"/>
              </w:rPr>
            </w:pPr>
            <w:bookmarkStart w:id="18" w:name="_Toc222230612"/>
            <w:r w:rsidRPr="00493D72">
              <w:rPr>
                <w:rFonts w:ascii="Times New Roman" w:eastAsia="Times New Roman" w:hAnsi="Times New Roman" w:cs="Times New Roman"/>
                <w:noProof/>
                <w:color w:val="000000" w:themeColor="text1"/>
                <w:sz w:val="24"/>
                <w:szCs w:val="24"/>
                <w:lang w:val="sq-AL" w:eastAsia="sq-AL"/>
              </w:rPr>
              <w:t>19. Comment</w:t>
            </w:r>
            <w:bookmarkEnd w:id="18"/>
          </w:p>
        </w:tc>
        <w:tc>
          <w:tcPr>
            <w:tcW w:w="7872" w:type="dxa"/>
            <w:noWrap/>
            <w:vAlign w:val="center"/>
            <w:hideMark/>
          </w:tcPr>
          <w:p w14:paraId="08DA15AF" w14:textId="77777777" w:rsidR="001178D7" w:rsidRPr="00493D72" w:rsidRDefault="001178D7" w:rsidP="001178D7">
            <w:pPr>
              <w:spacing w:after="0"/>
              <w:rPr>
                <w:rFonts w:ascii="Times New Roman" w:eastAsia="Times New Roman" w:hAnsi="Times New Roman" w:cs="Times New Roman"/>
                <w:noProof/>
                <w:color w:val="000000"/>
                <w:sz w:val="24"/>
                <w:szCs w:val="24"/>
                <w:lang w:val="sq-AL" w:eastAsia="sq-AL"/>
              </w:rPr>
            </w:pPr>
          </w:p>
        </w:tc>
      </w:tr>
      <w:tr w:rsidR="001178D7" w:rsidRPr="00493D72" w14:paraId="3BFA2BB6" w14:textId="77777777" w:rsidTr="00BB1DFF">
        <w:trPr>
          <w:gridAfter w:val="1"/>
          <w:wAfter w:w="851" w:type="dxa"/>
          <w:trHeight w:val="567"/>
        </w:trPr>
        <w:tc>
          <w:tcPr>
            <w:tcW w:w="10343" w:type="dxa"/>
            <w:gridSpan w:val="2"/>
            <w:shd w:val="clear" w:color="auto" w:fill="C5E0B3" w:themeFill="accent6" w:themeFillTint="66"/>
            <w:vAlign w:val="center"/>
            <w:hideMark/>
          </w:tcPr>
          <w:p w14:paraId="60FF44AB" w14:textId="77777777" w:rsidR="001178D7" w:rsidRPr="00493D72" w:rsidRDefault="001178D7" w:rsidP="001178D7">
            <w:pPr>
              <w:pStyle w:val="Heading1"/>
              <w:spacing w:before="0"/>
              <w:rPr>
                <w:rFonts w:ascii="Times New Roman" w:eastAsia="Times New Roman" w:hAnsi="Times New Roman" w:cs="Times New Roman"/>
                <w:noProof/>
                <w:color w:val="000000"/>
                <w:sz w:val="24"/>
                <w:szCs w:val="24"/>
                <w:lang w:val="sq-AL" w:eastAsia="sq-AL"/>
              </w:rPr>
            </w:pPr>
            <w:bookmarkStart w:id="19" w:name="_Toc222230613"/>
            <w:r w:rsidRPr="00493D72">
              <w:rPr>
                <w:rFonts w:ascii="Times New Roman" w:eastAsia="Times New Roman" w:hAnsi="Times New Roman" w:cs="Times New Roman"/>
                <w:bCs w:val="0"/>
                <w:noProof/>
                <w:color w:val="000000"/>
                <w:sz w:val="24"/>
                <w:szCs w:val="24"/>
                <w:lang w:val="sq-AL" w:eastAsia="sq-AL"/>
              </w:rPr>
              <w:t>Annex</w:t>
            </w:r>
            <w:bookmarkEnd w:id="19"/>
          </w:p>
        </w:tc>
      </w:tr>
    </w:tbl>
    <w:p w14:paraId="076BCBEC" w14:textId="77777777" w:rsidR="0055533F" w:rsidRDefault="0055533F" w:rsidP="0055533F">
      <w:pPr>
        <w:tabs>
          <w:tab w:val="left" w:pos="4182"/>
        </w:tabs>
        <w:spacing w:after="0"/>
        <w:rPr>
          <w:b/>
          <w:highlight w:val="yellow"/>
        </w:rPr>
      </w:pPr>
    </w:p>
    <w:p w14:paraId="4D7AD84D" w14:textId="77777777" w:rsidR="0055533F" w:rsidRDefault="0055533F" w:rsidP="0055533F">
      <w:pPr>
        <w:tabs>
          <w:tab w:val="left" w:pos="4182"/>
        </w:tabs>
        <w:spacing w:after="0"/>
        <w:rPr>
          <w:b/>
          <w:highlight w:val="yellow"/>
        </w:rPr>
      </w:pPr>
    </w:p>
    <w:p w14:paraId="7CC8EB52" w14:textId="77777777" w:rsidR="0055533F" w:rsidRDefault="0055533F" w:rsidP="0055533F">
      <w:pPr>
        <w:tabs>
          <w:tab w:val="left" w:pos="4182"/>
        </w:tabs>
        <w:spacing w:after="0"/>
        <w:rPr>
          <w:b/>
          <w:highlight w:val="yellow"/>
        </w:rPr>
      </w:pPr>
    </w:p>
    <w:p w14:paraId="42F89177" w14:textId="77777777" w:rsidR="0055533F" w:rsidRDefault="0055533F" w:rsidP="0055533F">
      <w:pPr>
        <w:tabs>
          <w:tab w:val="left" w:pos="4182"/>
        </w:tabs>
        <w:spacing w:after="0"/>
        <w:rPr>
          <w:b/>
          <w:highlight w:val="yellow"/>
        </w:rPr>
      </w:pPr>
    </w:p>
    <w:p w14:paraId="54F152A1" w14:textId="77777777" w:rsidR="0055533F" w:rsidRDefault="0055533F" w:rsidP="0055533F">
      <w:pPr>
        <w:tabs>
          <w:tab w:val="left" w:pos="4182"/>
        </w:tabs>
        <w:spacing w:after="0"/>
        <w:rPr>
          <w:b/>
          <w:highlight w:val="yellow"/>
        </w:rPr>
      </w:pPr>
    </w:p>
    <w:p w14:paraId="48FBC081" w14:textId="77777777" w:rsidR="0055533F" w:rsidRDefault="0055533F" w:rsidP="0055533F">
      <w:pPr>
        <w:tabs>
          <w:tab w:val="left" w:pos="4182"/>
        </w:tabs>
        <w:spacing w:after="0"/>
        <w:rPr>
          <w:b/>
          <w:highlight w:val="yellow"/>
        </w:rPr>
      </w:pPr>
    </w:p>
    <w:p w14:paraId="7D1502C8" w14:textId="77777777" w:rsidR="0055533F" w:rsidRDefault="0055533F" w:rsidP="0055533F">
      <w:pPr>
        <w:tabs>
          <w:tab w:val="left" w:pos="4182"/>
        </w:tabs>
        <w:spacing w:after="0"/>
        <w:rPr>
          <w:b/>
          <w:highlight w:val="yellow"/>
        </w:rPr>
      </w:pPr>
    </w:p>
    <w:p w14:paraId="2A189E68" w14:textId="77777777" w:rsidR="0055533F" w:rsidRDefault="0055533F" w:rsidP="0055533F">
      <w:pPr>
        <w:tabs>
          <w:tab w:val="left" w:pos="4182"/>
        </w:tabs>
        <w:spacing w:after="0"/>
        <w:rPr>
          <w:b/>
          <w:highlight w:val="yellow"/>
        </w:rPr>
      </w:pPr>
    </w:p>
    <w:p w14:paraId="0D81B70E" w14:textId="77777777" w:rsidR="0055533F" w:rsidRDefault="0055533F" w:rsidP="0055533F">
      <w:pPr>
        <w:tabs>
          <w:tab w:val="left" w:pos="4182"/>
        </w:tabs>
        <w:spacing w:after="0"/>
        <w:rPr>
          <w:b/>
          <w:highlight w:val="yellow"/>
        </w:rPr>
      </w:pPr>
    </w:p>
    <w:p w14:paraId="44583B33" w14:textId="77777777" w:rsidR="0055533F" w:rsidRDefault="0055533F" w:rsidP="0055533F">
      <w:pPr>
        <w:tabs>
          <w:tab w:val="left" w:pos="4182"/>
        </w:tabs>
        <w:spacing w:after="0"/>
        <w:rPr>
          <w:b/>
          <w:highlight w:val="yellow"/>
        </w:rPr>
      </w:pPr>
    </w:p>
    <w:p w14:paraId="07E3E654" w14:textId="77777777" w:rsidR="007952CE" w:rsidRDefault="007952CE"/>
    <w:sectPr w:rsidR="007952CE" w:rsidSect="00BB1DFF">
      <w:footerReference w:type="default" r:id="rId19"/>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ACD6D" w14:textId="77777777" w:rsidR="0012023F" w:rsidRDefault="0012023F">
      <w:pPr>
        <w:spacing w:after="0" w:line="240" w:lineRule="auto"/>
      </w:pPr>
      <w:r>
        <w:separator/>
      </w:r>
    </w:p>
  </w:endnote>
  <w:endnote w:type="continuationSeparator" w:id="0">
    <w:p w14:paraId="3DFB5372" w14:textId="77777777" w:rsidR="0012023F" w:rsidRDefault="00120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6670"/>
      <w:docPartObj>
        <w:docPartGallery w:val="Page Numbers (Bottom of Page)"/>
        <w:docPartUnique/>
      </w:docPartObj>
    </w:sdtPr>
    <w:sdtContent>
      <w:p w14:paraId="6AA75FF0" w14:textId="77777777" w:rsidR="00F439C4" w:rsidRDefault="00E8224C">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32187B97" w14:textId="77777777" w:rsidR="00F439C4" w:rsidRDefault="00F43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94FEC" w14:textId="77777777" w:rsidR="0012023F" w:rsidRDefault="0012023F">
      <w:pPr>
        <w:spacing w:after="0" w:line="240" w:lineRule="auto"/>
      </w:pPr>
      <w:r>
        <w:separator/>
      </w:r>
    </w:p>
  </w:footnote>
  <w:footnote w:type="continuationSeparator" w:id="0">
    <w:p w14:paraId="676BACA5" w14:textId="77777777" w:rsidR="0012023F" w:rsidRDefault="001202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F39"/>
    <w:multiLevelType w:val="hybridMultilevel"/>
    <w:tmpl w:val="C93A687A"/>
    <w:lvl w:ilvl="0" w:tplc="BC2EE25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F15EE"/>
    <w:multiLevelType w:val="hybridMultilevel"/>
    <w:tmpl w:val="E6E2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04D27"/>
    <w:multiLevelType w:val="hybridMultilevel"/>
    <w:tmpl w:val="4C7A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C78D7"/>
    <w:multiLevelType w:val="hybridMultilevel"/>
    <w:tmpl w:val="39F6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8032B"/>
    <w:multiLevelType w:val="hybridMultilevel"/>
    <w:tmpl w:val="6248D9A2"/>
    <w:lvl w:ilvl="0" w:tplc="CB18DA7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31FD6"/>
    <w:multiLevelType w:val="hybridMultilevel"/>
    <w:tmpl w:val="0F78E894"/>
    <w:lvl w:ilvl="0" w:tplc="CB18DA7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418A0"/>
    <w:multiLevelType w:val="hybridMultilevel"/>
    <w:tmpl w:val="2C6818C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18D14389"/>
    <w:multiLevelType w:val="hybridMultilevel"/>
    <w:tmpl w:val="393C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8660C"/>
    <w:multiLevelType w:val="hybridMultilevel"/>
    <w:tmpl w:val="1618FC42"/>
    <w:lvl w:ilvl="0" w:tplc="CB18DA7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B0B72"/>
    <w:multiLevelType w:val="hybridMultilevel"/>
    <w:tmpl w:val="A11E75C8"/>
    <w:lvl w:ilvl="0" w:tplc="BC2EE256">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D54FEF"/>
    <w:multiLevelType w:val="hybridMultilevel"/>
    <w:tmpl w:val="6BF05024"/>
    <w:lvl w:ilvl="0" w:tplc="04090001">
      <w:start w:val="1"/>
      <w:numFmt w:val="bullet"/>
      <w:lvlText w:val=""/>
      <w:lvlJc w:val="left"/>
      <w:pPr>
        <w:ind w:left="720" w:hanging="360"/>
      </w:pPr>
      <w:rPr>
        <w:rFonts w:ascii="Symbol" w:hAnsi="Symbol" w:hint="default"/>
      </w:rPr>
    </w:lvl>
    <w:lvl w:ilvl="1" w:tplc="0D106262">
      <w:numFmt w:val="bullet"/>
      <w:lvlText w:val="-"/>
      <w:lvlJc w:val="left"/>
      <w:pPr>
        <w:ind w:left="2070" w:hanging="99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D1AF2"/>
    <w:multiLevelType w:val="hybridMultilevel"/>
    <w:tmpl w:val="D472B996"/>
    <w:lvl w:ilvl="0" w:tplc="CB18DA7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743C05"/>
    <w:multiLevelType w:val="hybridMultilevel"/>
    <w:tmpl w:val="90242CB8"/>
    <w:lvl w:ilvl="0" w:tplc="5E7083A0">
      <w:start w:val="3"/>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3B197DC3"/>
    <w:multiLevelType w:val="hybridMultilevel"/>
    <w:tmpl w:val="F5AC5332"/>
    <w:lvl w:ilvl="0" w:tplc="EC8443E0">
      <w:start w:val="1"/>
      <w:numFmt w:val="bullet"/>
      <w:lvlText w:val="•"/>
      <w:lvlJc w:val="left"/>
      <w:pPr>
        <w:ind w:left="360" w:hanging="360"/>
      </w:pPr>
      <w:rPr>
        <w:rFonts w:ascii="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40F2529F"/>
    <w:multiLevelType w:val="hybridMultilevel"/>
    <w:tmpl w:val="DE08645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44065268"/>
    <w:multiLevelType w:val="hybridMultilevel"/>
    <w:tmpl w:val="16F2CA56"/>
    <w:lvl w:ilvl="0" w:tplc="EC8443E0">
      <w:start w:val="1"/>
      <w:numFmt w:val="bullet"/>
      <w:lvlText w:val="•"/>
      <w:lvlJc w:val="left"/>
      <w:pPr>
        <w:ind w:left="360" w:hanging="360"/>
      </w:pPr>
      <w:rPr>
        <w:rFonts w:ascii="Times New Roman"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6" w15:restartNumberingAfterBreak="0">
    <w:nsid w:val="4F4830ED"/>
    <w:multiLevelType w:val="hybridMultilevel"/>
    <w:tmpl w:val="96827680"/>
    <w:lvl w:ilvl="0" w:tplc="9B8276E4">
      <w:start w:val="1"/>
      <w:numFmt w:val="bullet"/>
      <w:lvlText w:val=""/>
      <w:lvlJc w:val="left"/>
      <w:pPr>
        <w:ind w:left="720" w:hanging="360"/>
      </w:pPr>
      <w:rPr>
        <w:rFonts w:ascii="Symbol" w:hAnsi="Symbol" w:hint="default"/>
        <w:color w:val="auto"/>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50825DF6"/>
    <w:multiLevelType w:val="hybridMultilevel"/>
    <w:tmpl w:val="F83E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7A5AFC"/>
    <w:multiLevelType w:val="hybridMultilevel"/>
    <w:tmpl w:val="8DAC783E"/>
    <w:lvl w:ilvl="0" w:tplc="BC2EE256">
      <w:start w:val="1"/>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15:restartNumberingAfterBreak="0">
    <w:nsid w:val="5EB81528"/>
    <w:multiLevelType w:val="hybridMultilevel"/>
    <w:tmpl w:val="CDA6FC3A"/>
    <w:lvl w:ilvl="0" w:tplc="CB18DA7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D96536"/>
    <w:multiLevelType w:val="hybridMultilevel"/>
    <w:tmpl w:val="1806E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BE0A38"/>
    <w:multiLevelType w:val="hybridMultilevel"/>
    <w:tmpl w:val="7E74968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79C8523F"/>
    <w:multiLevelType w:val="hybridMultilevel"/>
    <w:tmpl w:val="17DC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765AC9"/>
    <w:multiLevelType w:val="hybridMultilevel"/>
    <w:tmpl w:val="164E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4F40EB"/>
    <w:multiLevelType w:val="hybridMultilevel"/>
    <w:tmpl w:val="67189D10"/>
    <w:lvl w:ilvl="0" w:tplc="CB18DA7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7414103">
    <w:abstractNumId w:val="21"/>
  </w:num>
  <w:num w:numId="2" w16cid:durableId="61562561">
    <w:abstractNumId w:val="16"/>
  </w:num>
  <w:num w:numId="3" w16cid:durableId="1652247753">
    <w:abstractNumId w:val="14"/>
  </w:num>
  <w:num w:numId="4" w16cid:durableId="1484934791">
    <w:abstractNumId w:val="6"/>
  </w:num>
  <w:num w:numId="5" w16cid:durableId="1451584770">
    <w:abstractNumId w:val="15"/>
  </w:num>
  <w:num w:numId="6" w16cid:durableId="435489307">
    <w:abstractNumId w:val="13"/>
  </w:num>
  <w:num w:numId="7" w16cid:durableId="1711029405">
    <w:abstractNumId w:val="12"/>
  </w:num>
  <w:num w:numId="8" w16cid:durableId="1234972886">
    <w:abstractNumId w:val="17"/>
  </w:num>
  <w:num w:numId="9" w16cid:durableId="1922908593">
    <w:abstractNumId w:val="18"/>
  </w:num>
  <w:num w:numId="10" w16cid:durableId="735858789">
    <w:abstractNumId w:val="23"/>
  </w:num>
  <w:num w:numId="11" w16cid:durableId="2054303169">
    <w:abstractNumId w:val="1"/>
  </w:num>
  <w:num w:numId="12" w16cid:durableId="1171720618">
    <w:abstractNumId w:val="22"/>
  </w:num>
  <w:num w:numId="13" w16cid:durableId="489294959">
    <w:abstractNumId w:val="10"/>
  </w:num>
  <w:num w:numId="14" w16cid:durableId="787242604">
    <w:abstractNumId w:val="9"/>
  </w:num>
  <w:num w:numId="15" w16cid:durableId="97141950">
    <w:abstractNumId w:val="0"/>
  </w:num>
  <w:num w:numId="16" w16cid:durableId="1860661077">
    <w:abstractNumId w:val="20"/>
  </w:num>
  <w:num w:numId="17" w16cid:durableId="958027457">
    <w:abstractNumId w:val="2"/>
  </w:num>
  <w:num w:numId="18" w16cid:durableId="768742226">
    <w:abstractNumId w:val="8"/>
  </w:num>
  <w:num w:numId="19" w16cid:durableId="1344429058">
    <w:abstractNumId w:val="5"/>
  </w:num>
  <w:num w:numId="20" w16cid:durableId="1987083657">
    <w:abstractNumId w:val="11"/>
  </w:num>
  <w:num w:numId="21" w16cid:durableId="886377989">
    <w:abstractNumId w:val="4"/>
  </w:num>
  <w:num w:numId="22" w16cid:durableId="1983539983">
    <w:abstractNumId w:val="24"/>
  </w:num>
  <w:num w:numId="23" w16cid:durableId="1082291063">
    <w:abstractNumId w:val="19"/>
  </w:num>
  <w:num w:numId="24" w16cid:durableId="1567648291">
    <w:abstractNumId w:val="7"/>
  </w:num>
  <w:num w:numId="25" w16cid:durableId="971642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3F"/>
    <w:rsid w:val="00002748"/>
    <w:rsid w:val="00016360"/>
    <w:rsid w:val="0005432D"/>
    <w:rsid w:val="00056681"/>
    <w:rsid w:val="000B1400"/>
    <w:rsid w:val="000B2824"/>
    <w:rsid w:val="000F183C"/>
    <w:rsid w:val="001178D7"/>
    <w:rsid w:val="0012023F"/>
    <w:rsid w:val="00140BB6"/>
    <w:rsid w:val="001427EA"/>
    <w:rsid w:val="00270B43"/>
    <w:rsid w:val="002A5235"/>
    <w:rsid w:val="002C5E21"/>
    <w:rsid w:val="002D773D"/>
    <w:rsid w:val="002E4042"/>
    <w:rsid w:val="002F0D6E"/>
    <w:rsid w:val="002F2B74"/>
    <w:rsid w:val="002F43D5"/>
    <w:rsid w:val="00314AB7"/>
    <w:rsid w:val="00347A65"/>
    <w:rsid w:val="003625DE"/>
    <w:rsid w:val="00375C8B"/>
    <w:rsid w:val="00433C55"/>
    <w:rsid w:val="00484065"/>
    <w:rsid w:val="004C3046"/>
    <w:rsid w:val="005046D4"/>
    <w:rsid w:val="005304DA"/>
    <w:rsid w:val="0055533F"/>
    <w:rsid w:val="00555F42"/>
    <w:rsid w:val="00575193"/>
    <w:rsid w:val="00575F1B"/>
    <w:rsid w:val="005B7ED2"/>
    <w:rsid w:val="005F45A0"/>
    <w:rsid w:val="005F6C36"/>
    <w:rsid w:val="00606E27"/>
    <w:rsid w:val="00647089"/>
    <w:rsid w:val="006C0003"/>
    <w:rsid w:val="007006FB"/>
    <w:rsid w:val="0070758F"/>
    <w:rsid w:val="007167D5"/>
    <w:rsid w:val="00725A12"/>
    <w:rsid w:val="007432D9"/>
    <w:rsid w:val="007552C9"/>
    <w:rsid w:val="007952CE"/>
    <w:rsid w:val="007A0F45"/>
    <w:rsid w:val="007A5872"/>
    <w:rsid w:val="0082765B"/>
    <w:rsid w:val="00877975"/>
    <w:rsid w:val="00881443"/>
    <w:rsid w:val="0090153B"/>
    <w:rsid w:val="00935F2B"/>
    <w:rsid w:val="00936235"/>
    <w:rsid w:val="009939BA"/>
    <w:rsid w:val="009F429A"/>
    <w:rsid w:val="00A35DE3"/>
    <w:rsid w:val="00AA6907"/>
    <w:rsid w:val="00AC3BDA"/>
    <w:rsid w:val="00BB1DFF"/>
    <w:rsid w:val="00BC0FF9"/>
    <w:rsid w:val="00C33C5A"/>
    <w:rsid w:val="00C43EE4"/>
    <w:rsid w:val="00C66A19"/>
    <w:rsid w:val="00C67948"/>
    <w:rsid w:val="00C860CE"/>
    <w:rsid w:val="00CA41DB"/>
    <w:rsid w:val="00CC1CEC"/>
    <w:rsid w:val="00CD02CE"/>
    <w:rsid w:val="00D200AA"/>
    <w:rsid w:val="00D52092"/>
    <w:rsid w:val="00D77562"/>
    <w:rsid w:val="00DD04AA"/>
    <w:rsid w:val="00DE34D2"/>
    <w:rsid w:val="00DE6276"/>
    <w:rsid w:val="00DE7B67"/>
    <w:rsid w:val="00E12122"/>
    <w:rsid w:val="00E3178D"/>
    <w:rsid w:val="00E435CF"/>
    <w:rsid w:val="00E46901"/>
    <w:rsid w:val="00E63ABD"/>
    <w:rsid w:val="00E8224C"/>
    <w:rsid w:val="00E87269"/>
    <w:rsid w:val="00EB6B65"/>
    <w:rsid w:val="00EE3BE5"/>
    <w:rsid w:val="00EF1FEE"/>
    <w:rsid w:val="00F07017"/>
    <w:rsid w:val="00F16605"/>
    <w:rsid w:val="00F439C4"/>
    <w:rsid w:val="00F4539A"/>
    <w:rsid w:val="00F52F8C"/>
    <w:rsid w:val="00F56CBD"/>
    <w:rsid w:val="00F65FB3"/>
    <w:rsid w:val="00FE3518"/>
    <w:rsid w:val="00FF2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CC1D"/>
  <w15:chartTrackingRefBased/>
  <w15:docId w15:val="{6322F491-C071-4F6A-B049-776A4978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33F"/>
    <w:pPr>
      <w:spacing w:after="200" w:line="276" w:lineRule="auto"/>
    </w:pPr>
    <w:rPr>
      <w:rFonts w:eastAsiaTheme="minorEastAsia"/>
      <w:lang w:val="en-US"/>
    </w:rPr>
  </w:style>
  <w:style w:type="paragraph" w:styleId="Heading1">
    <w:name w:val="heading 1"/>
    <w:basedOn w:val="Normal"/>
    <w:next w:val="Normal"/>
    <w:link w:val="Heading1Char"/>
    <w:uiPriority w:val="9"/>
    <w:qFormat/>
    <w:rsid w:val="0055533F"/>
    <w:pPr>
      <w:keepNext/>
      <w:keepLines/>
      <w:spacing w:before="480" w:after="0"/>
      <w:outlineLvl w:val="0"/>
    </w:pPr>
    <w:rPr>
      <w:rFonts w:asciiTheme="majorHAnsi" w:eastAsiaTheme="majorEastAsia" w:hAnsiTheme="majorHAnsi" w:cstheme="majorBidi"/>
      <w:b/>
      <w:bCs/>
      <w:color w:val="2F5496" w:themeColor="accent1" w:themeShade="BF"/>
      <w:sz w:val="28"/>
      <w:szCs w:val="28"/>
      <w:lang w:val="en-GB"/>
    </w:rPr>
  </w:style>
  <w:style w:type="paragraph" w:styleId="Heading2">
    <w:name w:val="heading 2"/>
    <w:basedOn w:val="Normal"/>
    <w:next w:val="Normal"/>
    <w:link w:val="Heading2Char"/>
    <w:uiPriority w:val="9"/>
    <w:unhideWhenUsed/>
    <w:qFormat/>
    <w:rsid w:val="00D77562"/>
    <w:pPr>
      <w:keepNext/>
      <w:keepLines/>
      <w:tabs>
        <w:tab w:val="num" w:pos="756"/>
      </w:tabs>
      <w:spacing w:before="120" w:after="120" w:line="360" w:lineRule="auto"/>
      <w:ind w:left="756" w:hanging="576"/>
      <w:outlineLvl w:val="1"/>
    </w:pPr>
    <w:rPr>
      <w:rFonts w:ascii="Times New Roman" w:eastAsiaTheme="majorEastAsia" w:hAnsi="Times New Roman"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7562"/>
    <w:pPr>
      <w:keepNext/>
      <w:keepLines/>
      <w:tabs>
        <w:tab w:val="num" w:pos="720"/>
      </w:tabs>
      <w:spacing w:before="40" w:after="120" w:line="259" w:lineRule="auto"/>
      <w:ind w:left="720" w:hanging="720"/>
      <w:outlineLvl w:val="2"/>
    </w:pPr>
    <w:rPr>
      <w:rFonts w:ascii="Times New Roman" w:eastAsiaTheme="majorEastAsia" w:hAnsi="Times New Roman"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77562"/>
    <w:pPr>
      <w:keepNext/>
      <w:keepLines/>
      <w:tabs>
        <w:tab w:val="num" w:pos="864"/>
      </w:tabs>
      <w:spacing w:before="40" w:after="0" w:line="259" w:lineRule="auto"/>
      <w:ind w:left="864" w:hanging="86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7562"/>
    <w:pPr>
      <w:keepNext/>
      <w:keepLines/>
      <w:tabs>
        <w:tab w:val="num" w:pos="1008"/>
      </w:tabs>
      <w:spacing w:before="40" w:after="0" w:line="259" w:lineRule="auto"/>
      <w:ind w:left="1008" w:hanging="1008"/>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77562"/>
    <w:pPr>
      <w:keepNext/>
      <w:keepLines/>
      <w:tabs>
        <w:tab w:val="num" w:pos="1152"/>
      </w:tabs>
      <w:spacing w:before="40" w:after="0" w:line="259" w:lineRule="auto"/>
      <w:ind w:left="1152" w:hanging="115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77562"/>
    <w:pPr>
      <w:keepNext/>
      <w:keepLines/>
      <w:tabs>
        <w:tab w:val="num" w:pos="1296"/>
      </w:tabs>
      <w:spacing w:before="40" w:after="0" w:line="259" w:lineRule="auto"/>
      <w:ind w:left="1296" w:hanging="1296"/>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77562"/>
    <w:pPr>
      <w:keepNext/>
      <w:keepLines/>
      <w:tabs>
        <w:tab w:val="num" w:pos="1440"/>
      </w:tabs>
      <w:spacing w:before="40" w:after="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5F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33F"/>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55533F"/>
    <w:rPr>
      <w:color w:val="0000FF"/>
      <w:u w:val="single"/>
    </w:rPr>
  </w:style>
  <w:style w:type="paragraph" w:customStyle="1" w:styleId="Default">
    <w:name w:val="Default"/>
    <w:rsid w:val="0055533F"/>
    <w:pPr>
      <w:autoSpaceDE w:val="0"/>
      <w:autoSpaceDN w:val="0"/>
      <w:adjustRightInd w:val="0"/>
      <w:spacing w:after="0" w:line="240" w:lineRule="auto"/>
    </w:pPr>
    <w:rPr>
      <w:rFonts w:ascii="Arial" w:eastAsia="Times New Roman" w:hAnsi="Arial" w:cs="Arial"/>
      <w:color w:val="000000"/>
      <w:sz w:val="24"/>
      <w:szCs w:val="24"/>
      <w:lang w:val="sq-AL"/>
    </w:rPr>
  </w:style>
  <w:style w:type="table" w:styleId="TableGrid">
    <w:name w:val="Table Grid"/>
    <w:basedOn w:val="TableNormal"/>
    <w:uiPriority w:val="59"/>
    <w:rsid w:val="0055533F"/>
    <w:pPr>
      <w:spacing w:after="0" w:line="240" w:lineRule="auto"/>
    </w:pPr>
    <w:rPr>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55533F"/>
    <w:pPr>
      <w:outlineLvl w:val="9"/>
    </w:pPr>
    <w:rPr>
      <w:lang w:val="en-US"/>
    </w:rPr>
  </w:style>
  <w:style w:type="paragraph" w:styleId="TOC1">
    <w:name w:val="toc 1"/>
    <w:basedOn w:val="Normal"/>
    <w:next w:val="Normal"/>
    <w:autoRedefine/>
    <w:uiPriority w:val="39"/>
    <w:unhideWhenUsed/>
    <w:rsid w:val="0055533F"/>
    <w:pPr>
      <w:spacing w:after="100"/>
    </w:pPr>
    <w:rPr>
      <w:rFonts w:eastAsiaTheme="minorHAnsi"/>
      <w:lang w:val="en-GB"/>
    </w:rPr>
  </w:style>
  <w:style w:type="paragraph" w:styleId="Footer">
    <w:name w:val="footer"/>
    <w:basedOn w:val="Normal"/>
    <w:link w:val="FooterChar"/>
    <w:uiPriority w:val="99"/>
    <w:unhideWhenUsed/>
    <w:rsid w:val="0055533F"/>
    <w:pPr>
      <w:tabs>
        <w:tab w:val="center" w:pos="4513"/>
        <w:tab w:val="right" w:pos="9026"/>
      </w:tabs>
      <w:spacing w:after="0" w:line="240" w:lineRule="auto"/>
    </w:pPr>
    <w:rPr>
      <w:rFonts w:eastAsiaTheme="minorHAnsi"/>
      <w:lang w:val="en-GB"/>
    </w:rPr>
  </w:style>
  <w:style w:type="character" w:customStyle="1" w:styleId="FooterChar">
    <w:name w:val="Footer Char"/>
    <w:basedOn w:val="DefaultParagraphFont"/>
    <w:link w:val="Footer"/>
    <w:uiPriority w:val="99"/>
    <w:rsid w:val="0055533F"/>
  </w:style>
  <w:style w:type="paragraph" w:customStyle="1" w:styleId="TableParagraph">
    <w:name w:val="Table Paragraph"/>
    <w:basedOn w:val="Normal"/>
    <w:uiPriority w:val="1"/>
    <w:qFormat/>
    <w:rsid w:val="0055533F"/>
    <w:pPr>
      <w:widowControl w:val="0"/>
      <w:autoSpaceDE w:val="0"/>
      <w:autoSpaceDN w:val="0"/>
      <w:spacing w:after="0" w:line="240" w:lineRule="auto"/>
    </w:pPr>
    <w:rPr>
      <w:rFonts w:ascii="Times New Roman" w:eastAsia="Times New Roman" w:hAnsi="Times New Roman" w:cs="Times New Roman"/>
    </w:rPr>
  </w:style>
  <w:style w:type="character" w:customStyle="1" w:styleId="Heading9Char">
    <w:name w:val="Heading 9 Char"/>
    <w:basedOn w:val="DefaultParagraphFont"/>
    <w:link w:val="Heading9"/>
    <w:uiPriority w:val="9"/>
    <w:semiHidden/>
    <w:rsid w:val="00555F42"/>
    <w:rPr>
      <w:rFonts w:asciiTheme="majorHAnsi" w:eastAsiaTheme="majorEastAsia" w:hAnsiTheme="majorHAnsi" w:cstheme="majorBidi"/>
      <w:i/>
      <w:iCs/>
      <w:color w:val="272727" w:themeColor="text1" w:themeTint="D8"/>
      <w:sz w:val="21"/>
      <w:szCs w:val="21"/>
      <w:lang w:val="en-US"/>
    </w:rPr>
  </w:style>
  <w:style w:type="character" w:customStyle="1" w:styleId="Heading2Char">
    <w:name w:val="Heading 2 Char"/>
    <w:basedOn w:val="DefaultParagraphFont"/>
    <w:link w:val="Heading2"/>
    <w:uiPriority w:val="9"/>
    <w:rsid w:val="00D77562"/>
    <w:rPr>
      <w:rFonts w:ascii="Times New Roman" w:eastAsiaTheme="majorEastAsia" w:hAnsi="Times New Roman"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D77562"/>
    <w:rPr>
      <w:rFonts w:ascii="Times New Roman" w:eastAsiaTheme="majorEastAsia" w:hAnsi="Times New Roman"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D77562"/>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77562"/>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D77562"/>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D77562"/>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D77562"/>
    <w:rPr>
      <w:rFonts w:asciiTheme="majorHAnsi" w:eastAsiaTheme="majorEastAsia" w:hAnsiTheme="majorHAnsi" w:cstheme="majorBidi"/>
      <w:color w:val="272727" w:themeColor="text1" w:themeTint="D8"/>
      <w:sz w:val="21"/>
      <w:szCs w:val="21"/>
      <w:lang w:val="en-US"/>
    </w:rPr>
  </w:style>
  <w:style w:type="paragraph" w:styleId="ListParagraph">
    <w:name w:val="List Paragraph"/>
    <w:basedOn w:val="Normal"/>
    <w:link w:val="ListParagraphChar"/>
    <w:uiPriority w:val="34"/>
    <w:qFormat/>
    <w:rsid w:val="00D77562"/>
    <w:pPr>
      <w:spacing w:after="0" w:line="240" w:lineRule="auto"/>
      <w:ind w:left="720"/>
      <w:contextualSpacing/>
    </w:pPr>
    <w:rPr>
      <w:rFonts w:eastAsiaTheme="minorHAnsi"/>
      <w:sz w:val="24"/>
      <w:szCs w:val="24"/>
      <w:lang w:val="nl-NL"/>
    </w:rPr>
  </w:style>
  <w:style w:type="character" w:customStyle="1" w:styleId="ListParagraphChar">
    <w:name w:val="List Paragraph Char"/>
    <w:basedOn w:val="DefaultParagraphFont"/>
    <w:link w:val="ListParagraph"/>
    <w:uiPriority w:val="34"/>
    <w:rsid w:val="00D77562"/>
    <w:rPr>
      <w:sz w:val="24"/>
      <w:szCs w:val="24"/>
      <w:lang w:val="nl-NL"/>
    </w:rPr>
  </w:style>
  <w:style w:type="character" w:styleId="UnresolvedMention">
    <w:name w:val="Unresolved Mention"/>
    <w:basedOn w:val="DefaultParagraphFont"/>
    <w:uiPriority w:val="99"/>
    <w:semiHidden/>
    <w:unhideWhenUsed/>
    <w:rsid w:val="00DE34D2"/>
    <w:rPr>
      <w:color w:val="605E5C"/>
      <w:shd w:val="clear" w:color="auto" w:fill="E1DFDD"/>
    </w:rPr>
  </w:style>
  <w:style w:type="table" w:customStyle="1" w:styleId="TableGrid2">
    <w:name w:val="Table Grid2"/>
    <w:basedOn w:val="TableNormal"/>
    <w:next w:val="TableGrid"/>
    <w:uiPriority w:val="59"/>
    <w:rsid w:val="00D200AA"/>
    <w:pPr>
      <w:spacing w:after="0" w:line="240" w:lineRule="auto"/>
    </w:pPr>
    <w:rPr>
      <w:rFonts w:ascii="Calibri" w:eastAsia="Calibri" w:hAnsi="Calibri" w:cs="Times New Roman"/>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D04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ociaj@bankofalbania.org" TargetMode="External"/><Relationship Id="rId13" Type="http://schemas.openxmlformats.org/officeDocument/2006/relationships/hyperlink" Target="https://www.bankofalbania.org/Statistics/" TargetMode="External"/><Relationship Id="rId18" Type="http://schemas.openxmlformats.org/officeDocument/2006/relationships/hyperlink" Target="https://www.bankofalbania.org/Statistikat/Statistikat_e_Sektorit_te_Jashtem/Investimet_e_huaja_direkt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lilaj@bankofalbania.org" TargetMode="External"/><Relationship Id="rId12" Type="http://schemas.openxmlformats.org/officeDocument/2006/relationships/hyperlink" Target="https://www.instat.gov.al/en/about-us/legislation/" TargetMode="External"/><Relationship Id="rId17" Type="http://schemas.openxmlformats.org/officeDocument/2006/relationships/hyperlink" Target="https://www.bankofalbania.org/Statistics/External_sector_statistics/Foreign_Direct_Investments/" TargetMode="External"/><Relationship Id="rId2" Type="http://schemas.openxmlformats.org/officeDocument/2006/relationships/styles" Target="styles.xml"/><Relationship Id="rId16" Type="http://schemas.openxmlformats.org/officeDocument/2006/relationships/hyperlink" Target="https://www.bankofalbania.org/Statistics/External_sector_statistics/Foreign_Direct_Investment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nkofalbania.org/Statistics/" TargetMode="External"/><Relationship Id="rId5" Type="http://schemas.openxmlformats.org/officeDocument/2006/relationships/footnotes" Target="footnotes.xml"/><Relationship Id="rId15" Type="http://schemas.openxmlformats.org/officeDocument/2006/relationships/hyperlink" Target="https://www.bankofalbania.org/Statistics/External_sector_statistics/Foreign_Direct_Investments/" TargetMode="External"/><Relationship Id="rId10" Type="http://schemas.openxmlformats.org/officeDocument/2006/relationships/hyperlink" Target="https://www.instat.gov.al/en/about-us/legislatio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ankofalbania.org/About_the_Bank/Legislation/Law_No_8269_dated_23_12_1997_On_Bank_of_Albania.html" TargetMode="External"/><Relationship Id="rId14" Type="http://schemas.openxmlformats.org/officeDocument/2006/relationships/hyperlink" Target="https://www.bankofalbania.org/Statistics/Statistical_release_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13</Pages>
  <Words>5149</Words>
  <Characters>29354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Anxhela Petriti</dc:creator>
  <cp:keywords/>
  <dc:description/>
  <cp:lastModifiedBy>Frenki Ktona</cp:lastModifiedBy>
  <cp:revision>29</cp:revision>
  <cp:lastPrinted>2026-01-12T23:32:00Z</cp:lastPrinted>
  <dcterms:created xsi:type="dcterms:W3CDTF">2026-04-27T12:50:00Z</dcterms:created>
  <dcterms:modified xsi:type="dcterms:W3CDTF">2026-04-30T09:43:00Z</dcterms:modified>
</cp:coreProperties>
</file>