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923A" w14:textId="77777777" w:rsidR="003A47EB" w:rsidRPr="00A96A10" w:rsidRDefault="003A47EB" w:rsidP="00506308">
      <w:pPr>
        <w:jc w:val="both"/>
        <w:rPr>
          <w:rFonts w:ascii="Times New Roman" w:hAnsi="Times New Roman" w:cs="Times New Roman"/>
        </w:rPr>
      </w:pPr>
    </w:p>
    <w:tbl>
      <w:tblPr>
        <w:tblStyle w:val="TableGrid"/>
        <w:tblW w:w="0" w:type="auto"/>
        <w:jc w:val="center"/>
        <w:shd w:val="clear" w:color="auto" w:fill="F7CAAC" w:themeFill="accent2" w:themeFillTint="66"/>
        <w:tblLook w:val="04A0" w:firstRow="1" w:lastRow="0" w:firstColumn="1" w:lastColumn="0" w:noHBand="0" w:noVBand="1"/>
      </w:tblPr>
      <w:tblGrid>
        <w:gridCol w:w="10195"/>
      </w:tblGrid>
      <w:tr w:rsidR="003A47EB" w:rsidRPr="00A96A10" w14:paraId="545B9DB3" w14:textId="77777777" w:rsidTr="00CE4575">
        <w:trPr>
          <w:trHeight w:val="1524"/>
          <w:jc w:val="center"/>
        </w:trPr>
        <w:tc>
          <w:tcPr>
            <w:tcW w:w="10195" w:type="dxa"/>
            <w:shd w:val="clear" w:color="auto" w:fill="C5E0B3" w:themeFill="accent6" w:themeFillTint="66"/>
          </w:tcPr>
          <w:p w14:paraId="539611C1" w14:textId="51F4BCDF" w:rsidR="007F2720" w:rsidRPr="00A96A10" w:rsidRDefault="007F2720" w:rsidP="0046675D">
            <w:pPr>
              <w:pStyle w:val="Default"/>
              <w:spacing w:before="120" w:after="120"/>
              <w:jc w:val="center"/>
              <w:rPr>
                <w:rFonts w:ascii="Times New Roman" w:hAnsi="Times New Roman" w:cs="Times New Roman"/>
                <w:b/>
                <w:bCs/>
                <w:color w:val="auto"/>
                <w:sz w:val="22"/>
                <w:szCs w:val="22"/>
              </w:rPr>
            </w:pPr>
            <w:r w:rsidRPr="00A96A10">
              <w:rPr>
                <w:rFonts w:ascii="Times New Roman" w:hAnsi="Times New Roman" w:cs="Times New Roman"/>
                <w:b/>
                <w:bCs/>
                <w:color w:val="auto"/>
                <w:sz w:val="22"/>
                <w:szCs w:val="22"/>
              </w:rPr>
              <w:t>Investimet e Huaja Direkte</w:t>
            </w:r>
          </w:p>
          <w:p w14:paraId="3F33F906" w14:textId="23B67705" w:rsidR="007F2720" w:rsidRPr="00A96A10" w:rsidRDefault="007F2720" w:rsidP="0046675D">
            <w:pPr>
              <w:pStyle w:val="Default"/>
              <w:spacing w:before="120" w:after="120"/>
              <w:jc w:val="center"/>
              <w:rPr>
                <w:rFonts w:ascii="Times New Roman" w:hAnsi="Times New Roman" w:cs="Times New Roman"/>
                <w:sz w:val="22"/>
                <w:szCs w:val="22"/>
              </w:rPr>
            </w:pPr>
            <w:r w:rsidRPr="00A96A10">
              <w:rPr>
                <w:rFonts w:ascii="Times New Roman" w:hAnsi="Times New Roman" w:cs="Times New Roman"/>
                <w:sz w:val="22"/>
                <w:szCs w:val="22"/>
              </w:rPr>
              <w:t>Metadata Referenciale në format Euro SDMX Metadata Structure</w:t>
            </w:r>
          </w:p>
          <w:p w14:paraId="0A936A24" w14:textId="47E521D6" w:rsidR="003A47EB" w:rsidRPr="00A96A10" w:rsidRDefault="007F2720" w:rsidP="0046675D">
            <w:pPr>
              <w:pStyle w:val="Default"/>
              <w:spacing w:before="120" w:after="120"/>
              <w:jc w:val="center"/>
              <w:rPr>
                <w:rFonts w:ascii="Times New Roman" w:hAnsi="Times New Roman" w:cs="Times New Roman"/>
                <w:sz w:val="22"/>
                <w:szCs w:val="22"/>
              </w:rPr>
            </w:pPr>
            <w:r w:rsidRPr="00A96A10">
              <w:rPr>
                <w:rFonts w:ascii="Times New Roman" w:hAnsi="Times New Roman" w:cs="Times New Roman"/>
                <w:sz w:val="22"/>
                <w:szCs w:val="22"/>
              </w:rPr>
              <w:t>(ESMS)</w:t>
            </w:r>
          </w:p>
        </w:tc>
      </w:tr>
    </w:tbl>
    <w:p w14:paraId="59BDC5D3" w14:textId="77777777" w:rsidR="003A47EB" w:rsidRPr="00A96A10" w:rsidRDefault="003A47EB" w:rsidP="00506308">
      <w:pPr>
        <w:jc w:val="both"/>
        <w:rPr>
          <w:rFonts w:ascii="Times New Roman" w:hAnsi="Times New Roman" w:cs="Times New Roman"/>
        </w:rPr>
      </w:pPr>
    </w:p>
    <w:sdt>
      <w:sdtPr>
        <w:rPr>
          <w:rFonts w:ascii="Times New Roman" w:eastAsiaTheme="minorHAnsi" w:hAnsi="Times New Roman" w:cs="Times New Roman"/>
          <w:b w:val="0"/>
          <w:bCs w:val="0"/>
          <w:color w:val="auto"/>
          <w:sz w:val="22"/>
          <w:szCs w:val="22"/>
          <w:lang w:val="en-GB"/>
        </w:rPr>
        <w:id w:val="27854821"/>
        <w:docPartObj>
          <w:docPartGallery w:val="Table of Contents"/>
          <w:docPartUnique/>
        </w:docPartObj>
      </w:sdtPr>
      <w:sdtContent>
        <w:p w14:paraId="605B1BC6" w14:textId="77777777" w:rsidR="003A47EB" w:rsidRPr="00A96A10" w:rsidRDefault="003A47EB" w:rsidP="00506308">
          <w:pPr>
            <w:pStyle w:val="TOCHeading"/>
            <w:jc w:val="both"/>
            <w:rPr>
              <w:rFonts w:ascii="Times New Roman" w:hAnsi="Times New Roman" w:cs="Times New Roman"/>
              <w:sz w:val="22"/>
              <w:szCs w:val="22"/>
            </w:rPr>
          </w:pPr>
          <w:r w:rsidRPr="00A96A10">
            <w:rPr>
              <w:rFonts w:ascii="Times New Roman" w:hAnsi="Times New Roman" w:cs="Times New Roman"/>
              <w:color w:val="000000" w:themeColor="text1"/>
              <w:sz w:val="22"/>
              <w:szCs w:val="22"/>
            </w:rPr>
            <w:t>Metadata Referenciale</w:t>
          </w:r>
        </w:p>
        <w:p w14:paraId="289C033D" w14:textId="65BAB790" w:rsidR="00125AB3" w:rsidRPr="00A96A10" w:rsidRDefault="003A47EB"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r w:rsidRPr="00A96A10">
            <w:rPr>
              <w:rFonts w:ascii="Times New Roman" w:hAnsi="Times New Roman" w:cs="Times New Roman"/>
            </w:rPr>
            <w:fldChar w:fldCharType="begin"/>
          </w:r>
          <w:r w:rsidRPr="00A96A10">
            <w:rPr>
              <w:rFonts w:ascii="Times New Roman" w:hAnsi="Times New Roman" w:cs="Times New Roman"/>
            </w:rPr>
            <w:instrText xml:space="preserve"> TOC \o "1-3" \h \z \u </w:instrText>
          </w:r>
          <w:r w:rsidRPr="00A96A10">
            <w:rPr>
              <w:rFonts w:ascii="Times New Roman" w:hAnsi="Times New Roman" w:cs="Times New Roman"/>
            </w:rPr>
            <w:fldChar w:fldCharType="separate"/>
          </w:r>
          <w:hyperlink w:anchor="_Toc228888966" w:history="1">
            <w:r w:rsidR="00125AB3" w:rsidRPr="00A96A10">
              <w:rPr>
                <w:rStyle w:val="Hyperlink"/>
                <w:rFonts w:ascii="Times New Roman" w:eastAsia="Times New Roman" w:hAnsi="Times New Roman" w:cs="Times New Roman"/>
                <w:noProof/>
                <w:lang w:val="sq-AL" w:eastAsia="sq-AL"/>
              </w:rPr>
              <w:t>1. Kontakt</w:t>
            </w:r>
            <w:r w:rsidR="00125AB3" w:rsidRPr="00A96A10">
              <w:rPr>
                <w:rFonts w:ascii="Times New Roman" w:hAnsi="Times New Roman" w:cs="Times New Roman"/>
                <w:noProof/>
                <w:webHidden/>
              </w:rPr>
              <w:tab/>
            </w:r>
            <w:r w:rsidR="00125AB3" w:rsidRPr="00A96A10">
              <w:rPr>
                <w:rFonts w:ascii="Times New Roman" w:hAnsi="Times New Roman" w:cs="Times New Roman"/>
                <w:noProof/>
                <w:webHidden/>
              </w:rPr>
              <w:fldChar w:fldCharType="begin"/>
            </w:r>
            <w:r w:rsidR="00125AB3" w:rsidRPr="00A96A10">
              <w:rPr>
                <w:rFonts w:ascii="Times New Roman" w:hAnsi="Times New Roman" w:cs="Times New Roman"/>
                <w:noProof/>
                <w:webHidden/>
              </w:rPr>
              <w:instrText xml:space="preserve"> PAGEREF _Toc228888966 \h </w:instrText>
            </w:r>
            <w:r w:rsidR="00125AB3" w:rsidRPr="00A96A10">
              <w:rPr>
                <w:rFonts w:ascii="Times New Roman" w:hAnsi="Times New Roman" w:cs="Times New Roman"/>
                <w:noProof/>
                <w:webHidden/>
              </w:rPr>
            </w:r>
            <w:r w:rsidR="00125AB3" w:rsidRPr="00A96A10">
              <w:rPr>
                <w:rFonts w:ascii="Times New Roman" w:hAnsi="Times New Roman" w:cs="Times New Roman"/>
                <w:noProof/>
                <w:webHidden/>
              </w:rPr>
              <w:fldChar w:fldCharType="separate"/>
            </w:r>
            <w:r w:rsidR="00125AB3" w:rsidRPr="00A96A10">
              <w:rPr>
                <w:rFonts w:ascii="Times New Roman" w:hAnsi="Times New Roman" w:cs="Times New Roman"/>
                <w:noProof/>
                <w:webHidden/>
              </w:rPr>
              <w:t>2</w:t>
            </w:r>
            <w:r w:rsidR="00125AB3" w:rsidRPr="00A96A10">
              <w:rPr>
                <w:rFonts w:ascii="Times New Roman" w:hAnsi="Times New Roman" w:cs="Times New Roman"/>
                <w:noProof/>
                <w:webHidden/>
              </w:rPr>
              <w:fldChar w:fldCharType="end"/>
            </w:r>
          </w:hyperlink>
        </w:p>
        <w:p w14:paraId="0434FEAD" w14:textId="58D05E79"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67" w:history="1">
            <w:r w:rsidRPr="00A96A10">
              <w:rPr>
                <w:rStyle w:val="Hyperlink"/>
                <w:rFonts w:ascii="Times New Roman" w:eastAsia="Times New Roman" w:hAnsi="Times New Roman" w:cs="Times New Roman"/>
                <w:noProof/>
                <w:lang w:val="sq-AL" w:eastAsia="sq-AL"/>
              </w:rPr>
              <w:t>2. Përditësimi i metadatave</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_Toc228888967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2</w:t>
            </w:r>
            <w:r w:rsidRPr="00A96A10">
              <w:rPr>
                <w:rFonts w:ascii="Times New Roman" w:hAnsi="Times New Roman" w:cs="Times New Roman"/>
                <w:noProof/>
                <w:webHidden/>
              </w:rPr>
              <w:fldChar w:fldCharType="end"/>
            </w:r>
          </w:hyperlink>
        </w:p>
        <w:p w14:paraId="001AD937" w14:textId="409A6D32"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68" w:history="1">
            <w:r w:rsidRPr="00A96A10">
              <w:rPr>
                <w:rStyle w:val="Hyperlink"/>
                <w:rFonts w:ascii="Times New Roman" w:eastAsia="Times New Roman" w:hAnsi="Times New Roman" w:cs="Times New Roman"/>
                <w:noProof/>
                <w:lang w:val="sq-AL" w:eastAsia="sq-AL"/>
              </w:rPr>
              <w:t>3. Paraqitja statistikore</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_Toc228888968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2</w:t>
            </w:r>
            <w:r w:rsidRPr="00A96A10">
              <w:rPr>
                <w:rFonts w:ascii="Times New Roman" w:hAnsi="Times New Roman" w:cs="Times New Roman"/>
                <w:noProof/>
                <w:webHidden/>
              </w:rPr>
              <w:fldChar w:fldCharType="end"/>
            </w:r>
          </w:hyperlink>
        </w:p>
        <w:p w14:paraId="210BC675" w14:textId="06F4311F"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69" w:history="1">
            <w:r w:rsidRPr="00A96A10">
              <w:rPr>
                <w:rStyle w:val="Hyperlink"/>
                <w:rFonts w:ascii="Times New Roman" w:eastAsia="Times New Roman" w:hAnsi="Times New Roman" w:cs="Times New Roman"/>
                <w:noProof/>
                <w:lang w:val="sq-AL" w:eastAsia="sq-AL"/>
              </w:rPr>
              <w:t>4. Njësia matëse</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_Toc228888969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3</w:t>
            </w:r>
            <w:r w:rsidRPr="00A96A10">
              <w:rPr>
                <w:rFonts w:ascii="Times New Roman" w:hAnsi="Times New Roman" w:cs="Times New Roman"/>
                <w:noProof/>
                <w:webHidden/>
              </w:rPr>
              <w:fldChar w:fldCharType="end"/>
            </w:r>
          </w:hyperlink>
        </w:p>
        <w:p w14:paraId="5BC9482D" w14:textId="52FCF7D8"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0" w:history="1">
            <w:r w:rsidRPr="00A96A10">
              <w:rPr>
                <w:rStyle w:val="Hyperlink"/>
                <w:rFonts w:ascii="Times New Roman" w:eastAsia="Times New Roman" w:hAnsi="Times New Roman" w:cs="Times New Roman"/>
                <w:noProof/>
                <w:lang w:val="sq-AL" w:eastAsia="sq-AL"/>
              </w:rPr>
              <w:t>5. Periudha e referencës</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_Toc228888970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4</w:t>
            </w:r>
            <w:r w:rsidRPr="00A96A10">
              <w:rPr>
                <w:rFonts w:ascii="Times New Roman" w:hAnsi="Times New Roman" w:cs="Times New Roman"/>
                <w:noProof/>
                <w:webHidden/>
              </w:rPr>
              <w:fldChar w:fldCharType="end"/>
            </w:r>
          </w:hyperlink>
        </w:p>
        <w:p w14:paraId="53E2CE1F" w14:textId="67A90E85"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1" w:history="1">
            <w:r w:rsidRPr="00A96A10">
              <w:rPr>
                <w:rStyle w:val="Hyperlink"/>
                <w:rFonts w:ascii="Times New Roman" w:eastAsia="Times New Roman" w:hAnsi="Times New Roman" w:cs="Times New Roman"/>
                <w:noProof/>
                <w:lang w:val="sq-AL" w:eastAsia="sq-AL"/>
              </w:rPr>
              <w:t>6. Mandati institucional</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_Toc228888971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4</w:t>
            </w:r>
            <w:r w:rsidRPr="00A96A10">
              <w:rPr>
                <w:rFonts w:ascii="Times New Roman" w:hAnsi="Times New Roman" w:cs="Times New Roman"/>
                <w:noProof/>
                <w:webHidden/>
              </w:rPr>
              <w:fldChar w:fldCharType="end"/>
            </w:r>
          </w:hyperlink>
        </w:p>
        <w:p w14:paraId="3F0A6B0E" w14:textId="7CC847A4"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2" w:history="1">
            <w:r w:rsidRPr="00A96A10">
              <w:rPr>
                <w:rStyle w:val="Hyperlink"/>
                <w:rFonts w:ascii="Times New Roman" w:eastAsia="Times New Roman" w:hAnsi="Times New Roman" w:cs="Times New Roman"/>
                <w:noProof/>
                <w:lang w:val="sq-AL" w:eastAsia="sq-AL"/>
              </w:rPr>
              <w:t>7. Konfidencialiteti</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_Toc228888972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4</w:t>
            </w:r>
            <w:r w:rsidRPr="00A96A10">
              <w:rPr>
                <w:rFonts w:ascii="Times New Roman" w:hAnsi="Times New Roman" w:cs="Times New Roman"/>
                <w:noProof/>
                <w:webHidden/>
              </w:rPr>
              <w:fldChar w:fldCharType="end"/>
            </w:r>
          </w:hyperlink>
        </w:p>
        <w:p w14:paraId="0DB9D23A" w14:textId="5C1F9B73"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3" w:history="1">
            <w:r w:rsidRPr="00A96A10">
              <w:rPr>
                <w:rStyle w:val="Hyperlink"/>
                <w:rFonts w:ascii="Times New Roman" w:eastAsia="Times New Roman" w:hAnsi="Times New Roman" w:cs="Times New Roman"/>
                <w:noProof/>
                <w:lang w:val="sq-AL" w:eastAsia="sq-AL"/>
              </w:rPr>
              <w:t>8. Politika e botimit</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_Toc228888973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5</w:t>
            </w:r>
            <w:r w:rsidRPr="00A96A10">
              <w:rPr>
                <w:rFonts w:ascii="Times New Roman" w:hAnsi="Times New Roman" w:cs="Times New Roman"/>
                <w:noProof/>
                <w:webHidden/>
              </w:rPr>
              <w:fldChar w:fldCharType="end"/>
            </w:r>
          </w:hyperlink>
        </w:p>
        <w:p w14:paraId="2CC2C241" w14:textId="3FD9803F"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4" w:history="1">
            <w:r w:rsidRPr="00A96A10">
              <w:rPr>
                <w:rStyle w:val="Hyperlink"/>
                <w:rFonts w:ascii="Times New Roman" w:eastAsia="Times New Roman" w:hAnsi="Times New Roman" w:cs="Times New Roman"/>
                <w:noProof/>
                <w:lang w:val="sq-AL" w:eastAsia="sq-AL"/>
              </w:rPr>
              <w:t>9. Shpeshtësia e shpërndarjes</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_Toc228888974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5</w:t>
            </w:r>
            <w:r w:rsidRPr="00A96A10">
              <w:rPr>
                <w:rFonts w:ascii="Times New Roman" w:hAnsi="Times New Roman" w:cs="Times New Roman"/>
                <w:noProof/>
                <w:webHidden/>
              </w:rPr>
              <w:fldChar w:fldCharType="end"/>
            </w:r>
          </w:hyperlink>
        </w:p>
        <w:p w14:paraId="46A30085" w14:textId="7532C25F"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5" w:history="1">
            <w:r w:rsidRPr="00A96A10">
              <w:rPr>
                <w:rStyle w:val="Hyperlink"/>
                <w:rFonts w:ascii="Times New Roman" w:eastAsia="Times New Roman" w:hAnsi="Times New Roman" w:cs="Times New Roman"/>
                <w:noProof/>
                <w:lang w:val="sq-AL" w:eastAsia="sq-AL"/>
              </w:rPr>
              <w:t>10. Aksesi në të dhëna dhe qartësia</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_Toc228888975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5</w:t>
            </w:r>
            <w:r w:rsidRPr="00A96A10">
              <w:rPr>
                <w:rFonts w:ascii="Times New Roman" w:hAnsi="Times New Roman" w:cs="Times New Roman"/>
                <w:noProof/>
                <w:webHidden/>
              </w:rPr>
              <w:fldChar w:fldCharType="end"/>
            </w:r>
          </w:hyperlink>
        </w:p>
        <w:p w14:paraId="7657BE0A" w14:textId="387CD983"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6" w:history="1">
            <w:r w:rsidRPr="00A96A10">
              <w:rPr>
                <w:rStyle w:val="Hyperlink"/>
                <w:rFonts w:ascii="Times New Roman" w:eastAsia="Times New Roman" w:hAnsi="Times New Roman" w:cs="Times New Roman"/>
                <w:noProof/>
                <w:lang w:val="sq-AL" w:eastAsia="sq-AL"/>
              </w:rPr>
              <w:t>11. Manaxhimi i cilësisë</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_Toc228888976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6</w:t>
            </w:r>
            <w:r w:rsidRPr="00A96A10">
              <w:rPr>
                <w:rFonts w:ascii="Times New Roman" w:hAnsi="Times New Roman" w:cs="Times New Roman"/>
                <w:noProof/>
                <w:webHidden/>
              </w:rPr>
              <w:fldChar w:fldCharType="end"/>
            </w:r>
          </w:hyperlink>
        </w:p>
        <w:p w14:paraId="1F2269AA" w14:textId="31CCA726"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7" w:history="1">
            <w:r w:rsidRPr="00A96A10">
              <w:rPr>
                <w:rStyle w:val="Hyperlink"/>
                <w:rFonts w:ascii="Times New Roman" w:eastAsia="Times New Roman" w:hAnsi="Times New Roman" w:cs="Times New Roman"/>
                <w:noProof/>
                <w:lang w:val="sq-AL" w:eastAsia="sq-AL"/>
              </w:rPr>
              <w:t>12. Rëndësia</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_Toc228888977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6</w:t>
            </w:r>
            <w:r w:rsidRPr="00A96A10">
              <w:rPr>
                <w:rFonts w:ascii="Times New Roman" w:hAnsi="Times New Roman" w:cs="Times New Roman"/>
                <w:noProof/>
                <w:webHidden/>
              </w:rPr>
              <w:fldChar w:fldCharType="end"/>
            </w:r>
          </w:hyperlink>
        </w:p>
        <w:p w14:paraId="063C651F" w14:textId="78732CA8"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8" w:history="1">
            <w:r w:rsidRPr="00A96A10">
              <w:rPr>
                <w:rStyle w:val="Hyperlink"/>
                <w:rFonts w:ascii="Times New Roman" w:eastAsia="Times New Roman" w:hAnsi="Times New Roman" w:cs="Times New Roman"/>
                <w:noProof/>
                <w:lang w:val="sq-AL" w:eastAsia="sq-AL"/>
              </w:rPr>
              <w:t>13. Saktësia dhe besueshmëria</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_Toc228888978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6</w:t>
            </w:r>
            <w:r w:rsidRPr="00A96A10">
              <w:rPr>
                <w:rFonts w:ascii="Times New Roman" w:hAnsi="Times New Roman" w:cs="Times New Roman"/>
                <w:noProof/>
                <w:webHidden/>
              </w:rPr>
              <w:fldChar w:fldCharType="end"/>
            </w:r>
          </w:hyperlink>
        </w:p>
        <w:p w14:paraId="55FFF8E1" w14:textId="111E4E07"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79" w:history="1">
            <w:r w:rsidRPr="00A96A10">
              <w:rPr>
                <w:rStyle w:val="Hyperlink"/>
                <w:rFonts w:ascii="Times New Roman" w:eastAsia="Times New Roman" w:hAnsi="Times New Roman" w:cs="Times New Roman"/>
                <w:noProof/>
                <w:lang w:val="sq-AL" w:eastAsia="sq-AL"/>
              </w:rPr>
              <w:t>14. Afatet kohore dhe përpikmëria</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_Toc228888979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7</w:t>
            </w:r>
            <w:r w:rsidRPr="00A96A10">
              <w:rPr>
                <w:rFonts w:ascii="Times New Roman" w:hAnsi="Times New Roman" w:cs="Times New Roman"/>
                <w:noProof/>
                <w:webHidden/>
              </w:rPr>
              <w:fldChar w:fldCharType="end"/>
            </w:r>
          </w:hyperlink>
        </w:p>
        <w:p w14:paraId="57FBA66E" w14:textId="7B3597C3"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80" w:history="1">
            <w:r w:rsidRPr="00A96A10">
              <w:rPr>
                <w:rStyle w:val="Hyperlink"/>
                <w:rFonts w:ascii="Times New Roman" w:eastAsia="Times New Roman" w:hAnsi="Times New Roman" w:cs="Times New Roman"/>
                <w:noProof/>
                <w:lang w:val="sq-AL" w:eastAsia="sq-AL"/>
              </w:rPr>
              <w:t>15. Koherenca dhe Krahasueshmëria</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_Toc228888980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8</w:t>
            </w:r>
            <w:r w:rsidRPr="00A96A10">
              <w:rPr>
                <w:rFonts w:ascii="Times New Roman" w:hAnsi="Times New Roman" w:cs="Times New Roman"/>
                <w:noProof/>
                <w:webHidden/>
              </w:rPr>
              <w:fldChar w:fldCharType="end"/>
            </w:r>
          </w:hyperlink>
        </w:p>
        <w:p w14:paraId="6C2CA9DE" w14:textId="33A084CC"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81" w:history="1">
            <w:r w:rsidRPr="00A96A10">
              <w:rPr>
                <w:rStyle w:val="Hyperlink"/>
                <w:rFonts w:ascii="Times New Roman" w:eastAsia="Times New Roman" w:hAnsi="Times New Roman" w:cs="Times New Roman"/>
                <w:noProof/>
                <w:lang w:val="sq-AL" w:eastAsia="sq-AL"/>
              </w:rPr>
              <w:t>16. Kostoja dhe ngarkesa</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_Toc228888981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9</w:t>
            </w:r>
            <w:r w:rsidRPr="00A96A10">
              <w:rPr>
                <w:rFonts w:ascii="Times New Roman" w:hAnsi="Times New Roman" w:cs="Times New Roman"/>
                <w:noProof/>
                <w:webHidden/>
              </w:rPr>
              <w:fldChar w:fldCharType="end"/>
            </w:r>
          </w:hyperlink>
        </w:p>
        <w:p w14:paraId="087D96AC" w14:textId="708BB382"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82" w:history="1">
            <w:r w:rsidRPr="00A96A10">
              <w:rPr>
                <w:rStyle w:val="Hyperlink"/>
                <w:rFonts w:ascii="Times New Roman" w:eastAsia="Times New Roman" w:hAnsi="Times New Roman" w:cs="Times New Roman"/>
                <w:noProof/>
                <w:lang w:val="sq-AL" w:eastAsia="sq-AL"/>
              </w:rPr>
              <w:t>17. Rishikimi i të dhënave</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_Toc228888982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9</w:t>
            </w:r>
            <w:r w:rsidRPr="00A96A10">
              <w:rPr>
                <w:rFonts w:ascii="Times New Roman" w:hAnsi="Times New Roman" w:cs="Times New Roman"/>
                <w:noProof/>
                <w:webHidden/>
              </w:rPr>
              <w:fldChar w:fldCharType="end"/>
            </w:r>
          </w:hyperlink>
        </w:p>
        <w:p w14:paraId="550A030C" w14:textId="56672341"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83" w:history="1">
            <w:r w:rsidRPr="00A96A10">
              <w:rPr>
                <w:rStyle w:val="Hyperlink"/>
                <w:rFonts w:ascii="Times New Roman" w:eastAsia="Times New Roman" w:hAnsi="Times New Roman" w:cs="Times New Roman"/>
                <w:noProof/>
                <w:lang w:val="sq-AL" w:eastAsia="sq-AL"/>
              </w:rPr>
              <w:t>18. Përpunimi statistikor</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_Toc228888983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10</w:t>
            </w:r>
            <w:r w:rsidRPr="00A96A10">
              <w:rPr>
                <w:rFonts w:ascii="Times New Roman" w:hAnsi="Times New Roman" w:cs="Times New Roman"/>
                <w:noProof/>
                <w:webHidden/>
              </w:rPr>
              <w:fldChar w:fldCharType="end"/>
            </w:r>
          </w:hyperlink>
        </w:p>
        <w:p w14:paraId="7C23D6E5" w14:textId="68F582A0"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84" w:history="1">
            <w:r w:rsidRPr="00A96A10">
              <w:rPr>
                <w:rStyle w:val="Hyperlink"/>
                <w:rFonts w:ascii="Times New Roman" w:eastAsia="Times New Roman" w:hAnsi="Times New Roman" w:cs="Times New Roman"/>
                <w:noProof/>
                <w:lang w:val="sq-AL" w:eastAsia="sq-AL"/>
              </w:rPr>
              <w:t>19. Komente</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_Toc228888984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12</w:t>
            </w:r>
            <w:r w:rsidRPr="00A96A10">
              <w:rPr>
                <w:rFonts w:ascii="Times New Roman" w:hAnsi="Times New Roman" w:cs="Times New Roman"/>
                <w:noProof/>
                <w:webHidden/>
              </w:rPr>
              <w:fldChar w:fldCharType="end"/>
            </w:r>
          </w:hyperlink>
        </w:p>
        <w:p w14:paraId="05F812D8" w14:textId="1928514F" w:rsidR="00125AB3" w:rsidRPr="00A96A10" w:rsidRDefault="00125AB3" w:rsidP="00506308">
          <w:pPr>
            <w:pStyle w:val="TOC1"/>
            <w:tabs>
              <w:tab w:val="right" w:leader="dot" w:pos="10456"/>
            </w:tabs>
            <w:jc w:val="both"/>
            <w:rPr>
              <w:rFonts w:ascii="Times New Roman" w:eastAsiaTheme="minorEastAsia" w:hAnsi="Times New Roman" w:cs="Times New Roman"/>
              <w:noProof/>
              <w:kern w:val="2"/>
              <w:lang w:eastAsia="en-GB"/>
              <w14:ligatures w14:val="standardContextual"/>
            </w:rPr>
          </w:pPr>
          <w:hyperlink w:anchor="_Toc228888985" w:history="1">
            <w:r w:rsidRPr="00A96A10">
              <w:rPr>
                <w:rStyle w:val="Hyperlink"/>
                <w:rFonts w:ascii="Times New Roman" w:eastAsia="Times New Roman" w:hAnsi="Times New Roman" w:cs="Times New Roman"/>
                <w:noProof/>
                <w:lang w:val="sq-AL" w:eastAsia="sq-AL"/>
              </w:rPr>
              <w:t>Aneks</w:t>
            </w:r>
            <w:r w:rsidRPr="00A96A10">
              <w:rPr>
                <w:rFonts w:ascii="Times New Roman" w:hAnsi="Times New Roman" w:cs="Times New Roman"/>
                <w:noProof/>
                <w:webHidden/>
              </w:rPr>
              <w:tab/>
            </w:r>
            <w:r w:rsidRPr="00A96A10">
              <w:rPr>
                <w:rFonts w:ascii="Times New Roman" w:hAnsi="Times New Roman" w:cs="Times New Roman"/>
                <w:noProof/>
                <w:webHidden/>
              </w:rPr>
              <w:fldChar w:fldCharType="begin"/>
            </w:r>
            <w:r w:rsidRPr="00A96A10">
              <w:rPr>
                <w:rFonts w:ascii="Times New Roman" w:hAnsi="Times New Roman" w:cs="Times New Roman"/>
                <w:noProof/>
                <w:webHidden/>
              </w:rPr>
              <w:instrText xml:space="preserve"> PAGEREF _Toc228888985 \h </w:instrText>
            </w:r>
            <w:r w:rsidRPr="00A96A10">
              <w:rPr>
                <w:rFonts w:ascii="Times New Roman" w:hAnsi="Times New Roman" w:cs="Times New Roman"/>
                <w:noProof/>
                <w:webHidden/>
              </w:rPr>
            </w:r>
            <w:r w:rsidRPr="00A96A10">
              <w:rPr>
                <w:rFonts w:ascii="Times New Roman" w:hAnsi="Times New Roman" w:cs="Times New Roman"/>
                <w:noProof/>
                <w:webHidden/>
              </w:rPr>
              <w:fldChar w:fldCharType="separate"/>
            </w:r>
            <w:r w:rsidRPr="00A96A10">
              <w:rPr>
                <w:rFonts w:ascii="Times New Roman" w:hAnsi="Times New Roman" w:cs="Times New Roman"/>
                <w:noProof/>
                <w:webHidden/>
              </w:rPr>
              <w:t>12</w:t>
            </w:r>
            <w:r w:rsidRPr="00A96A10">
              <w:rPr>
                <w:rFonts w:ascii="Times New Roman" w:hAnsi="Times New Roman" w:cs="Times New Roman"/>
                <w:noProof/>
                <w:webHidden/>
              </w:rPr>
              <w:fldChar w:fldCharType="end"/>
            </w:r>
          </w:hyperlink>
        </w:p>
        <w:p w14:paraId="18C6A46F" w14:textId="18F7A17E" w:rsidR="003A47EB" w:rsidRPr="00A96A10" w:rsidRDefault="003A47EB" w:rsidP="00506308">
          <w:pPr>
            <w:jc w:val="both"/>
            <w:rPr>
              <w:rFonts w:ascii="Times New Roman" w:hAnsi="Times New Roman" w:cs="Times New Roman"/>
            </w:rPr>
          </w:pPr>
          <w:r w:rsidRPr="00A96A10">
            <w:rPr>
              <w:rFonts w:ascii="Times New Roman" w:hAnsi="Times New Roman" w:cs="Times New Roman"/>
            </w:rPr>
            <w:fldChar w:fldCharType="end"/>
          </w:r>
        </w:p>
      </w:sdtContent>
    </w:sdt>
    <w:p w14:paraId="179EF4F8" w14:textId="77777777" w:rsidR="003A47EB" w:rsidRPr="00A96A10" w:rsidRDefault="003A47EB" w:rsidP="00506308">
      <w:pPr>
        <w:jc w:val="both"/>
        <w:rPr>
          <w:rFonts w:ascii="Times New Roman" w:hAnsi="Times New Roman" w:cs="Times New Roman"/>
        </w:rPr>
      </w:pPr>
    </w:p>
    <w:p w14:paraId="48287BE0" w14:textId="77777777" w:rsidR="003A47EB" w:rsidRPr="00A96A10" w:rsidRDefault="003A47EB" w:rsidP="00506308">
      <w:pPr>
        <w:jc w:val="both"/>
        <w:rPr>
          <w:rFonts w:ascii="Times New Roman" w:hAnsi="Times New Roman" w:cs="Times New Roman"/>
        </w:rPr>
      </w:pPr>
    </w:p>
    <w:p w14:paraId="5ECB9351" w14:textId="77777777" w:rsidR="00982D56" w:rsidRPr="00A96A10" w:rsidRDefault="00982D56" w:rsidP="00506308">
      <w:pPr>
        <w:jc w:val="both"/>
        <w:rPr>
          <w:rFonts w:ascii="Times New Roman" w:hAnsi="Times New Roman" w:cs="Times New Roman"/>
        </w:rPr>
      </w:pPr>
    </w:p>
    <w:p w14:paraId="5425198A" w14:textId="77777777" w:rsidR="003A47EB" w:rsidRPr="00A96A10" w:rsidRDefault="003A47EB" w:rsidP="00506308">
      <w:pPr>
        <w:jc w:val="both"/>
        <w:rPr>
          <w:rFonts w:ascii="Times New Roman" w:hAnsi="Times New Roman" w:cs="Times New Roman"/>
        </w:rPr>
      </w:pPr>
    </w:p>
    <w:p w14:paraId="2E51A2D1" w14:textId="77777777" w:rsidR="003A47EB" w:rsidRPr="00A96A10" w:rsidRDefault="003A47EB" w:rsidP="00506308">
      <w:pPr>
        <w:jc w:val="both"/>
        <w:rPr>
          <w:rFonts w:ascii="Times New Roman" w:hAnsi="Times New Roman" w:cs="Times New Roman"/>
        </w:rPr>
      </w:pPr>
    </w:p>
    <w:p w14:paraId="0CE0040B" w14:textId="77777777" w:rsidR="00073323" w:rsidRPr="00A96A10" w:rsidRDefault="00073323" w:rsidP="00506308">
      <w:pPr>
        <w:jc w:val="both"/>
        <w:rPr>
          <w:rFonts w:ascii="Times New Roman" w:hAnsi="Times New Roman" w:cs="Times New Roman"/>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7970"/>
      </w:tblGrid>
      <w:tr w:rsidR="003A47EB" w:rsidRPr="00A96A10" w14:paraId="0EE34448" w14:textId="77777777" w:rsidTr="00F2159C">
        <w:trPr>
          <w:trHeight w:val="567"/>
        </w:trPr>
        <w:tc>
          <w:tcPr>
            <w:tcW w:w="10427" w:type="dxa"/>
            <w:gridSpan w:val="2"/>
            <w:shd w:val="clear" w:color="auto" w:fill="C5E0B3" w:themeFill="accent6" w:themeFillTint="66"/>
            <w:noWrap/>
            <w:vAlign w:val="center"/>
            <w:hideMark/>
          </w:tcPr>
          <w:p w14:paraId="0907E4DA" w14:textId="77777777" w:rsidR="003A47EB" w:rsidRPr="00A96A10" w:rsidRDefault="003A47EB" w:rsidP="00506308">
            <w:pPr>
              <w:pStyle w:val="Heading1"/>
              <w:spacing w:before="0"/>
              <w:jc w:val="both"/>
              <w:rPr>
                <w:rFonts w:ascii="Times New Roman" w:eastAsia="Times New Roman" w:hAnsi="Times New Roman" w:cs="Times New Roman"/>
                <w:noProof/>
                <w:color w:val="000000" w:themeColor="text1"/>
                <w:sz w:val="22"/>
                <w:szCs w:val="22"/>
                <w:lang w:val="sq-AL" w:eastAsia="sq-AL"/>
              </w:rPr>
            </w:pPr>
            <w:bookmarkStart w:id="0" w:name="_Toc228888966"/>
            <w:r w:rsidRPr="00A96A10">
              <w:rPr>
                <w:rFonts w:ascii="Times New Roman" w:eastAsia="Times New Roman" w:hAnsi="Times New Roman" w:cs="Times New Roman"/>
                <w:noProof/>
                <w:color w:val="000000" w:themeColor="text1"/>
                <w:sz w:val="22"/>
                <w:szCs w:val="22"/>
                <w:lang w:val="sq-AL" w:eastAsia="sq-AL"/>
              </w:rPr>
              <w:lastRenderedPageBreak/>
              <w:t>1. Kontakt</w:t>
            </w:r>
            <w:bookmarkEnd w:id="0"/>
          </w:p>
        </w:tc>
      </w:tr>
      <w:tr w:rsidR="003A47EB" w:rsidRPr="00A96A10" w14:paraId="7B05389B" w14:textId="77777777" w:rsidTr="00F90DC9">
        <w:trPr>
          <w:trHeight w:val="567"/>
        </w:trPr>
        <w:tc>
          <w:tcPr>
            <w:tcW w:w="2457" w:type="dxa"/>
            <w:shd w:val="clear" w:color="auto" w:fill="FFFFCC"/>
            <w:vAlign w:val="center"/>
            <w:hideMark/>
          </w:tcPr>
          <w:p w14:paraId="3FBF43C4"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1.1. Institucioni i kontaktit</w:t>
            </w:r>
          </w:p>
        </w:tc>
        <w:tc>
          <w:tcPr>
            <w:tcW w:w="7970" w:type="dxa"/>
            <w:noWrap/>
            <w:vAlign w:val="center"/>
            <w:hideMark/>
          </w:tcPr>
          <w:p w14:paraId="2797863A" w14:textId="288C9DD6" w:rsidR="003A47EB" w:rsidRPr="00A96A10" w:rsidRDefault="00F90DC9" w:rsidP="00506308">
            <w:pPr>
              <w:spacing w:after="0"/>
              <w:jc w:val="both"/>
              <w:rPr>
                <w:rFonts w:ascii="Times New Roman" w:hAnsi="Times New Roman" w:cs="Times New Roman"/>
                <w:noProof/>
                <w:color w:val="000000"/>
                <w:lang w:val="sq-AL"/>
              </w:rPr>
            </w:pPr>
            <w:r w:rsidRPr="00A96A10">
              <w:rPr>
                <w:rFonts w:ascii="Times New Roman" w:hAnsi="Times New Roman" w:cs="Times New Roman"/>
                <w:noProof/>
                <w:color w:val="000000"/>
              </w:rPr>
              <w:t>Banka e Shqipërisë</w:t>
            </w:r>
          </w:p>
        </w:tc>
      </w:tr>
      <w:tr w:rsidR="003A47EB" w:rsidRPr="00A96A10" w14:paraId="189CDF15" w14:textId="77777777" w:rsidTr="00F90DC9">
        <w:trPr>
          <w:trHeight w:val="567"/>
        </w:trPr>
        <w:tc>
          <w:tcPr>
            <w:tcW w:w="2457" w:type="dxa"/>
            <w:shd w:val="clear" w:color="auto" w:fill="FFFFCC"/>
            <w:vAlign w:val="center"/>
            <w:hideMark/>
          </w:tcPr>
          <w:p w14:paraId="125994D6"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1.2. Njësia e kontaktit</w:t>
            </w:r>
          </w:p>
        </w:tc>
        <w:tc>
          <w:tcPr>
            <w:tcW w:w="7970" w:type="dxa"/>
            <w:noWrap/>
            <w:vAlign w:val="center"/>
            <w:hideMark/>
          </w:tcPr>
          <w:p w14:paraId="11AF9968" w14:textId="65A198FB" w:rsidR="003A47EB" w:rsidRPr="00A96A10" w:rsidRDefault="00F90DC9" w:rsidP="00506308">
            <w:pPr>
              <w:spacing w:after="0"/>
              <w:jc w:val="both"/>
              <w:rPr>
                <w:rFonts w:ascii="Times New Roman" w:hAnsi="Times New Roman" w:cs="Times New Roman"/>
                <w:noProof/>
                <w:color w:val="000000"/>
                <w:lang w:val="sq-AL"/>
              </w:rPr>
            </w:pPr>
            <w:r w:rsidRPr="00A96A10">
              <w:rPr>
                <w:rFonts w:ascii="Times New Roman" w:hAnsi="Times New Roman" w:cs="Times New Roman"/>
                <w:noProof/>
              </w:rPr>
              <w:t>Statistikat e Sektorit të Jashtëm / Njësia e Pozicionit të Investimeve Ndërkombëtare dhe Vrojtimeve</w:t>
            </w:r>
          </w:p>
        </w:tc>
      </w:tr>
      <w:tr w:rsidR="003A47EB" w:rsidRPr="00A96A10" w14:paraId="4B8E951F" w14:textId="77777777" w:rsidTr="00F90DC9">
        <w:trPr>
          <w:trHeight w:val="567"/>
        </w:trPr>
        <w:tc>
          <w:tcPr>
            <w:tcW w:w="2457" w:type="dxa"/>
            <w:shd w:val="clear" w:color="auto" w:fill="FFFFCC"/>
            <w:vAlign w:val="center"/>
            <w:hideMark/>
          </w:tcPr>
          <w:p w14:paraId="5526FA3A"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1.3. Personi i kontaktit</w:t>
            </w:r>
          </w:p>
        </w:tc>
        <w:tc>
          <w:tcPr>
            <w:tcW w:w="7970" w:type="dxa"/>
            <w:noWrap/>
            <w:vAlign w:val="center"/>
            <w:hideMark/>
          </w:tcPr>
          <w:p w14:paraId="47DBF72F" w14:textId="77777777" w:rsidR="007F2720" w:rsidRPr="00A96A10" w:rsidRDefault="007F2720" w:rsidP="00506308">
            <w:pPr>
              <w:pStyle w:val="TableParagraph"/>
              <w:spacing w:before="240" w:after="240"/>
              <w:ind w:right="86"/>
              <w:jc w:val="both"/>
              <w:rPr>
                <w:lang w:eastAsia="nl-NL"/>
              </w:rPr>
            </w:pPr>
            <w:r w:rsidRPr="00A96A10">
              <w:rPr>
                <w:lang w:eastAsia="nl-NL"/>
              </w:rPr>
              <w:t xml:space="preserve">Rudina Lilaj    </w:t>
            </w:r>
          </w:p>
          <w:p w14:paraId="535A557E" w14:textId="5CA6ACA6" w:rsidR="003A47EB" w:rsidRPr="00A96A10" w:rsidRDefault="007F2720" w:rsidP="00506308">
            <w:pPr>
              <w:spacing w:after="0"/>
              <w:jc w:val="both"/>
              <w:rPr>
                <w:rFonts w:ascii="Times New Roman" w:hAnsi="Times New Roman" w:cs="Times New Roman"/>
                <w:noProof/>
                <w:color w:val="000000"/>
                <w:lang w:val="sq-AL"/>
              </w:rPr>
            </w:pPr>
            <w:r w:rsidRPr="00A96A10">
              <w:rPr>
                <w:rFonts w:ascii="Times New Roman" w:hAnsi="Times New Roman" w:cs="Times New Roman"/>
                <w:lang w:eastAsia="nl-NL"/>
              </w:rPr>
              <w:t>Ines Koçiaj</w:t>
            </w:r>
          </w:p>
        </w:tc>
      </w:tr>
      <w:tr w:rsidR="003A47EB" w:rsidRPr="00A96A10" w14:paraId="61E89E63" w14:textId="77777777" w:rsidTr="00F90DC9">
        <w:trPr>
          <w:trHeight w:val="567"/>
        </w:trPr>
        <w:tc>
          <w:tcPr>
            <w:tcW w:w="2457" w:type="dxa"/>
            <w:shd w:val="clear" w:color="auto" w:fill="FFFFCC"/>
            <w:vAlign w:val="center"/>
            <w:hideMark/>
          </w:tcPr>
          <w:p w14:paraId="37FB91A4"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1.4. Funksioni i personit të kontaktit</w:t>
            </w:r>
          </w:p>
        </w:tc>
        <w:tc>
          <w:tcPr>
            <w:tcW w:w="7970" w:type="dxa"/>
            <w:noWrap/>
            <w:vAlign w:val="center"/>
            <w:hideMark/>
          </w:tcPr>
          <w:p w14:paraId="591A3381" w14:textId="77777777" w:rsidR="007F2720" w:rsidRPr="00A96A10" w:rsidRDefault="007F2720" w:rsidP="00506308">
            <w:pPr>
              <w:jc w:val="both"/>
              <w:rPr>
                <w:rFonts w:ascii="Times New Roman" w:hAnsi="Times New Roman" w:cs="Times New Roman"/>
              </w:rPr>
            </w:pPr>
            <w:r w:rsidRPr="00A96A10">
              <w:rPr>
                <w:rFonts w:ascii="Times New Roman" w:hAnsi="Times New Roman" w:cs="Times New Roman"/>
              </w:rPr>
              <w:t>Përgjegjës Sektori i Statistikave të Sektorit të Jashtëm</w:t>
            </w:r>
          </w:p>
          <w:p w14:paraId="490F1014" w14:textId="5D36C536" w:rsidR="003A47EB" w:rsidRPr="00A96A10" w:rsidRDefault="007F2720" w:rsidP="00506308">
            <w:pPr>
              <w:spacing w:after="0"/>
              <w:jc w:val="both"/>
              <w:rPr>
                <w:rFonts w:ascii="Times New Roman" w:hAnsi="Times New Roman" w:cs="Times New Roman"/>
                <w:noProof/>
                <w:color w:val="000000"/>
                <w:lang w:val="sq-AL"/>
              </w:rPr>
            </w:pPr>
            <w:r w:rsidRPr="00A96A10">
              <w:rPr>
                <w:rFonts w:ascii="Times New Roman" w:hAnsi="Times New Roman" w:cs="Times New Roman"/>
                <w:lang w:eastAsia="nl-NL"/>
              </w:rPr>
              <w:t>Përgjegjës Zyre i Zyrës së Pozicionit të Investimeve Ndërkombëtare dhe Vrojtimeve</w:t>
            </w:r>
          </w:p>
        </w:tc>
      </w:tr>
      <w:tr w:rsidR="003A47EB" w:rsidRPr="00A96A10" w14:paraId="5175D422" w14:textId="77777777" w:rsidTr="00F90DC9">
        <w:trPr>
          <w:trHeight w:val="567"/>
        </w:trPr>
        <w:tc>
          <w:tcPr>
            <w:tcW w:w="2457" w:type="dxa"/>
            <w:shd w:val="clear" w:color="auto" w:fill="FFFFCC"/>
            <w:vAlign w:val="center"/>
            <w:hideMark/>
          </w:tcPr>
          <w:p w14:paraId="341134FA"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1.5. Adresa postare</w:t>
            </w:r>
          </w:p>
        </w:tc>
        <w:tc>
          <w:tcPr>
            <w:tcW w:w="7970" w:type="dxa"/>
            <w:noWrap/>
            <w:vAlign w:val="center"/>
            <w:hideMark/>
          </w:tcPr>
          <w:p w14:paraId="22A686D3" w14:textId="77777777" w:rsidR="007F2720" w:rsidRPr="00A96A10" w:rsidRDefault="007F2720" w:rsidP="00506308">
            <w:pPr>
              <w:spacing w:after="160" w:line="259" w:lineRule="auto"/>
              <w:jc w:val="both"/>
              <w:rPr>
                <w:rFonts w:ascii="Times New Roman" w:hAnsi="Times New Roman" w:cs="Times New Roman"/>
              </w:rPr>
            </w:pPr>
            <w:r w:rsidRPr="00A96A10">
              <w:rPr>
                <w:rFonts w:ascii="Times New Roman" w:hAnsi="Times New Roman" w:cs="Times New Roman"/>
              </w:rPr>
              <w:t>Selia Qendrore nr.2 e Bankës së Shqipërisë</w:t>
            </w:r>
          </w:p>
          <w:p w14:paraId="132A1BB6" w14:textId="698F1555" w:rsidR="003A47EB" w:rsidRPr="00A96A10" w:rsidRDefault="007F2720" w:rsidP="00506308">
            <w:pPr>
              <w:spacing w:after="0"/>
              <w:jc w:val="both"/>
              <w:rPr>
                <w:rFonts w:ascii="Times New Roman" w:hAnsi="Times New Roman" w:cs="Times New Roman"/>
                <w:noProof/>
                <w:color w:val="000000"/>
                <w:lang w:val="sq-AL"/>
              </w:rPr>
            </w:pPr>
            <w:r w:rsidRPr="00A96A10">
              <w:rPr>
                <w:rFonts w:ascii="Times New Roman" w:hAnsi="Times New Roman" w:cs="Times New Roman"/>
              </w:rPr>
              <w:t>Bulevardi “Dëshmorët e Kombit, nr.3, Tiranë</w:t>
            </w:r>
          </w:p>
        </w:tc>
      </w:tr>
      <w:tr w:rsidR="003A47EB" w:rsidRPr="00A96A10" w14:paraId="636125CB" w14:textId="77777777" w:rsidTr="00F90DC9">
        <w:trPr>
          <w:trHeight w:val="567"/>
        </w:trPr>
        <w:tc>
          <w:tcPr>
            <w:tcW w:w="2457" w:type="dxa"/>
            <w:shd w:val="clear" w:color="auto" w:fill="FFFFCC"/>
            <w:vAlign w:val="center"/>
            <w:hideMark/>
          </w:tcPr>
          <w:p w14:paraId="3057ECFA"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1.6. Adresa elektronike (e-mail)</w:t>
            </w:r>
          </w:p>
        </w:tc>
        <w:tc>
          <w:tcPr>
            <w:tcW w:w="7970" w:type="dxa"/>
            <w:noWrap/>
            <w:vAlign w:val="center"/>
            <w:hideMark/>
          </w:tcPr>
          <w:p w14:paraId="044598F1" w14:textId="77777777" w:rsidR="00FF0777" w:rsidRPr="00A96A10" w:rsidRDefault="00FF0777" w:rsidP="00506308">
            <w:pPr>
              <w:spacing w:after="0"/>
              <w:jc w:val="both"/>
              <w:rPr>
                <w:rFonts w:ascii="Times New Roman" w:hAnsi="Times New Roman" w:cs="Times New Roman"/>
                <w:noProof/>
                <w:color w:val="0000FF"/>
                <w:u w:val="single"/>
              </w:rPr>
            </w:pPr>
            <w:hyperlink r:id="rId8" w:history="1">
              <w:r w:rsidRPr="00A96A10">
                <w:rPr>
                  <w:rStyle w:val="Hyperlink"/>
                  <w:rFonts w:ascii="Times New Roman" w:hAnsi="Times New Roman" w:cs="Times New Roman"/>
                  <w:noProof/>
                </w:rPr>
                <w:t>rlilaj@bankofalbania.org</w:t>
              </w:r>
            </w:hyperlink>
            <w:r w:rsidRPr="00A96A10">
              <w:rPr>
                <w:rFonts w:ascii="Times New Roman" w:hAnsi="Times New Roman" w:cs="Times New Roman"/>
                <w:noProof/>
                <w:color w:val="0000FF"/>
                <w:u w:val="single"/>
              </w:rPr>
              <w:t xml:space="preserve"> </w:t>
            </w:r>
          </w:p>
          <w:p w14:paraId="382AF761" w14:textId="171E6641" w:rsidR="003A47EB" w:rsidRPr="00A96A10" w:rsidRDefault="00FF0777" w:rsidP="00506308">
            <w:pPr>
              <w:spacing w:after="0"/>
              <w:jc w:val="both"/>
              <w:rPr>
                <w:rFonts w:ascii="Times New Roman" w:hAnsi="Times New Roman" w:cs="Times New Roman"/>
                <w:noProof/>
                <w:color w:val="0000FF"/>
                <w:u w:val="single"/>
                <w:lang w:val="sq-AL"/>
              </w:rPr>
            </w:pPr>
            <w:r w:rsidRPr="00A96A10">
              <w:rPr>
                <w:rFonts w:ascii="Times New Roman" w:hAnsi="Times New Roman" w:cs="Times New Roman"/>
                <w:noProof/>
                <w:color w:val="0000FF"/>
                <w:u w:val="single"/>
              </w:rPr>
              <w:t>ikociaj@bankofalbania.org</w:t>
            </w:r>
          </w:p>
        </w:tc>
      </w:tr>
      <w:tr w:rsidR="003A47EB" w:rsidRPr="00A96A10" w14:paraId="34C2B6E0" w14:textId="77777777" w:rsidTr="00F90DC9">
        <w:trPr>
          <w:trHeight w:val="567"/>
        </w:trPr>
        <w:tc>
          <w:tcPr>
            <w:tcW w:w="2457" w:type="dxa"/>
            <w:shd w:val="clear" w:color="auto" w:fill="FFFFCC"/>
            <w:vAlign w:val="center"/>
            <w:hideMark/>
          </w:tcPr>
          <w:p w14:paraId="20F3C99E"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1.7. Numri i telefonit</w:t>
            </w:r>
          </w:p>
        </w:tc>
        <w:tc>
          <w:tcPr>
            <w:tcW w:w="7970" w:type="dxa"/>
            <w:noWrap/>
            <w:vAlign w:val="center"/>
            <w:hideMark/>
          </w:tcPr>
          <w:p w14:paraId="438A8951" w14:textId="4A04673B" w:rsidR="003A47EB" w:rsidRPr="00A96A10" w:rsidRDefault="00F90DC9" w:rsidP="00506308">
            <w:pPr>
              <w:spacing w:after="0"/>
              <w:jc w:val="both"/>
              <w:rPr>
                <w:rFonts w:ascii="Times New Roman" w:hAnsi="Times New Roman" w:cs="Times New Roman"/>
                <w:noProof/>
                <w:color w:val="000000"/>
                <w:lang w:val="sq-AL"/>
              </w:rPr>
            </w:pPr>
            <w:r w:rsidRPr="00A96A10">
              <w:rPr>
                <w:rFonts w:ascii="Times New Roman" w:hAnsi="Times New Roman" w:cs="Times New Roman"/>
                <w:noProof/>
                <w:color w:val="000000"/>
              </w:rPr>
              <w:t>+355 4 2419301/02/03/ (int. 634)</w:t>
            </w:r>
          </w:p>
        </w:tc>
      </w:tr>
      <w:tr w:rsidR="003A47EB" w:rsidRPr="00A96A10" w14:paraId="5E7C881B" w14:textId="77777777" w:rsidTr="00F90DC9">
        <w:trPr>
          <w:trHeight w:val="567"/>
        </w:trPr>
        <w:tc>
          <w:tcPr>
            <w:tcW w:w="2457" w:type="dxa"/>
            <w:shd w:val="clear" w:color="auto" w:fill="FFFFCC"/>
            <w:vAlign w:val="center"/>
            <w:hideMark/>
          </w:tcPr>
          <w:p w14:paraId="2CEE9009"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1.8. Numri i faksit</w:t>
            </w:r>
          </w:p>
        </w:tc>
        <w:tc>
          <w:tcPr>
            <w:tcW w:w="7970" w:type="dxa"/>
            <w:noWrap/>
            <w:vAlign w:val="center"/>
            <w:hideMark/>
          </w:tcPr>
          <w:p w14:paraId="571868E2" w14:textId="6E5EBE73" w:rsidR="003A47EB" w:rsidRPr="00A96A10" w:rsidRDefault="00F90DC9" w:rsidP="00506308">
            <w:pPr>
              <w:spacing w:after="0"/>
              <w:jc w:val="both"/>
              <w:rPr>
                <w:rFonts w:ascii="Times New Roman" w:hAnsi="Times New Roman" w:cs="Times New Roman"/>
                <w:noProof/>
                <w:color w:val="000000"/>
                <w:lang w:val="sq-AL"/>
              </w:rPr>
            </w:pPr>
            <w:r w:rsidRPr="00A96A10">
              <w:rPr>
                <w:rFonts w:ascii="Times New Roman" w:hAnsi="Times New Roman" w:cs="Times New Roman"/>
                <w:noProof/>
                <w:color w:val="000000"/>
              </w:rPr>
              <w:t>355 4 2419408</w:t>
            </w:r>
          </w:p>
        </w:tc>
      </w:tr>
      <w:tr w:rsidR="003A47EB" w:rsidRPr="00A96A10" w14:paraId="0DD4042F" w14:textId="77777777" w:rsidTr="00F2159C">
        <w:trPr>
          <w:trHeight w:val="567"/>
        </w:trPr>
        <w:tc>
          <w:tcPr>
            <w:tcW w:w="10427" w:type="dxa"/>
            <w:gridSpan w:val="2"/>
            <w:shd w:val="clear" w:color="auto" w:fill="C5E0B3" w:themeFill="accent6" w:themeFillTint="66"/>
            <w:noWrap/>
            <w:vAlign w:val="center"/>
            <w:hideMark/>
          </w:tcPr>
          <w:p w14:paraId="6A7E6420" w14:textId="77777777" w:rsidR="003A47EB" w:rsidRPr="00A96A10" w:rsidRDefault="003A47EB"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1" w:name="_Toc228888967"/>
            <w:r w:rsidRPr="00A96A10">
              <w:rPr>
                <w:rFonts w:ascii="Times New Roman" w:eastAsia="Times New Roman" w:hAnsi="Times New Roman" w:cs="Times New Roman"/>
                <w:noProof/>
                <w:color w:val="000000" w:themeColor="text1"/>
                <w:sz w:val="22"/>
                <w:szCs w:val="22"/>
                <w:lang w:val="sq-AL" w:eastAsia="sq-AL"/>
              </w:rPr>
              <w:t>2. Përditësimi i metadatave</w:t>
            </w:r>
            <w:bookmarkEnd w:id="1"/>
          </w:p>
        </w:tc>
      </w:tr>
      <w:tr w:rsidR="003A47EB" w:rsidRPr="00A96A10" w14:paraId="3EEBDFEC" w14:textId="77777777" w:rsidTr="00F90DC9">
        <w:trPr>
          <w:trHeight w:val="567"/>
        </w:trPr>
        <w:tc>
          <w:tcPr>
            <w:tcW w:w="2457" w:type="dxa"/>
            <w:shd w:val="clear" w:color="auto" w:fill="FFFFCC"/>
            <w:noWrap/>
            <w:vAlign w:val="center"/>
            <w:hideMark/>
          </w:tcPr>
          <w:p w14:paraId="19B12969"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2.1. Çertifikimi i fundit i metadatës</w:t>
            </w:r>
          </w:p>
        </w:tc>
        <w:tc>
          <w:tcPr>
            <w:tcW w:w="7970" w:type="dxa"/>
            <w:noWrap/>
            <w:vAlign w:val="center"/>
            <w:hideMark/>
          </w:tcPr>
          <w:p w14:paraId="3C8E6CAC" w14:textId="70B2E433" w:rsidR="003A47EB" w:rsidRPr="00A96A10" w:rsidRDefault="003A47EB" w:rsidP="00506308">
            <w:pPr>
              <w:spacing w:after="0"/>
              <w:jc w:val="both"/>
              <w:rPr>
                <w:rFonts w:ascii="Times New Roman" w:hAnsi="Times New Roman" w:cs="Times New Roman"/>
                <w:noProof/>
                <w:color w:val="000000"/>
                <w:lang w:val="sq-AL"/>
              </w:rPr>
            </w:pPr>
          </w:p>
        </w:tc>
      </w:tr>
      <w:tr w:rsidR="003A47EB" w:rsidRPr="00A96A10" w14:paraId="6FA16B07" w14:textId="77777777" w:rsidTr="00F90DC9">
        <w:trPr>
          <w:trHeight w:val="567"/>
        </w:trPr>
        <w:tc>
          <w:tcPr>
            <w:tcW w:w="2457" w:type="dxa"/>
            <w:shd w:val="clear" w:color="auto" w:fill="FFFFCC"/>
            <w:noWrap/>
            <w:vAlign w:val="center"/>
            <w:hideMark/>
          </w:tcPr>
          <w:p w14:paraId="79FA279D"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2.2. Publikimi i fundit i metadatës</w:t>
            </w:r>
          </w:p>
        </w:tc>
        <w:tc>
          <w:tcPr>
            <w:tcW w:w="7970" w:type="dxa"/>
            <w:noWrap/>
            <w:vAlign w:val="center"/>
          </w:tcPr>
          <w:p w14:paraId="0CCEABCC" w14:textId="1790DA58" w:rsidR="003A47EB" w:rsidRPr="00A96A10" w:rsidRDefault="003A47EB" w:rsidP="00506308">
            <w:pPr>
              <w:spacing w:after="0"/>
              <w:jc w:val="both"/>
              <w:rPr>
                <w:rFonts w:ascii="Times New Roman" w:hAnsi="Times New Roman" w:cs="Times New Roman"/>
                <w:noProof/>
                <w:color w:val="000000"/>
                <w:lang w:val="sq-AL"/>
              </w:rPr>
            </w:pPr>
          </w:p>
        </w:tc>
      </w:tr>
      <w:tr w:rsidR="00F90DC9" w:rsidRPr="00A96A10" w14:paraId="262E53F8" w14:textId="77777777" w:rsidTr="00F90DC9">
        <w:trPr>
          <w:gridAfter w:val="1"/>
          <w:wAfter w:w="7970" w:type="dxa"/>
          <w:trHeight w:val="567"/>
        </w:trPr>
        <w:tc>
          <w:tcPr>
            <w:tcW w:w="2457" w:type="dxa"/>
            <w:shd w:val="clear" w:color="auto" w:fill="FFFFCC"/>
            <w:noWrap/>
            <w:vAlign w:val="center"/>
            <w:hideMark/>
          </w:tcPr>
          <w:p w14:paraId="1E93D50B"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2.3. Përditësimi i fundit i metadatës</w:t>
            </w:r>
          </w:p>
        </w:tc>
      </w:tr>
      <w:tr w:rsidR="003A47EB" w:rsidRPr="00A96A10" w14:paraId="01F2B5D4" w14:textId="77777777" w:rsidTr="00F2159C">
        <w:trPr>
          <w:trHeight w:val="567"/>
        </w:trPr>
        <w:tc>
          <w:tcPr>
            <w:tcW w:w="10427" w:type="dxa"/>
            <w:gridSpan w:val="2"/>
            <w:shd w:val="clear" w:color="auto" w:fill="C5E0B3" w:themeFill="accent6" w:themeFillTint="66"/>
            <w:noWrap/>
            <w:vAlign w:val="center"/>
            <w:hideMark/>
          </w:tcPr>
          <w:p w14:paraId="5A5820E4" w14:textId="77777777" w:rsidR="003A47EB" w:rsidRPr="00A96A10" w:rsidRDefault="003A47EB"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2" w:name="_Toc228888968"/>
            <w:r w:rsidRPr="00A96A10">
              <w:rPr>
                <w:rFonts w:ascii="Times New Roman" w:eastAsia="Times New Roman" w:hAnsi="Times New Roman" w:cs="Times New Roman"/>
                <w:noProof/>
                <w:color w:val="000000" w:themeColor="text1"/>
                <w:sz w:val="22"/>
                <w:szCs w:val="22"/>
                <w:lang w:val="sq-AL" w:eastAsia="sq-AL"/>
              </w:rPr>
              <w:t>3. Paraqitja statistikore</w:t>
            </w:r>
            <w:bookmarkEnd w:id="2"/>
          </w:p>
        </w:tc>
      </w:tr>
      <w:tr w:rsidR="003A47EB" w:rsidRPr="00A96A10" w14:paraId="20C4E061" w14:textId="77777777" w:rsidTr="00F90DC9">
        <w:trPr>
          <w:trHeight w:val="567"/>
        </w:trPr>
        <w:tc>
          <w:tcPr>
            <w:tcW w:w="2457" w:type="dxa"/>
            <w:shd w:val="clear" w:color="auto" w:fill="FFFFCC"/>
            <w:noWrap/>
            <w:vAlign w:val="center"/>
            <w:hideMark/>
          </w:tcPr>
          <w:p w14:paraId="5736482D" w14:textId="77777777" w:rsidR="003A47EB" w:rsidRPr="00A96A10" w:rsidRDefault="003A47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3.1. Përshkrimi i të dhënave</w:t>
            </w:r>
          </w:p>
        </w:tc>
        <w:tc>
          <w:tcPr>
            <w:tcW w:w="7970" w:type="dxa"/>
            <w:vAlign w:val="center"/>
          </w:tcPr>
          <w:p w14:paraId="19E9663A" w14:textId="5179AA3F" w:rsidR="00F90DC9" w:rsidRPr="00A96A10" w:rsidRDefault="00F90DC9" w:rsidP="00506308">
            <w:pPr>
              <w:spacing w:after="0"/>
              <w:jc w:val="both"/>
              <w:rPr>
                <w:rFonts w:ascii="Times New Roman" w:hAnsi="Times New Roman" w:cs="Times New Roman"/>
                <w:noProof/>
                <w:color w:val="000000"/>
              </w:rPr>
            </w:pPr>
            <w:r w:rsidRPr="00A96A10">
              <w:rPr>
                <w:rFonts w:ascii="Times New Roman" w:hAnsi="Times New Roman" w:cs="Times New Roman"/>
                <w:noProof/>
                <w:color w:val="000000"/>
              </w:rPr>
              <w:t xml:space="preserve">Investimet e huaja direkte (IHD) janë një kategori e investimeve ndërkombëtare që pasqyron një interes afatgjatë dhe një shkallë të konsiderueshme ndikimi nga ana e një investitori rezident në një ekonomi, ndaj një ndërmarrjeje rezidente në një ekonomi tjetër. Ato lejojnë analizën </w:t>
            </w:r>
            <w:r w:rsidR="007F2720" w:rsidRPr="00A96A10">
              <w:rPr>
                <w:rFonts w:ascii="Times New Roman" w:hAnsi="Times New Roman" w:cs="Times New Roman"/>
                <w:noProof/>
                <w:color w:val="000000"/>
              </w:rPr>
              <w:t>stok</w:t>
            </w:r>
            <w:r w:rsidRPr="00A96A10">
              <w:rPr>
                <w:rFonts w:ascii="Times New Roman" w:hAnsi="Times New Roman" w:cs="Times New Roman"/>
                <w:noProof/>
                <w:color w:val="000000"/>
              </w:rPr>
              <w:t>-transaksion të pozicionit të jashtëm të një vendi. Ato tregojnë në një moment të caktuar kohën</w:t>
            </w:r>
            <w:r w:rsidR="007F2720" w:rsidRPr="00A96A10">
              <w:rPr>
                <w:rFonts w:ascii="Times New Roman" w:hAnsi="Times New Roman" w:cs="Times New Roman"/>
                <w:noProof/>
                <w:color w:val="000000"/>
              </w:rPr>
              <w:t>,</w:t>
            </w:r>
            <w:r w:rsidRPr="00A96A10">
              <w:rPr>
                <w:rFonts w:ascii="Times New Roman" w:hAnsi="Times New Roman" w:cs="Times New Roman"/>
                <w:noProof/>
                <w:color w:val="000000"/>
              </w:rPr>
              <w:t xml:space="preserve"> vlerën dhe përbërjen e:</w:t>
            </w:r>
          </w:p>
          <w:p w14:paraId="2A036F8D" w14:textId="48B2BE15" w:rsidR="00F90DC9" w:rsidRPr="00A96A10" w:rsidRDefault="00F90DC9" w:rsidP="00506308">
            <w:pPr>
              <w:spacing w:after="0"/>
              <w:jc w:val="both"/>
              <w:rPr>
                <w:rFonts w:ascii="Times New Roman" w:hAnsi="Times New Roman" w:cs="Times New Roman"/>
                <w:noProof/>
                <w:color w:val="000000"/>
              </w:rPr>
            </w:pPr>
            <w:r w:rsidRPr="00A96A10">
              <w:rPr>
                <w:rFonts w:ascii="Times New Roman" w:hAnsi="Times New Roman" w:cs="Times New Roman"/>
                <w:noProof/>
                <w:color w:val="000000"/>
              </w:rPr>
              <w:t xml:space="preserve">• </w:t>
            </w:r>
            <w:r w:rsidR="007F2720" w:rsidRPr="00A96A10">
              <w:rPr>
                <w:rFonts w:ascii="Times New Roman" w:hAnsi="Times New Roman" w:cs="Times New Roman"/>
                <w:noProof/>
                <w:color w:val="000000"/>
              </w:rPr>
              <w:t>Mjeteve</w:t>
            </w:r>
            <w:r w:rsidRPr="00A96A10">
              <w:rPr>
                <w:rFonts w:ascii="Times New Roman" w:hAnsi="Times New Roman" w:cs="Times New Roman"/>
                <w:noProof/>
                <w:color w:val="000000"/>
              </w:rPr>
              <w:t xml:space="preserve"> financiare të rezidentëve të një ekonomie që janë pretendime ndaj jorezidentëve</w:t>
            </w:r>
          </w:p>
          <w:p w14:paraId="60DB3BB4" w14:textId="77777777" w:rsidR="00F90DC9" w:rsidRPr="00A96A10" w:rsidRDefault="00F90DC9" w:rsidP="00506308">
            <w:pPr>
              <w:spacing w:after="0"/>
              <w:jc w:val="both"/>
              <w:rPr>
                <w:rFonts w:ascii="Times New Roman" w:hAnsi="Times New Roman" w:cs="Times New Roman"/>
                <w:noProof/>
                <w:color w:val="000000"/>
              </w:rPr>
            </w:pPr>
            <w:r w:rsidRPr="00A96A10">
              <w:rPr>
                <w:rFonts w:ascii="Times New Roman" w:hAnsi="Times New Roman" w:cs="Times New Roman"/>
                <w:noProof/>
                <w:color w:val="000000"/>
              </w:rPr>
              <w:t>• Detyrimeve të rezidentëve të një ekonomie ndaj jorezidentëve</w:t>
            </w:r>
          </w:p>
          <w:p w14:paraId="587BCF19" w14:textId="6993B783" w:rsidR="003A47EB"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hAnsi="Times New Roman" w:cs="Times New Roman"/>
                <w:noProof/>
                <w:color w:val="000000"/>
              </w:rPr>
              <w:t>Të dhënat i transmetohen Eurostat-it nëpërmjet</w:t>
            </w:r>
            <w:r w:rsidR="007F2720" w:rsidRPr="00A96A10">
              <w:rPr>
                <w:rFonts w:ascii="Times New Roman" w:hAnsi="Times New Roman" w:cs="Times New Roman"/>
                <w:noProof/>
                <w:color w:val="000000"/>
              </w:rPr>
              <w:t xml:space="preserve"> platformës</w:t>
            </w:r>
            <w:r w:rsidRPr="00A96A10">
              <w:rPr>
                <w:rFonts w:ascii="Times New Roman" w:hAnsi="Times New Roman" w:cs="Times New Roman"/>
                <w:noProof/>
                <w:color w:val="000000"/>
              </w:rPr>
              <w:t xml:space="preserve"> SDMX, në përputhje me Vademecum-in e Bilancit të Pagesave</w:t>
            </w:r>
            <w:r w:rsidR="007F2720" w:rsidRPr="00A96A10">
              <w:rPr>
                <w:rFonts w:ascii="Times New Roman" w:eastAsia="Arial" w:hAnsi="Times New Roman" w:cs="Times New Roman"/>
              </w:rPr>
              <w:t xml:space="preserve"> (pyetësor T4.1, T4.2, T4.3, T5.1, T5.2).</w:t>
            </w:r>
          </w:p>
        </w:tc>
      </w:tr>
      <w:tr w:rsidR="00F90DC9" w:rsidRPr="00A96A10" w14:paraId="613B1E90" w14:textId="77777777" w:rsidTr="00F90DC9">
        <w:trPr>
          <w:trHeight w:val="567"/>
        </w:trPr>
        <w:tc>
          <w:tcPr>
            <w:tcW w:w="2457" w:type="dxa"/>
            <w:shd w:val="clear" w:color="auto" w:fill="FFFFCC"/>
            <w:noWrap/>
            <w:vAlign w:val="center"/>
            <w:hideMark/>
          </w:tcPr>
          <w:p w14:paraId="3BE0AB1A"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3.2. Sistemi i klasifikimit</w:t>
            </w:r>
          </w:p>
        </w:tc>
        <w:tc>
          <w:tcPr>
            <w:tcW w:w="7970" w:type="dxa"/>
            <w:vAlign w:val="center"/>
          </w:tcPr>
          <w:p w14:paraId="3510D153" w14:textId="1C81C929"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hAnsi="Times New Roman" w:cs="Times New Roman"/>
                <w:noProof/>
                <w:color w:val="000000"/>
              </w:rPr>
              <w:t xml:space="preserve">Kuadri metodologjik </w:t>
            </w:r>
            <w:r w:rsidR="007F2720" w:rsidRPr="00A96A10">
              <w:rPr>
                <w:rFonts w:ascii="Times New Roman" w:hAnsi="Times New Roman" w:cs="Times New Roman"/>
                <w:noProof/>
                <w:color w:val="000000"/>
              </w:rPr>
              <w:t>për hartimin</w:t>
            </w:r>
            <w:r w:rsidRPr="00A96A10">
              <w:rPr>
                <w:rFonts w:ascii="Times New Roman" w:hAnsi="Times New Roman" w:cs="Times New Roman"/>
                <w:noProof/>
                <w:color w:val="000000"/>
              </w:rPr>
              <w:t xml:space="preserve"> e investimeve të </w:t>
            </w:r>
            <w:r w:rsidR="007F2720" w:rsidRPr="00A96A10">
              <w:rPr>
                <w:rFonts w:ascii="Times New Roman" w:hAnsi="Times New Roman" w:cs="Times New Roman"/>
                <w:noProof/>
                <w:color w:val="000000"/>
              </w:rPr>
              <w:t xml:space="preserve">huaja direkte </w:t>
            </w:r>
            <w:r w:rsidRPr="00A96A10">
              <w:rPr>
                <w:rFonts w:ascii="Times New Roman" w:hAnsi="Times New Roman" w:cs="Times New Roman"/>
                <w:noProof/>
                <w:color w:val="000000"/>
              </w:rPr>
              <w:t>është përcaktuar në Manualin e FMN-së për Bilancin e Pagesave dhe Pozicion</w:t>
            </w:r>
            <w:r w:rsidR="007F2720" w:rsidRPr="00A96A10">
              <w:rPr>
                <w:rFonts w:ascii="Times New Roman" w:hAnsi="Times New Roman" w:cs="Times New Roman"/>
                <w:noProof/>
                <w:color w:val="000000"/>
              </w:rPr>
              <w:t>in</w:t>
            </w:r>
            <w:r w:rsidRPr="00A96A10">
              <w:rPr>
                <w:rFonts w:ascii="Times New Roman" w:hAnsi="Times New Roman" w:cs="Times New Roman"/>
                <w:noProof/>
                <w:color w:val="000000"/>
              </w:rPr>
              <w:t xml:space="preserve"> e Investimeve Ndërkombëtare, Botimi i Gjashtë (</w:t>
            </w:r>
            <w:r w:rsidR="00115201" w:rsidRPr="00A96A10">
              <w:rPr>
                <w:rFonts w:ascii="Times New Roman" w:hAnsi="Times New Roman" w:cs="Times New Roman"/>
                <w:noProof/>
                <w:color w:val="000000"/>
              </w:rPr>
              <w:t>MBP6</w:t>
            </w:r>
            <w:r w:rsidRPr="00A96A10">
              <w:rPr>
                <w:rFonts w:ascii="Times New Roman" w:hAnsi="Times New Roman" w:cs="Times New Roman"/>
                <w:noProof/>
                <w:color w:val="000000"/>
              </w:rPr>
              <w:t>) dhe Sistemin Europian të Llogarive Kombëtare dhe Rajonale (</w:t>
            </w:r>
            <w:r w:rsidR="007F2720" w:rsidRPr="00A96A10">
              <w:rPr>
                <w:rFonts w:ascii="Times New Roman" w:hAnsi="Times New Roman" w:cs="Times New Roman"/>
                <w:noProof/>
                <w:color w:val="000000"/>
              </w:rPr>
              <w:t>SNA</w:t>
            </w:r>
            <w:r w:rsidRPr="00A96A10">
              <w:rPr>
                <w:rFonts w:ascii="Times New Roman" w:hAnsi="Times New Roman" w:cs="Times New Roman"/>
                <w:noProof/>
                <w:color w:val="000000"/>
              </w:rPr>
              <w:t xml:space="preserve"> 2010), sipas Rregullores (BE) Nr. 184/2013. </w:t>
            </w:r>
            <w:r w:rsidR="007F2720" w:rsidRPr="00A96A10">
              <w:rPr>
                <w:rFonts w:ascii="Times New Roman" w:eastAsia="Arial" w:hAnsi="Times New Roman" w:cs="Times New Roman"/>
              </w:rPr>
              <w:t>Manuali MBP5 ishte baza metodologjike deri në vitin 2007. Metodika shtesë është manuali i OECD-së për Investimet e huaja direkte (BD4).</w:t>
            </w:r>
          </w:p>
        </w:tc>
      </w:tr>
      <w:tr w:rsidR="00F90DC9" w:rsidRPr="00A96A10" w14:paraId="07779C77" w14:textId="77777777" w:rsidTr="00F90DC9">
        <w:trPr>
          <w:trHeight w:val="567"/>
        </w:trPr>
        <w:tc>
          <w:tcPr>
            <w:tcW w:w="2457" w:type="dxa"/>
            <w:shd w:val="clear" w:color="auto" w:fill="FFFFCC"/>
            <w:vAlign w:val="center"/>
            <w:hideMark/>
          </w:tcPr>
          <w:p w14:paraId="34106A1B"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3.3. Mbulimi i sektorit</w:t>
            </w:r>
          </w:p>
        </w:tc>
        <w:tc>
          <w:tcPr>
            <w:tcW w:w="7970" w:type="dxa"/>
            <w:vAlign w:val="center"/>
          </w:tcPr>
          <w:p w14:paraId="74C367F2" w14:textId="3B7F8C09"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Të dhënat </w:t>
            </w:r>
            <w:r w:rsidR="007F2720" w:rsidRPr="00A96A10">
              <w:rPr>
                <w:rFonts w:ascii="Times New Roman" w:eastAsia="Times New Roman" w:hAnsi="Times New Roman" w:cs="Times New Roman"/>
                <w:noProof/>
                <w:color w:val="000000"/>
                <w:lang w:eastAsia="sq-AL"/>
              </w:rPr>
              <w:t>hartohen</w:t>
            </w:r>
            <w:r w:rsidRPr="00A96A10">
              <w:rPr>
                <w:rFonts w:ascii="Times New Roman" w:eastAsia="Times New Roman" w:hAnsi="Times New Roman" w:cs="Times New Roman"/>
                <w:noProof/>
                <w:color w:val="000000"/>
                <w:lang w:eastAsia="sq-AL"/>
              </w:rPr>
              <w:t xml:space="preserve"> dhe </w:t>
            </w:r>
            <w:r w:rsidR="007F2720" w:rsidRPr="00A96A10">
              <w:rPr>
                <w:rFonts w:ascii="Times New Roman" w:eastAsia="Times New Roman" w:hAnsi="Times New Roman" w:cs="Times New Roman"/>
                <w:noProof/>
                <w:color w:val="000000"/>
                <w:lang w:eastAsia="sq-AL"/>
              </w:rPr>
              <w:t>publikohen</w:t>
            </w:r>
            <w:r w:rsidRPr="00A96A10">
              <w:rPr>
                <w:rFonts w:ascii="Times New Roman" w:eastAsia="Times New Roman" w:hAnsi="Times New Roman" w:cs="Times New Roman"/>
                <w:noProof/>
                <w:color w:val="000000"/>
                <w:lang w:eastAsia="sq-AL"/>
              </w:rPr>
              <w:t xml:space="preserve"> për fluks</w:t>
            </w:r>
            <w:r w:rsidR="007F2720" w:rsidRPr="00A96A10">
              <w:rPr>
                <w:rFonts w:ascii="Times New Roman" w:eastAsia="Times New Roman" w:hAnsi="Times New Roman" w:cs="Times New Roman"/>
                <w:noProof/>
                <w:color w:val="000000"/>
                <w:lang w:eastAsia="sq-AL"/>
              </w:rPr>
              <w:t>in</w:t>
            </w:r>
            <w:r w:rsidRPr="00A96A10">
              <w:rPr>
                <w:rFonts w:ascii="Times New Roman" w:eastAsia="Times New Roman" w:hAnsi="Times New Roman" w:cs="Times New Roman"/>
                <w:noProof/>
                <w:color w:val="000000"/>
                <w:lang w:eastAsia="sq-AL"/>
              </w:rPr>
              <w:t xml:space="preserve"> dhe pozicion</w:t>
            </w:r>
            <w:r w:rsidR="007F2720" w:rsidRPr="00A96A10">
              <w:rPr>
                <w:rFonts w:ascii="Times New Roman" w:eastAsia="Times New Roman" w:hAnsi="Times New Roman" w:cs="Times New Roman"/>
                <w:noProof/>
                <w:color w:val="000000"/>
                <w:lang w:eastAsia="sq-AL"/>
              </w:rPr>
              <w:t>in</w:t>
            </w:r>
            <w:r w:rsidRPr="00A96A10">
              <w:rPr>
                <w:rFonts w:ascii="Times New Roman" w:eastAsia="Times New Roman" w:hAnsi="Times New Roman" w:cs="Times New Roman"/>
                <w:noProof/>
                <w:color w:val="000000"/>
                <w:lang w:eastAsia="sq-AL"/>
              </w:rPr>
              <w:t xml:space="preserve"> e ekonomisë totale ndaj botës. Gjithashtu, fluks</w:t>
            </w:r>
            <w:r w:rsidR="007F2720" w:rsidRPr="00A96A10">
              <w:rPr>
                <w:rFonts w:ascii="Times New Roman" w:eastAsia="Times New Roman" w:hAnsi="Times New Roman" w:cs="Times New Roman"/>
                <w:noProof/>
                <w:color w:val="000000"/>
                <w:lang w:eastAsia="sq-AL"/>
              </w:rPr>
              <w:t>i</w:t>
            </w:r>
            <w:r w:rsidRPr="00A96A10">
              <w:rPr>
                <w:rFonts w:ascii="Times New Roman" w:eastAsia="Times New Roman" w:hAnsi="Times New Roman" w:cs="Times New Roman"/>
                <w:noProof/>
                <w:color w:val="000000"/>
                <w:lang w:eastAsia="sq-AL"/>
              </w:rPr>
              <w:t xml:space="preserve"> dhe pozicion</w:t>
            </w:r>
            <w:r w:rsidR="007F2720" w:rsidRPr="00A96A10">
              <w:rPr>
                <w:rFonts w:ascii="Times New Roman" w:eastAsia="Times New Roman" w:hAnsi="Times New Roman" w:cs="Times New Roman"/>
                <w:noProof/>
                <w:color w:val="000000"/>
                <w:lang w:eastAsia="sq-AL"/>
              </w:rPr>
              <w:t>i</w:t>
            </w:r>
            <w:r w:rsidRPr="00A96A10">
              <w:rPr>
                <w:rFonts w:ascii="Times New Roman" w:eastAsia="Times New Roman" w:hAnsi="Times New Roman" w:cs="Times New Roman"/>
                <w:noProof/>
                <w:color w:val="000000"/>
                <w:lang w:eastAsia="sq-AL"/>
              </w:rPr>
              <w:t xml:space="preserve"> e </w:t>
            </w:r>
            <w:r w:rsidR="007F2720" w:rsidRPr="00A96A10">
              <w:rPr>
                <w:rFonts w:ascii="Times New Roman" w:eastAsia="Times New Roman" w:hAnsi="Times New Roman" w:cs="Times New Roman"/>
                <w:noProof/>
                <w:color w:val="000000"/>
                <w:lang w:eastAsia="sq-AL"/>
              </w:rPr>
              <w:t>mjeteve</w:t>
            </w:r>
            <w:r w:rsidRPr="00A96A10">
              <w:rPr>
                <w:rFonts w:ascii="Times New Roman" w:eastAsia="Times New Roman" w:hAnsi="Times New Roman" w:cs="Times New Roman"/>
                <w:noProof/>
                <w:color w:val="000000"/>
                <w:lang w:eastAsia="sq-AL"/>
              </w:rPr>
              <w:t xml:space="preserve"> dhe detyrimeve (si dhe drejtimi i IHD-ve </w:t>
            </w:r>
            <w:r w:rsidR="00B7406D" w:rsidRPr="00A96A10">
              <w:rPr>
                <w:rFonts w:ascii="Times New Roman" w:eastAsia="Times New Roman" w:hAnsi="Times New Roman" w:cs="Times New Roman"/>
                <w:noProof/>
                <w:color w:val="000000"/>
                <w:lang w:eastAsia="sq-AL"/>
              </w:rPr>
              <w:t xml:space="preserve">në vend </w:t>
            </w:r>
            <w:r w:rsidRPr="00A96A10">
              <w:rPr>
                <w:rFonts w:ascii="Times New Roman" w:eastAsia="Times New Roman" w:hAnsi="Times New Roman" w:cs="Times New Roman"/>
                <w:noProof/>
                <w:color w:val="000000"/>
                <w:lang w:eastAsia="sq-AL"/>
              </w:rPr>
              <w:t>/</w:t>
            </w:r>
            <w:r w:rsidR="00B7406D" w:rsidRPr="00A96A10">
              <w:rPr>
                <w:rFonts w:ascii="Times New Roman" w:eastAsia="Times New Roman" w:hAnsi="Times New Roman" w:cs="Times New Roman"/>
                <w:noProof/>
                <w:color w:val="000000"/>
                <w:lang w:eastAsia="sq-AL"/>
              </w:rPr>
              <w:t>jashtë</w:t>
            </w:r>
            <w:r w:rsidRPr="00A96A10">
              <w:rPr>
                <w:rFonts w:ascii="Times New Roman" w:eastAsia="Times New Roman" w:hAnsi="Times New Roman" w:cs="Times New Roman"/>
                <w:noProof/>
                <w:color w:val="000000"/>
                <w:lang w:eastAsia="sq-AL"/>
              </w:rPr>
              <w:t xml:space="preserve">) janë të disponueshme me ndarje sipas </w:t>
            </w:r>
            <w:r w:rsidR="00B7406D" w:rsidRPr="00A96A10">
              <w:rPr>
                <w:rFonts w:ascii="Times New Roman" w:eastAsia="Times New Roman" w:hAnsi="Times New Roman" w:cs="Times New Roman"/>
                <w:noProof/>
                <w:color w:val="000000"/>
                <w:lang w:eastAsia="sq-AL"/>
              </w:rPr>
              <w:t>aktivitetit</w:t>
            </w:r>
            <w:r w:rsidRPr="00A96A10">
              <w:rPr>
                <w:rFonts w:ascii="Times New Roman" w:eastAsia="Times New Roman" w:hAnsi="Times New Roman" w:cs="Times New Roman"/>
                <w:noProof/>
                <w:color w:val="000000"/>
                <w:lang w:eastAsia="sq-AL"/>
              </w:rPr>
              <w:t xml:space="preserve"> ekonomik.</w:t>
            </w:r>
          </w:p>
        </w:tc>
      </w:tr>
      <w:tr w:rsidR="00F90DC9" w:rsidRPr="00A96A10" w14:paraId="615FE87A" w14:textId="77777777" w:rsidTr="00F90DC9">
        <w:trPr>
          <w:trHeight w:val="567"/>
        </w:trPr>
        <w:tc>
          <w:tcPr>
            <w:tcW w:w="2457" w:type="dxa"/>
            <w:shd w:val="clear" w:color="auto" w:fill="FFFFCC"/>
            <w:vAlign w:val="center"/>
            <w:hideMark/>
          </w:tcPr>
          <w:p w14:paraId="12BA23ED"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lastRenderedPageBreak/>
              <w:t>3.4. Konceptet statistikore dhe përkufizimet</w:t>
            </w:r>
          </w:p>
        </w:tc>
        <w:tc>
          <w:tcPr>
            <w:tcW w:w="7970" w:type="dxa"/>
            <w:vAlign w:val="center"/>
          </w:tcPr>
          <w:p w14:paraId="0C2A65BE" w14:textId="3F971D7E"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Treguesi </w:t>
            </w:r>
            <w:r w:rsidR="00B7406D" w:rsidRPr="00A96A10">
              <w:rPr>
                <w:rFonts w:ascii="Times New Roman" w:eastAsia="Times New Roman" w:hAnsi="Times New Roman" w:cs="Times New Roman"/>
                <w:noProof/>
                <w:color w:val="000000"/>
                <w:lang w:eastAsia="sq-AL"/>
              </w:rPr>
              <w:t>hartohet</w:t>
            </w:r>
            <w:r w:rsidRPr="00A96A10">
              <w:rPr>
                <w:rFonts w:ascii="Times New Roman" w:eastAsia="Times New Roman" w:hAnsi="Times New Roman" w:cs="Times New Roman"/>
                <w:noProof/>
                <w:color w:val="000000"/>
                <w:lang w:eastAsia="sq-AL"/>
              </w:rPr>
              <w:t xml:space="preserve"> bazuar në statistikat e Bilancit të Pagesave (BOP) të Eurostat-it, në përputhje me metodologjinë </w:t>
            </w:r>
            <w:r w:rsidR="00115201" w:rsidRPr="00A96A10">
              <w:rPr>
                <w:rFonts w:ascii="Times New Roman" w:eastAsia="Times New Roman" w:hAnsi="Times New Roman" w:cs="Times New Roman"/>
                <w:noProof/>
                <w:color w:val="000000"/>
                <w:lang w:eastAsia="sq-AL"/>
              </w:rPr>
              <w:t>MBP6</w:t>
            </w:r>
            <w:r w:rsidRPr="00A96A10">
              <w:rPr>
                <w:rFonts w:ascii="Times New Roman" w:eastAsia="Times New Roman" w:hAnsi="Times New Roman" w:cs="Times New Roman"/>
                <w:noProof/>
                <w:color w:val="000000"/>
                <w:lang w:eastAsia="sq-AL"/>
              </w:rPr>
              <w:t xml:space="preserve">. Koncepti i rezidencës ndjek </w:t>
            </w:r>
            <w:r w:rsidR="00115201" w:rsidRPr="00A96A10">
              <w:rPr>
                <w:rFonts w:ascii="Times New Roman" w:eastAsia="Times New Roman" w:hAnsi="Times New Roman" w:cs="Times New Roman"/>
                <w:noProof/>
                <w:color w:val="000000"/>
                <w:lang w:eastAsia="sq-AL"/>
              </w:rPr>
              <w:t>MBP6</w:t>
            </w:r>
            <w:r w:rsidRPr="00A96A10">
              <w:rPr>
                <w:rFonts w:ascii="Times New Roman" w:eastAsia="Times New Roman" w:hAnsi="Times New Roman" w:cs="Times New Roman"/>
                <w:noProof/>
                <w:color w:val="000000"/>
                <w:lang w:eastAsia="sq-AL"/>
              </w:rPr>
              <w:t xml:space="preserve"> dhe është plotësisht konsistent me Sistemin e Llogarive Kombëtare 2008 (SNA 2008).</w:t>
            </w:r>
            <w:r w:rsidR="00FF0777" w:rsidRPr="00A96A10">
              <w:rPr>
                <w:rFonts w:ascii="Times New Roman" w:eastAsia="Times New Roman" w:hAnsi="Times New Roman" w:cs="Times New Roman"/>
                <w:noProof/>
                <w:color w:val="000000"/>
                <w:lang w:eastAsia="sq-AL"/>
              </w:rPr>
              <w:t xml:space="preserve"> Nj</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 xml:space="preserve"> nj</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si institucionale konsiderohet rezidente n</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 xml:space="preserve"> territorin ekonomik ku ka qendren mbiz</w:t>
            </w:r>
            <w:r w:rsidR="008549BB" w:rsidRPr="00A96A10">
              <w:rPr>
                <w:rFonts w:ascii="Times New Roman" w:eastAsia="Times New Roman" w:hAnsi="Times New Roman" w:cs="Times New Roman"/>
                <w:noProof/>
                <w:color w:val="000000"/>
                <w:lang w:eastAsia="sq-AL"/>
              </w:rPr>
              <w:t>o</w:t>
            </w:r>
            <w:r w:rsidR="00FF0777" w:rsidRPr="00A96A10">
              <w:rPr>
                <w:rFonts w:ascii="Times New Roman" w:eastAsia="Times New Roman" w:hAnsi="Times New Roman" w:cs="Times New Roman"/>
                <w:noProof/>
                <w:color w:val="000000"/>
                <w:lang w:eastAsia="sq-AL"/>
              </w:rPr>
              <w:t>t</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ruese ekonomike t</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 xml:space="preserve"> interesit. Cdo nj</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si instituci</w:t>
            </w:r>
            <w:r w:rsidR="008549BB" w:rsidRPr="00A96A10">
              <w:rPr>
                <w:rFonts w:ascii="Times New Roman" w:eastAsia="Times New Roman" w:hAnsi="Times New Roman" w:cs="Times New Roman"/>
                <w:noProof/>
                <w:color w:val="000000"/>
                <w:lang w:eastAsia="sq-AL"/>
              </w:rPr>
              <w:t>onale ë</w:t>
            </w:r>
            <w:r w:rsidR="00FF0777" w:rsidRPr="00A96A10">
              <w:rPr>
                <w:rFonts w:ascii="Times New Roman" w:eastAsia="Times New Roman" w:hAnsi="Times New Roman" w:cs="Times New Roman"/>
                <w:noProof/>
                <w:color w:val="000000"/>
                <w:lang w:eastAsia="sq-AL"/>
              </w:rPr>
              <w:t>sht</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 xml:space="preserve"> rezidente n</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 xml:space="preserve"> nj</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 xml:space="preserve"> dhe vet</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m nj</w:t>
            </w:r>
            <w:r w:rsidR="008549BB" w:rsidRPr="00A96A10">
              <w:rPr>
                <w:rFonts w:ascii="Times New Roman" w:eastAsia="Times New Roman" w:hAnsi="Times New Roman" w:cs="Times New Roman"/>
                <w:noProof/>
                <w:color w:val="000000"/>
                <w:lang w:eastAsia="sq-AL"/>
              </w:rPr>
              <w:t>ë</w:t>
            </w:r>
            <w:r w:rsidR="00FF0777" w:rsidRPr="00A96A10">
              <w:rPr>
                <w:rFonts w:ascii="Times New Roman" w:eastAsia="Times New Roman" w:hAnsi="Times New Roman" w:cs="Times New Roman"/>
                <w:noProof/>
                <w:color w:val="000000"/>
                <w:lang w:eastAsia="sq-AL"/>
              </w:rPr>
              <w:t xml:space="preserve"> territor ekonomik.</w:t>
            </w:r>
          </w:p>
          <w:p w14:paraId="48AE3DBC" w14:textId="32672DFD"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Investimet e </w:t>
            </w:r>
            <w:r w:rsidR="00B7406D" w:rsidRPr="00A96A10">
              <w:rPr>
                <w:rFonts w:ascii="Times New Roman" w:eastAsia="Times New Roman" w:hAnsi="Times New Roman" w:cs="Times New Roman"/>
                <w:noProof/>
                <w:color w:val="000000"/>
                <w:lang w:eastAsia="sq-AL"/>
              </w:rPr>
              <w:t>huaja direkte</w:t>
            </w:r>
            <w:r w:rsidRPr="00A96A10">
              <w:rPr>
                <w:rFonts w:ascii="Times New Roman" w:eastAsia="Times New Roman" w:hAnsi="Times New Roman" w:cs="Times New Roman"/>
                <w:noProof/>
                <w:color w:val="000000"/>
                <w:lang w:eastAsia="sq-AL"/>
              </w:rPr>
              <w:t xml:space="preserve"> </w:t>
            </w:r>
            <w:r w:rsidR="00B7406D" w:rsidRPr="00A96A10">
              <w:rPr>
                <w:rFonts w:ascii="Times New Roman" w:eastAsia="Times New Roman" w:hAnsi="Times New Roman" w:cs="Times New Roman"/>
                <w:noProof/>
                <w:color w:val="000000"/>
                <w:lang w:eastAsia="sq-AL"/>
              </w:rPr>
              <w:t>përfshijnë</w:t>
            </w:r>
            <w:r w:rsidRPr="00A96A10">
              <w:rPr>
                <w:rFonts w:ascii="Times New Roman" w:eastAsia="Times New Roman" w:hAnsi="Times New Roman" w:cs="Times New Roman"/>
                <w:noProof/>
                <w:color w:val="000000"/>
                <w:lang w:eastAsia="sq-AL"/>
              </w:rPr>
              <w:t xml:space="preserve"> </w:t>
            </w:r>
            <w:r w:rsidR="00B7406D" w:rsidRPr="00A96A10">
              <w:rPr>
                <w:rFonts w:ascii="Times New Roman" w:eastAsia="Times New Roman" w:hAnsi="Times New Roman" w:cs="Times New Roman"/>
                <w:noProof/>
                <w:color w:val="000000"/>
                <w:lang w:eastAsia="sq-AL"/>
              </w:rPr>
              <w:t xml:space="preserve">stokun dhe </w:t>
            </w:r>
            <w:r w:rsidRPr="00A96A10">
              <w:rPr>
                <w:rFonts w:ascii="Times New Roman" w:eastAsia="Times New Roman" w:hAnsi="Times New Roman" w:cs="Times New Roman"/>
                <w:noProof/>
                <w:color w:val="000000"/>
                <w:lang w:eastAsia="sq-AL"/>
              </w:rPr>
              <w:t>transaksionet ndër</w:t>
            </w:r>
            <w:r w:rsidR="00B7406D" w:rsidRPr="00A96A10">
              <w:rPr>
                <w:rFonts w:ascii="Times New Roman" w:eastAsia="Times New Roman" w:hAnsi="Times New Roman" w:cs="Times New Roman"/>
                <w:noProof/>
                <w:color w:val="000000"/>
                <w:lang w:eastAsia="sq-AL"/>
              </w:rPr>
              <w:t>kombëtare</w:t>
            </w:r>
            <w:r w:rsidRPr="00A96A10">
              <w:rPr>
                <w:rFonts w:ascii="Times New Roman" w:eastAsia="Times New Roman" w:hAnsi="Times New Roman" w:cs="Times New Roman"/>
                <w:noProof/>
                <w:color w:val="000000"/>
                <w:lang w:eastAsia="sq-AL"/>
              </w:rPr>
              <w:t xml:space="preserve"> që pasqyrojnë interes afatgjatë dhe kontroll ose ndikim të rëndësishëm ndërmjet investitorit </w:t>
            </w:r>
            <w:r w:rsidR="00B7406D" w:rsidRPr="00A96A10">
              <w:rPr>
                <w:rFonts w:ascii="Times New Roman" w:eastAsia="Times New Roman" w:hAnsi="Times New Roman" w:cs="Times New Roman"/>
                <w:noProof/>
                <w:color w:val="000000"/>
                <w:lang w:eastAsia="sq-AL"/>
              </w:rPr>
              <w:t>direkt</w:t>
            </w:r>
            <w:r w:rsidRPr="00A96A10">
              <w:rPr>
                <w:rFonts w:ascii="Times New Roman" w:eastAsia="Times New Roman" w:hAnsi="Times New Roman" w:cs="Times New Roman"/>
                <w:noProof/>
                <w:color w:val="000000"/>
                <w:lang w:eastAsia="sq-AL"/>
              </w:rPr>
              <w:t xml:space="preserve"> dhe ndërmarrjes së investimit të </w:t>
            </w:r>
            <w:r w:rsidR="00B7406D" w:rsidRPr="00A96A10">
              <w:rPr>
                <w:rFonts w:ascii="Times New Roman" w:eastAsia="Times New Roman" w:hAnsi="Times New Roman" w:cs="Times New Roman"/>
                <w:noProof/>
                <w:color w:val="000000"/>
                <w:lang w:eastAsia="sq-AL"/>
              </w:rPr>
              <w:t>huaj direkt sipas</w:t>
            </w:r>
            <w:r w:rsidR="008549BB" w:rsidRPr="00A96A10">
              <w:rPr>
                <w:rFonts w:ascii="Times New Roman" w:eastAsia="Times New Roman" w:hAnsi="Times New Roman" w:cs="Times New Roman"/>
                <w:noProof/>
                <w:color w:val="000000"/>
                <w:lang w:eastAsia="sq-AL"/>
              </w:rPr>
              <w:t xml:space="preserve"> </w:t>
            </w:r>
            <w:r w:rsidR="00115201" w:rsidRPr="00A96A10">
              <w:rPr>
                <w:rFonts w:ascii="Times New Roman" w:eastAsia="Times New Roman" w:hAnsi="Times New Roman" w:cs="Times New Roman"/>
                <w:noProof/>
                <w:color w:val="000000"/>
                <w:lang w:eastAsia="sq-AL"/>
              </w:rPr>
              <w:t>MBP6</w:t>
            </w:r>
            <w:r w:rsidRPr="00A96A10">
              <w:rPr>
                <w:rFonts w:ascii="Times New Roman" w:eastAsia="Times New Roman" w:hAnsi="Times New Roman" w:cs="Times New Roman"/>
                <w:noProof/>
                <w:color w:val="000000"/>
                <w:lang w:eastAsia="sq-AL"/>
              </w:rPr>
              <w:t>.</w:t>
            </w:r>
          </w:p>
          <w:p w14:paraId="4718BEDC" w14:textId="77777777"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Dimensionet për klasifikimin e IHD-ve janë:</w:t>
            </w:r>
          </w:p>
          <w:p w14:paraId="3143BE28" w14:textId="28C279B3" w:rsidR="008549BB" w:rsidRPr="00A96A10" w:rsidRDefault="00F90DC9" w:rsidP="00506308">
            <w:pPr>
              <w:pStyle w:val="ListParagraph"/>
              <w:numPr>
                <w:ilvl w:val="0"/>
                <w:numId w:val="1"/>
              </w:num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Instrumentet financiare:</w:t>
            </w:r>
          </w:p>
          <w:p w14:paraId="2EF7E31B" w14:textId="02C0D627" w:rsidR="008549BB" w:rsidRPr="00A96A10" w:rsidRDefault="008549BB"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Investime direkte- t</w:t>
            </w:r>
            <w:r w:rsidR="000B0096" w:rsidRPr="00A96A10">
              <w:rPr>
                <w:rFonts w:ascii="Times New Roman" w:eastAsia="Times New Roman" w:hAnsi="Times New Roman" w:cs="Times New Roman"/>
                <w:noProof/>
                <w:color w:val="000000"/>
                <w:lang w:eastAsia="sq-AL"/>
              </w:rPr>
              <w:t>ë</w:t>
            </w:r>
            <w:r w:rsidRPr="00A96A10">
              <w:rPr>
                <w:rFonts w:ascii="Times New Roman" w:eastAsia="Times New Roman" w:hAnsi="Times New Roman" w:cs="Times New Roman"/>
                <w:noProof/>
                <w:color w:val="000000"/>
                <w:lang w:eastAsia="sq-AL"/>
              </w:rPr>
              <w:t xml:space="preserve"> ndara sipas instrumentave te palistuara dhe jo sipas inst</w:t>
            </w:r>
            <w:r w:rsidR="00781561" w:rsidRPr="00A96A10">
              <w:rPr>
                <w:rFonts w:ascii="Times New Roman" w:eastAsia="Times New Roman" w:hAnsi="Times New Roman" w:cs="Times New Roman"/>
                <w:noProof/>
                <w:color w:val="000000"/>
                <w:lang w:eastAsia="sq-AL"/>
              </w:rPr>
              <w:t>rumentave te palistuara dhe jo sipas instrumentave te listuar</w:t>
            </w:r>
            <w:r w:rsidR="00B7406D" w:rsidRPr="00A96A10">
              <w:rPr>
                <w:rFonts w:ascii="Times New Roman" w:eastAsia="Times New Roman" w:hAnsi="Times New Roman" w:cs="Times New Roman"/>
                <w:noProof/>
                <w:color w:val="000000"/>
                <w:lang w:eastAsia="sq-AL"/>
              </w:rPr>
              <w:t xml:space="preserve"> </w:t>
            </w:r>
            <w:r w:rsidR="00781561" w:rsidRPr="00A96A10">
              <w:rPr>
                <w:rFonts w:ascii="Times New Roman" w:eastAsia="Times New Roman" w:hAnsi="Times New Roman" w:cs="Times New Roman"/>
                <w:noProof/>
                <w:color w:val="000000"/>
                <w:lang w:eastAsia="sq-AL"/>
              </w:rPr>
              <w:t>(p</w:t>
            </w:r>
            <w:r w:rsidR="000B0096" w:rsidRPr="00A96A10">
              <w:rPr>
                <w:rFonts w:ascii="Times New Roman" w:eastAsia="Times New Roman" w:hAnsi="Times New Roman" w:cs="Times New Roman"/>
                <w:noProof/>
                <w:color w:val="000000"/>
                <w:lang w:eastAsia="sq-AL"/>
              </w:rPr>
              <w:t>ë</w:t>
            </w:r>
            <w:r w:rsidR="00781561" w:rsidRPr="00A96A10">
              <w:rPr>
                <w:rFonts w:ascii="Times New Roman" w:eastAsia="Times New Roman" w:hAnsi="Times New Roman" w:cs="Times New Roman"/>
                <w:noProof/>
                <w:color w:val="000000"/>
                <w:lang w:eastAsia="sq-AL"/>
              </w:rPr>
              <w:t>r momentin Shqiperia nuk ka nj</w:t>
            </w:r>
            <w:r w:rsidR="00B7406D" w:rsidRPr="00A96A10">
              <w:rPr>
                <w:rFonts w:ascii="Times New Roman" w:eastAsia="Times New Roman" w:hAnsi="Times New Roman" w:cs="Times New Roman"/>
                <w:noProof/>
                <w:color w:val="000000"/>
                <w:lang w:eastAsia="sq-AL"/>
              </w:rPr>
              <w:t>ë</w:t>
            </w:r>
            <w:r w:rsidR="00781561" w:rsidRPr="00A96A10">
              <w:rPr>
                <w:rFonts w:ascii="Times New Roman" w:eastAsia="Times New Roman" w:hAnsi="Times New Roman" w:cs="Times New Roman"/>
                <w:noProof/>
                <w:color w:val="000000"/>
                <w:lang w:eastAsia="sq-AL"/>
              </w:rPr>
              <w:t xml:space="preserve"> treg bursash).</w:t>
            </w:r>
          </w:p>
          <w:p w14:paraId="62889D1B" w14:textId="65260244" w:rsidR="000D3F37" w:rsidRPr="00A96A10" w:rsidRDefault="000D3F37"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Kapital/nj</w:t>
            </w:r>
            <w:r w:rsidR="000B0096" w:rsidRPr="00A96A10">
              <w:rPr>
                <w:rFonts w:ascii="Times New Roman" w:eastAsia="Times New Roman" w:hAnsi="Times New Roman" w:cs="Times New Roman"/>
                <w:noProof/>
                <w:color w:val="000000"/>
                <w:lang w:eastAsia="sq-AL"/>
              </w:rPr>
              <w:t>ë</w:t>
            </w:r>
            <w:r w:rsidRPr="00A96A10">
              <w:rPr>
                <w:rFonts w:ascii="Times New Roman" w:eastAsia="Times New Roman" w:hAnsi="Times New Roman" w:cs="Times New Roman"/>
                <w:noProof/>
                <w:color w:val="000000"/>
                <w:lang w:eastAsia="sq-AL"/>
              </w:rPr>
              <w:t>sit</w:t>
            </w:r>
            <w:r w:rsidR="000B0096" w:rsidRPr="00A96A10">
              <w:rPr>
                <w:rFonts w:ascii="Times New Roman" w:eastAsia="Times New Roman" w:hAnsi="Times New Roman" w:cs="Times New Roman"/>
                <w:noProof/>
                <w:color w:val="000000"/>
                <w:lang w:eastAsia="sq-AL"/>
              </w:rPr>
              <w:t>ë</w:t>
            </w:r>
            <w:r w:rsidRPr="00A96A10">
              <w:rPr>
                <w:rFonts w:ascii="Times New Roman" w:eastAsia="Times New Roman" w:hAnsi="Times New Roman" w:cs="Times New Roman"/>
                <w:noProof/>
                <w:color w:val="000000"/>
                <w:lang w:eastAsia="sq-AL"/>
              </w:rPr>
              <w:t xml:space="preserve"> e fondeve te kapitalit dhe investimit:</w:t>
            </w:r>
          </w:p>
          <w:p w14:paraId="21D87662" w14:textId="21F6786D"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Kapital dhe njësi/kuota të fondeve të investimit: të tjera përveç fitimeve</w:t>
            </w:r>
            <w:r w:rsidR="00B7406D" w:rsidRPr="00A96A10">
              <w:rPr>
                <w:rFonts w:ascii="Times New Roman" w:eastAsia="Times New Roman" w:hAnsi="Times New Roman" w:cs="Times New Roman"/>
                <w:noProof/>
                <w:color w:val="000000"/>
                <w:lang w:eastAsia="sq-AL"/>
              </w:rPr>
              <w:t xml:space="preserve"> të riinvestuara</w:t>
            </w:r>
          </w:p>
          <w:p w14:paraId="08425131" w14:textId="5454BDC5"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 Kapital dhe njësi/kuota të fondeve të investimit: </w:t>
            </w:r>
            <w:r w:rsidR="00B7406D" w:rsidRPr="00A96A10">
              <w:rPr>
                <w:rFonts w:ascii="Times New Roman" w:eastAsia="Times New Roman" w:hAnsi="Times New Roman" w:cs="Times New Roman"/>
                <w:noProof/>
                <w:color w:val="000000"/>
                <w:lang w:eastAsia="sq-AL"/>
              </w:rPr>
              <w:t>fitime të riinvestuara</w:t>
            </w:r>
          </w:p>
          <w:p w14:paraId="73317221" w14:textId="31C76EE6"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Instrumente borxhi</w:t>
            </w:r>
          </w:p>
          <w:p w14:paraId="4AF45812" w14:textId="07F58E47"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 Investitor </w:t>
            </w:r>
            <w:r w:rsidR="00B7406D" w:rsidRPr="00A96A10">
              <w:rPr>
                <w:rFonts w:ascii="Times New Roman" w:eastAsia="Times New Roman" w:hAnsi="Times New Roman" w:cs="Times New Roman"/>
                <w:noProof/>
                <w:color w:val="000000"/>
                <w:lang w:eastAsia="sq-AL"/>
              </w:rPr>
              <w:t xml:space="preserve">direkt </w:t>
            </w:r>
            <w:r w:rsidRPr="00A96A10">
              <w:rPr>
                <w:rFonts w:ascii="Times New Roman" w:eastAsia="Times New Roman" w:hAnsi="Times New Roman" w:cs="Times New Roman"/>
                <w:noProof/>
                <w:color w:val="000000"/>
                <w:lang w:eastAsia="sq-AL"/>
              </w:rPr>
              <w:t>në ndërmarrjet e IHD-ve</w:t>
            </w:r>
          </w:p>
          <w:p w14:paraId="1AE37C97" w14:textId="0F57A038"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 Ndërmarrjet e IHD-ve tek investitori </w:t>
            </w:r>
            <w:r w:rsidR="00B7406D" w:rsidRPr="00A96A10">
              <w:rPr>
                <w:rFonts w:ascii="Times New Roman" w:eastAsia="Times New Roman" w:hAnsi="Times New Roman" w:cs="Times New Roman"/>
                <w:noProof/>
                <w:color w:val="000000"/>
                <w:lang w:eastAsia="sq-AL"/>
              </w:rPr>
              <w:t>direkt</w:t>
            </w:r>
          </w:p>
          <w:p w14:paraId="242F5C5D" w14:textId="1AF43BC8"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 IHD ndërmjet ndërmarrjeve </w:t>
            </w:r>
            <w:r w:rsidR="00B7406D" w:rsidRPr="00A96A10">
              <w:rPr>
                <w:rFonts w:ascii="Times New Roman" w:eastAsia="Times New Roman" w:hAnsi="Times New Roman" w:cs="Times New Roman"/>
                <w:noProof/>
                <w:color w:val="000000"/>
                <w:lang w:eastAsia="sq-AL"/>
              </w:rPr>
              <w:t>simotra</w:t>
            </w:r>
          </w:p>
          <w:p w14:paraId="47F71568" w14:textId="4C44D0D3" w:rsidR="00F90DC9" w:rsidRPr="00A96A10" w:rsidRDefault="00F90DC9" w:rsidP="00506308">
            <w:pPr>
              <w:pStyle w:val="ListParagraph"/>
              <w:numPr>
                <w:ilvl w:val="0"/>
                <w:numId w:val="1"/>
              </w:num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Ndarje sipas </w:t>
            </w:r>
            <w:r w:rsidR="00B7406D" w:rsidRPr="00A96A10">
              <w:rPr>
                <w:rFonts w:ascii="Times New Roman" w:eastAsia="Times New Roman" w:hAnsi="Times New Roman" w:cs="Times New Roman"/>
                <w:noProof/>
                <w:color w:val="000000"/>
                <w:lang w:eastAsia="sq-AL"/>
              </w:rPr>
              <w:t>aktivitetit ekonomik</w:t>
            </w:r>
            <w:r w:rsidRPr="00A96A10">
              <w:rPr>
                <w:rFonts w:ascii="Times New Roman" w:eastAsia="Times New Roman" w:hAnsi="Times New Roman" w:cs="Times New Roman"/>
                <w:noProof/>
                <w:color w:val="000000"/>
                <w:lang w:eastAsia="sq-AL"/>
              </w:rPr>
              <w:t xml:space="preserve"> — sipas NACE Rev.2</w:t>
            </w:r>
          </w:p>
          <w:p w14:paraId="74486DA6" w14:textId="22BEDFE3" w:rsidR="00F90DC9" w:rsidRPr="00A96A10" w:rsidRDefault="00F90DC9" w:rsidP="00506308">
            <w:pPr>
              <w:pStyle w:val="ListParagraph"/>
              <w:numPr>
                <w:ilvl w:val="0"/>
                <w:numId w:val="1"/>
              </w:num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Maturi</w:t>
            </w:r>
            <w:r w:rsidR="00B7406D" w:rsidRPr="00A96A10">
              <w:rPr>
                <w:rFonts w:ascii="Times New Roman" w:eastAsia="Times New Roman" w:hAnsi="Times New Roman" w:cs="Times New Roman"/>
                <w:noProof/>
                <w:color w:val="000000"/>
                <w:lang w:eastAsia="sq-AL"/>
              </w:rPr>
              <w:t>teti</w:t>
            </w:r>
            <w:r w:rsidRPr="00A96A10">
              <w:rPr>
                <w:rFonts w:ascii="Times New Roman" w:eastAsia="Times New Roman" w:hAnsi="Times New Roman" w:cs="Times New Roman"/>
                <w:noProof/>
                <w:color w:val="000000"/>
                <w:lang w:eastAsia="sq-AL"/>
              </w:rPr>
              <w:t xml:space="preserve"> (instrumentet e borxhit) — afatshkurtër ose afatgjatë, sipas maturimit origjinal dhe të mbetur</w:t>
            </w:r>
          </w:p>
          <w:p w14:paraId="415C1A32" w14:textId="77777777" w:rsidR="00B53BF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(4) Ndarje e sektorëve institucionalë të IHD-ve të pranishme në Shqipëri:</w:t>
            </w:r>
          </w:p>
          <w:p w14:paraId="6D599234" w14:textId="77777777" w:rsidR="00B53BF9" w:rsidRPr="00A96A10" w:rsidRDefault="00F90DC9" w:rsidP="00506308">
            <w:pPr>
              <w:pStyle w:val="ListParagraph"/>
              <w:numPr>
                <w:ilvl w:val="0"/>
                <w:numId w:val="2"/>
              </w:num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Korporata depozituese, me përjashtim të Bankës Qendrore</w:t>
            </w:r>
          </w:p>
          <w:p w14:paraId="57DBECC6" w14:textId="5A7F8084" w:rsidR="00F90DC9" w:rsidRPr="00A96A10" w:rsidRDefault="00F90DC9" w:rsidP="00506308">
            <w:pPr>
              <w:pStyle w:val="ListParagraph"/>
              <w:numPr>
                <w:ilvl w:val="0"/>
                <w:numId w:val="2"/>
              </w:num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Sektorë të tjerë përveç </w:t>
            </w:r>
            <w:r w:rsidR="00B7406D" w:rsidRPr="00A96A10">
              <w:rPr>
                <w:rFonts w:ascii="Times New Roman" w:eastAsia="Times New Roman" w:hAnsi="Times New Roman" w:cs="Times New Roman"/>
                <w:noProof/>
                <w:color w:val="000000"/>
                <w:lang w:eastAsia="sq-AL"/>
              </w:rPr>
              <w:t>institucioneve financiarë</w:t>
            </w:r>
            <w:r w:rsidRPr="00A96A10">
              <w:rPr>
                <w:rFonts w:ascii="Times New Roman" w:eastAsia="Times New Roman" w:hAnsi="Times New Roman" w:cs="Times New Roman"/>
                <w:noProof/>
                <w:color w:val="000000"/>
                <w:lang w:eastAsia="sq-AL"/>
              </w:rPr>
              <w:t xml:space="preserve"> dhe qeverisë qendrore</w:t>
            </w:r>
          </w:p>
          <w:p w14:paraId="2B174105" w14:textId="7A1F087D" w:rsidR="00F90DC9" w:rsidRPr="00A96A10" w:rsidRDefault="00B53BF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                  -</w:t>
            </w:r>
            <w:r w:rsidR="00B7406D" w:rsidRPr="00A96A10">
              <w:rPr>
                <w:rFonts w:ascii="Times New Roman" w:eastAsia="Arial" w:hAnsi="Times New Roman" w:cs="Times New Roman"/>
              </w:rPr>
              <w:t>institucione financiare jo-bankare</w:t>
            </w:r>
          </w:p>
          <w:p w14:paraId="1A324A48" w14:textId="77777777" w:rsidR="00634C8E" w:rsidRPr="00A96A10" w:rsidRDefault="00B53BF9" w:rsidP="00506308">
            <w:pPr>
              <w:spacing w:after="0"/>
              <w:jc w:val="both"/>
              <w:rPr>
                <w:rFonts w:ascii="Times New Roman" w:eastAsia="Arial" w:hAnsi="Times New Roman" w:cs="Times New Roman"/>
              </w:rPr>
            </w:pPr>
            <w:r w:rsidRPr="00A96A10">
              <w:rPr>
                <w:rFonts w:ascii="Times New Roman" w:eastAsia="Times New Roman" w:hAnsi="Times New Roman" w:cs="Times New Roman"/>
                <w:noProof/>
                <w:color w:val="000000"/>
                <w:lang w:eastAsia="sq-AL"/>
              </w:rPr>
              <w:t xml:space="preserve">                  -</w:t>
            </w:r>
            <w:r w:rsidR="00B7406D" w:rsidRPr="00A96A10">
              <w:rPr>
                <w:rFonts w:ascii="Times New Roman" w:eastAsia="Arial" w:hAnsi="Times New Roman" w:cs="Times New Roman"/>
              </w:rPr>
              <w:t xml:space="preserve">korporatat jo-financiare, ekonomitë shtëpiake dhe institucionet </w:t>
            </w:r>
            <w:r w:rsidR="00634C8E" w:rsidRPr="00A96A10">
              <w:rPr>
                <w:rFonts w:ascii="Times New Roman" w:eastAsia="Arial" w:hAnsi="Times New Roman" w:cs="Times New Roman"/>
              </w:rPr>
              <w:t xml:space="preserve">                   </w:t>
            </w:r>
          </w:p>
          <w:p w14:paraId="0A00F266" w14:textId="34AE3D78" w:rsidR="00F90DC9" w:rsidRPr="00A96A10" w:rsidRDefault="00634C8E"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 xml:space="preserve">                   </w:t>
            </w:r>
            <w:r w:rsidR="00B7406D" w:rsidRPr="00A96A10">
              <w:rPr>
                <w:rFonts w:ascii="Times New Roman" w:eastAsia="Arial" w:hAnsi="Times New Roman" w:cs="Times New Roman"/>
              </w:rPr>
              <w:t>jofitimprurëse në shërbim të ekonomive shtëpiake</w:t>
            </w:r>
          </w:p>
        </w:tc>
      </w:tr>
      <w:tr w:rsidR="00F90DC9" w:rsidRPr="00A96A10" w14:paraId="60FF2187" w14:textId="77777777" w:rsidTr="00F90DC9">
        <w:trPr>
          <w:trHeight w:val="567"/>
        </w:trPr>
        <w:tc>
          <w:tcPr>
            <w:tcW w:w="2457" w:type="dxa"/>
            <w:shd w:val="clear" w:color="auto" w:fill="FFFFCC"/>
            <w:vAlign w:val="center"/>
            <w:hideMark/>
          </w:tcPr>
          <w:p w14:paraId="37667DB7"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3.5. Njësia statistikore</w:t>
            </w:r>
          </w:p>
        </w:tc>
        <w:tc>
          <w:tcPr>
            <w:tcW w:w="7970" w:type="dxa"/>
            <w:noWrap/>
            <w:vAlign w:val="center"/>
            <w:hideMark/>
          </w:tcPr>
          <w:p w14:paraId="71F1B6CF" w14:textId="4A694F58" w:rsidR="00F90DC9" w:rsidRPr="00A96A10" w:rsidRDefault="00B7406D"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Njësitë institucionale rezidente përcaktohen në përputhje me manualin përkatës (MBP6) dhe lidhen me çdo individ, korporatë ose institucion tjetër që ka qendrën kryesore të interesit ekonomik në vend/territor gjatë një periudhe të caktuar, zakonisht mbi një vit.</w:t>
            </w:r>
          </w:p>
        </w:tc>
      </w:tr>
      <w:tr w:rsidR="00F90DC9" w:rsidRPr="00A96A10" w14:paraId="1ACF6354" w14:textId="77777777" w:rsidTr="00F90DC9">
        <w:trPr>
          <w:trHeight w:val="567"/>
        </w:trPr>
        <w:tc>
          <w:tcPr>
            <w:tcW w:w="2457" w:type="dxa"/>
            <w:shd w:val="clear" w:color="auto" w:fill="FFFFCC"/>
            <w:vAlign w:val="center"/>
            <w:hideMark/>
          </w:tcPr>
          <w:p w14:paraId="36B61B79"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3.6. Popullata statistikore </w:t>
            </w:r>
          </w:p>
        </w:tc>
        <w:tc>
          <w:tcPr>
            <w:tcW w:w="7970" w:type="dxa"/>
            <w:vAlign w:val="center"/>
          </w:tcPr>
          <w:p w14:paraId="0348CC39" w14:textId="39D93F01" w:rsidR="00F90DC9" w:rsidRPr="00A96A10" w:rsidRDefault="00B7406D" w:rsidP="00506308">
            <w:pPr>
              <w:spacing w:after="60"/>
              <w:jc w:val="both"/>
              <w:rPr>
                <w:rFonts w:ascii="Times New Roman" w:eastAsia="Times New Roman" w:hAnsi="Times New Roman" w:cs="Times New Roman"/>
                <w:noProof/>
                <w:color w:val="000000"/>
                <w:lang w:val="sq-AL" w:eastAsia="sq-AL"/>
              </w:rPr>
            </w:pPr>
            <w:r w:rsidRPr="00A96A10">
              <w:rPr>
                <w:rFonts w:ascii="Times New Roman" w:hAnsi="Times New Roman" w:cs="Times New Roman"/>
              </w:rPr>
              <w:t>F</w:t>
            </w:r>
            <w:r w:rsidR="00F90DC9" w:rsidRPr="00A96A10">
              <w:rPr>
                <w:rFonts w:ascii="Times New Roman" w:hAnsi="Times New Roman" w:cs="Times New Roman"/>
              </w:rPr>
              <w:t>luks</w:t>
            </w:r>
            <w:r w:rsidRPr="00A96A10">
              <w:rPr>
                <w:rFonts w:ascii="Times New Roman" w:hAnsi="Times New Roman" w:cs="Times New Roman"/>
              </w:rPr>
              <w:t>i</w:t>
            </w:r>
            <w:r w:rsidR="00F90DC9" w:rsidRPr="00A96A10">
              <w:rPr>
                <w:rFonts w:ascii="Times New Roman" w:hAnsi="Times New Roman" w:cs="Times New Roman"/>
              </w:rPr>
              <w:t xml:space="preserve"> dhe </w:t>
            </w:r>
            <w:r w:rsidRPr="00A96A10">
              <w:rPr>
                <w:rFonts w:ascii="Times New Roman" w:hAnsi="Times New Roman" w:cs="Times New Roman"/>
              </w:rPr>
              <w:t>stoku i</w:t>
            </w:r>
            <w:r w:rsidR="00F90DC9" w:rsidRPr="00A96A10">
              <w:rPr>
                <w:rFonts w:ascii="Times New Roman" w:hAnsi="Times New Roman" w:cs="Times New Roman"/>
              </w:rPr>
              <w:t xml:space="preserve"> </w:t>
            </w:r>
            <w:r w:rsidRPr="00A96A10">
              <w:rPr>
                <w:rFonts w:ascii="Times New Roman" w:hAnsi="Times New Roman" w:cs="Times New Roman"/>
              </w:rPr>
              <w:t>mjeteve</w:t>
            </w:r>
            <w:r w:rsidR="00F90DC9" w:rsidRPr="00A96A10">
              <w:rPr>
                <w:rFonts w:ascii="Times New Roman" w:hAnsi="Times New Roman" w:cs="Times New Roman"/>
              </w:rPr>
              <w:t>/detyrime</w:t>
            </w:r>
            <w:r w:rsidRPr="00A96A10">
              <w:rPr>
                <w:rFonts w:ascii="Times New Roman" w:hAnsi="Times New Roman" w:cs="Times New Roman"/>
              </w:rPr>
              <w:t>ve</w:t>
            </w:r>
            <w:r w:rsidR="00F90DC9" w:rsidRPr="00A96A10">
              <w:rPr>
                <w:rFonts w:ascii="Times New Roman" w:hAnsi="Times New Roman" w:cs="Times New Roman"/>
              </w:rPr>
              <w:t xml:space="preserve"> financiare ndërmjet njësive institucionale rezidente të një vendi/territori dhe jorezidentëve përfshihen në IHD.</w:t>
            </w:r>
          </w:p>
        </w:tc>
      </w:tr>
      <w:tr w:rsidR="00F90DC9" w:rsidRPr="00A96A10" w14:paraId="793C678D" w14:textId="77777777" w:rsidTr="00F90DC9">
        <w:trPr>
          <w:trHeight w:val="567"/>
        </w:trPr>
        <w:tc>
          <w:tcPr>
            <w:tcW w:w="2457" w:type="dxa"/>
            <w:shd w:val="clear" w:color="auto" w:fill="FFFFCC"/>
            <w:vAlign w:val="center"/>
            <w:hideMark/>
          </w:tcPr>
          <w:p w14:paraId="21223EF9"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3.7. Zona e referencës</w:t>
            </w:r>
          </w:p>
        </w:tc>
        <w:tc>
          <w:tcPr>
            <w:tcW w:w="7970" w:type="dxa"/>
            <w:noWrap/>
            <w:vAlign w:val="center"/>
            <w:hideMark/>
          </w:tcPr>
          <w:p w14:paraId="39D69C71" w14:textId="6DABC6D6"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Investimet e </w:t>
            </w:r>
            <w:r w:rsidR="00B7406D" w:rsidRPr="00A96A10">
              <w:rPr>
                <w:rFonts w:ascii="Times New Roman" w:eastAsia="Times New Roman" w:hAnsi="Times New Roman" w:cs="Times New Roman"/>
                <w:noProof/>
                <w:color w:val="000000"/>
                <w:lang w:eastAsia="sq-AL"/>
              </w:rPr>
              <w:t xml:space="preserve">huaja direkte </w:t>
            </w:r>
            <w:r w:rsidRPr="00A96A10">
              <w:rPr>
                <w:rFonts w:ascii="Times New Roman" w:eastAsia="Times New Roman" w:hAnsi="Times New Roman" w:cs="Times New Roman"/>
                <w:noProof/>
                <w:color w:val="000000"/>
                <w:lang w:eastAsia="sq-AL"/>
              </w:rPr>
              <w:t>në Shqipëri (</w:t>
            </w:r>
            <w:r w:rsidR="00B7406D" w:rsidRPr="00A96A10">
              <w:rPr>
                <w:rFonts w:ascii="Times New Roman" w:eastAsia="Times New Roman" w:hAnsi="Times New Roman" w:cs="Times New Roman"/>
                <w:noProof/>
                <w:color w:val="000000"/>
                <w:lang w:eastAsia="sq-AL"/>
              </w:rPr>
              <w:t>mjete</w:t>
            </w:r>
            <w:r w:rsidRPr="00A96A10">
              <w:rPr>
                <w:rFonts w:ascii="Times New Roman" w:eastAsia="Times New Roman" w:hAnsi="Times New Roman" w:cs="Times New Roman"/>
                <w:noProof/>
                <w:color w:val="000000"/>
                <w:lang w:eastAsia="sq-AL"/>
              </w:rPr>
              <w:t>/</w:t>
            </w:r>
            <w:r w:rsidR="00B7406D" w:rsidRPr="00A96A10">
              <w:rPr>
                <w:rFonts w:ascii="Times New Roman" w:eastAsia="Times New Roman" w:hAnsi="Times New Roman" w:cs="Times New Roman"/>
                <w:noProof/>
                <w:color w:val="000000"/>
                <w:lang w:eastAsia="sq-AL"/>
              </w:rPr>
              <w:t>detyrime</w:t>
            </w:r>
            <w:r w:rsidRPr="00A96A10">
              <w:rPr>
                <w:rFonts w:ascii="Times New Roman" w:eastAsia="Times New Roman" w:hAnsi="Times New Roman" w:cs="Times New Roman"/>
                <w:noProof/>
                <w:color w:val="000000"/>
                <w:lang w:eastAsia="sq-AL"/>
              </w:rPr>
              <w:t>) mbulojnë të gjithë territorin e Shqipërisë.</w:t>
            </w:r>
          </w:p>
        </w:tc>
      </w:tr>
      <w:tr w:rsidR="00F90DC9" w:rsidRPr="00A96A10" w14:paraId="2C89DFF6" w14:textId="77777777" w:rsidTr="00F90DC9">
        <w:trPr>
          <w:trHeight w:val="567"/>
        </w:trPr>
        <w:tc>
          <w:tcPr>
            <w:tcW w:w="2457" w:type="dxa"/>
            <w:shd w:val="clear" w:color="auto" w:fill="FFFFCC"/>
            <w:vAlign w:val="center"/>
            <w:hideMark/>
          </w:tcPr>
          <w:p w14:paraId="1D5D7786"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 xml:space="preserve">3.8. </w:t>
            </w:r>
            <w:r w:rsidRPr="00A96A10">
              <w:rPr>
                <w:rFonts w:ascii="Times New Roman" w:eastAsia="Times New Roman" w:hAnsi="Times New Roman" w:cs="Times New Roman"/>
                <w:noProof/>
                <w:color w:val="000000" w:themeColor="text1"/>
                <w:lang w:val="sq-AL" w:eastAsia="sq-AL"/>
              </w:rPr>
              <w:t>Mbulimi në kohë</w:t>
            </w:r>
            <w:r w:rsidRPr="00A96A10">
              <w:rPr>
                <w:rFonts w:ascii="Times New Roman" w:eastAsia="Times New Roman" w:hAnsi="Times New Roman" w:cs="Times New Roman"/>
                <w:noProof/>
                <w:color w:val="000000"/>
                <w:lang w:val="sq-AL" w:eastAsia="sq-AL"/>
              </w:rPr>
              <w:t> </w:t>
            </w:r>
          </w:p>
        </w:tc>
        <w:tc>
          <w:tcPr>
            <w:tcW w:w="7970" w:type="dxa"/>
            <w:vAlign w:val="center"/>
          </w:tcPr>
          <w:p w14:paraId="25BF075A" w14:textId="3D5734A0"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Të dhënat e publikuara për IHD-të janë në bazë tremujore. Të dhënat e pozicionit të IHD-ve në fund të vitit janë të barabarta me pozicionin në fund të tremujorit të katërt të atij viti. Të dhënat fillojnë nga viti 2003 dhe nga viti 2008 </w:t>
            </w:r>
            <w:r w:rsidR="00076527" w:rsidRPr="00A96A10">
              <w:rPr>
                <w:rFonts w:ascii="Times New Roman" w:eastAsia="Times New Roman" w:hAnsi="Times New Roman" w:cs="Times New Roman"/>
                <w:noProof/>
                <w:color w:val="000000"/>
                <w:lang w:eastAsia="sq-AL"/>
              </w:rPr>
              <w:t>hartohen</w:t>
            </w:r>
            <w:r w:rsidRPr="00A96A10">
              <w:rPr>
                <w:rFonts w:ascii="Times New Roman" w:eastAsia="Times New Roman" w:hAnsi="Times New Roman" w:cs="Times New Roman"/>
                <w:noProof/>
                <w:color w:val="000000"/>
                <w:lang w:eastAsia="sq-AL"/>
              </w:rPr>
              <w:t xml:space="preserve"> sipas manualit </w:t>
            </w:r>
            <w:r w:rsidR="00115201" w:rsidRPr="00A96A10">
              <w:rPr>
                <w:rFonts w:ascii="Times New Roman" w:eastAsia="Times New Roman" w:hAnsi="Times New Roman" w:cs="Times New Roman"/>
                <w:noProof/>
                <w:color w:val="000000"/>
                <w:lang w:eastAsia="sq-AL"/>
              </w:rPr>
              <w:t>MBP6</w:t>
            </w:r>
            <w:r w:rsidRPr="00A96A10">
              <w:rPr>
                <w:rFonts w:ascii="Times New Roman" w:eastAsia="Times New Roman" w:hAnsi="Times New Roman" w:cs="Times New Roman"/>
                <w:noProof/>
                <w:color w:val="000000"/>
                <w:lang w:eastAsia="sq-AL"/>
              </w:rPr>
              <w:t>.</w:t>
            </w:r>
          </w:p>
        </w:tc>
      </w:tr>
      <w:tr w:rsidR="00F90DC9" w:rsidRPr="00A96A10" w14:paraId="77BA1704" w14:textId="77777777" w:rsidTr="00F90DC9">
        <w:trPr>
          <w:trHeight w:val="567"/>
        </w:trPr>
        <w:tc>
          <w:tcPr>
            <w:tcW w:w="2457" w:type="dxa"/>
            <w:shd w:val="clear" w:color="auto" w:fill="FFFFCC"/>
            <w:noWrap/>
            <w:vAlign w:val="center"/>
            <w:hideMark/>
          </w:tcPr>
          <w:p w14:paraId="4061B928"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3.9. Periudha bazë</w:t>
            </w:r>
          </w:p>
        </w:tc>
        <w:tc>
          <w:tcPr>
            <w:tcW w:w="7970" w:type="dxa"/>
            <w:noWrap/>
            <w:vAlign w:val="center"/>
            <w:hideMark/>
          </w:tcPr>
          <w:p w14:paraId="000916BE" w14:textId="7405529F"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Nuk </w:t>
            </w:r>
            <w:r w:rsidR="00076527" w:rsidRPr="00A96A10">
              <w:rPr>
                <w:rFonts w:ascii="Times New Roman" w:eastAsia="Times New Roman" w:hAnsi="Times New Roman" w:cs="Times New Roman"/>
                <w:noProof/>
                <w:color w:val="000000"/>
                <w:lang w:eastAsia="sq-AL"/>
              </w:rPr>
              <w:t>aplikohet.</w:t>
            </w:r>
          </w:p>
        </w:tc>
      </w:tr>
      <w:tr w:rsidR="00F90DC9" w:rsidRPr="00A96A10" w14:paraId="7E5CED96" w14:textId="77777777" w:rsidTr="00F2159C">
        <w:trPr>
          <w:trHeight w:val="567"/>
        </w:trPr>
        <w:tc>
          <w:tcPr>
            <w:tcW w:w="10427" w:type="dxa"/>
            <w:gridSpan w:val="2"/>
            <w:shd w:val="clear" w:color="auto" w:fill="C5E0B3" w:themeFill="accent6" w:themeFillTint="66"/>
            <w:noWrap/>
            <w:vAlign w:val="center"/>
          </w:tcPr>
          <w:p w14:paraId="3911E3CC" w14:textId="77777777" w:rsidR="00F90DC9" w:rsidRPr="00A96A10" w:rsidRDefault="00F90DC9" w:rsidP="00506308">
            <w:pPr>
              <w:pStyle w:val="Heading1"/>
              <w:jc w:val="both"/>
              <w:rPr>
                <w:rFonts w:ascii="Times New Roman" w:hAnsi="Times New Roman" w:cs="Times New Roman"/>
                <w:noProof/>
                <w:sz w:val="22"/>
                <w:szCs w:val="22"/>
                <w:lang w:val="sq-AL"/>
              </w:rPr>
            </w:pPr>
            <w:bookmarkStart w:id="3" w:name="_Toc228888969"/>
            <w:r w:rsidRPr="00A96A10">
              <w:rPr>
                <w:rFonts w:ascii="Times New Roman" w:eastAsia="Times New Roman" w:hAnsi="Times New Roman" w:cs="Times New Roman"/>
                <w:noProof/>
                <w:color w:val="000000"/>
                <w:sz w:val="22"/>
                <w:szCs w:val="22"/>
                <w:lang w:val="sq-AL" w:eastAsia="sq-AL"/>
              </w:rPr>
              <w:t>4. Njësia matëse</w:t>
            </w:r>
            <w:bookmarkEnd w:id="3"/>
          </w:p>
        </w:tc>
      </w:tr>
      <w:tr w:rsidR="00F90DC9" w:rsidRPr="00A96A10" w14:paraId="25E8FF24" w14:textId="77777777" w:rsidTr="00F90DC9">
        <w:trPr>
          <w:trHeight w:val="567"/>
        </w:trPr>
        <w:tc>
          <w:tcPr>
            <w:tcW w:w="2457" w:type="dxa"/>
            <w:shd w:val="clear" w:color="auto" w:fill="FFFFCC"/>
            <w:noWrap/>
            <w:vAlign w:val="center"/>
            <w:hideMark/>
          </w:tcPr>
          <w:p w14:paraId="4E138396" w14:textId="77777777" w:rsidR="00F90DC9" w:rsidRPr="00A96A10" w:rsidRDefault="00F90DC9" w:rsidP="00506308">
            <w:pPr>
              <w:spacing w:after="0"/>
              <w:jc w:val="both"/>
              <w:rPr>
                <w:rFonts w:ascii="Times New Roman" w:eastAsia="Times New Roman" w:hAnsi="Times New Roman" w:cs="Times New Roman"/>
                <w:b/>
                <w:bCs/>
                <w:noProof/>
                <w:color w:val="000000"/>
                <w:lang w:val="sq-AL" w:eastAsia="sq-AL"/>
              </w:rPr>
            </w:pPr>
            <w:r w:rsidRPr="00A96A10">
              <w:rPr>
                <w:rFonts w:ascii="Times New Roman" w:eastAsia="Times New Roman" w:hAnsi="Times New Roman" w:cs="Times New Roman"/>
                <w:noProof/>
                <w:color w:val="000000"/>
                <w:lang w:val="sq-AL" w:eastAsia="sq-AL"/>
              </w:rPr>
              <w:t>4.1 Njësia matëse</w:t>
            </w:r>
          </w:p>
        </w:tc>
        <w:tc>
          <w:tcPr>
            <w:tcW w:w="7970" w:type="dxa"/>
            <w:noWrap/>
            <w:vAlign w:val="center"/>
            <w:hideMark/>
          </w:tcPr>
          <w:p w14:paraId="5DABE124" w14:textId="476E1953" w:rsidR="00F90DC9" w:rsidRPr="00A96A10" w:rsidRDefault="00076527" w:rsidP="00506308">
            <w:pPr>
              <w:spacing w:after="0"/>
              <w:jc w:val="both"/>
              <w:rPr>
                <w:rFonts w:ascii="Times New Roman" w:hAnsi="Times New Roman" w:cs="Times New Roman"/>
                <w:noProof/>
                <w:lang w:val="sq-AL"/>
              </w:rPr>
            </w:pPr>
            <w:r w:rsidRPr="00A96A10">
              <w:rPr>
                <w:rFonts w:ascii="Times New Roman" w:eastAsia="Arial" w:hAnsi="Times New Roman" w:cs="Times New Roman"/>
              </w:rPr>
              <w:t>Të dhënat e PIN-it hartohen në monedhën vendase (ALL). Të gjitha transaksionet dhe pozicioni në monedhë të huaj konvertohen në milionë Lekë (ALL) duke përdorur kursin mesatar mujor të këmbimit për transaksionet dhe kursin e këmbimit të fundit të muajit për pozicionin, dhe publikohen në milionë Euro.</w:t>
            </w:r>
          </w:p>
        </w:tc>
      </w:tr>
      <w:tr w:rsidR="00F90DC9" w:rsidRPr="00A96A10" w14:paraId="2CE7A0B0" w14:textId="77777777" w:rsidTr="00F2159C">
        <w:trPr>
          <w:trHeight w:val="567"/>
        </w:trPr>
        <w:tc>
          <w:tcPr>
            <w:tcW w:w="10427" w:type="dxa"/>
            <w:gridSpan w:val="2"/>
            <w:shd w:val="clear" w:color="auto" w:fill="C5E0B3" w:themeFill="accent6" w:themeFillTint="66"/>
            <w:noWrap/>
            <w:vAlign w:val="center"/>
          </w:tcPr>
          <w:p w14:paraId="7690D27B" w14:textId="77777777" w:rsidR="00F90DC9" w:rsidRPr="00A96A10" w:rsidRDefault="00F90DC9" w:rsidP="00506308">
            <w:pPr>
              <w:pStyle w:val="Heading1"/>
              <w:spacing w:before="0"/>
              <w:jc w:val="both"/>
              <w:rPr>
                <w:rFonts w:ascii="Times New Roman" w:hAnsi="Times New Roman" w:cs="Times New Roman"/>
                <w:noProof/>
                <w:color w:val="FF0000"/>
                <w:sz w:val="22"/>
                <w:szCs w:val="22"/>
                <w:lang w:val="sq-AL"/>
              </w:rPr>
            </w:pPr>
            <w:bookmarkStart w:id="4" w:name="_Toc228888970"/>
            <w:r w:rsidRPr="00A96A10">
              <w:rPr>
                <w:rFonts w:ascii="Times New Roman" w:eastAsia="Times New Roman" w:hAnsi="Times New Roman" w:cs="Times New Roman"/>
                <w:noProof/>
                <w:color w:val="000000"/>
                <w:sz w:val="22"/>
                <w:szCs w:val="22"/>
                <w:lang w:val="sq-AL" w:eastAsia="sq-AL"/>
              </w:rPr>
              <w:lastRenderedPageBreak/>
              <w:t>5. Periudha e referencës</w:t>
            </w:r>
            <w:bookmarkEnd w:id="4"/>
          </w:p>
        </w:tc>
      </w:tr>
      <w:tr w:rsidR="00F90DC9" w:rsidRPr="00A96A10" w14:paraId="1CF4FE8B" w14:textId="77777777" w:rsidTr="00F90DC9">
        <w:trPr>
          <w:trHeight w:val="567"/>
        </w:trPr>
        <w:tc>
          <w:tcPr>
            <w:tcW w:w="2457" w:type="dxa"/>
            <w:shd w:val="clear" w:color="auto" w:fill="FFFFCC"/>
            <w:noWrap/>
            <w:vAlign w:val="center"/>
            <w:hideMark/>
          </w:tcPr>
          <w:p w14:paraId="4D0C37E9" w14:textId="77777777" w:rsidR="00F90DC9" w:rsidRPr="00A96A10" w:rsidRDefault="00F90DC9" w:rsidP="00506308">
            <w:pPr>
              <w:jc w:val="both"/>
              <w:rPr>
                <w:rFonts w:ascii="Times New Roman" w:hAnsi="Times New Roman" w:cs="Times New Roman"/>
                <w:b/>
                <w:bCs/>
                <w:noProof/>
                <w:lang w:val="sq-AL" w:eastAsia="sq-AL"/>
              </w:rPr>
            </w:pPr>
            <w:r w:rsidRPr="00A96A10">
              <w:rPr>
                <w:rFonts w:ascii="Times New Roman" w:hAnsi="Times New Roman" w:cs="Times New Roman"/>
                <w:noProof/>
                <w:lang w:val="sq-AL" w:eastAsia="sq-AL"/>
              </w:rPr>
              <w:t>5.1 Periudha e referencës</w:t>
            </w:r>
          </w:p>
        </w:tc>
        <w:tc>
          <w:tcPr>
            <w:tcW w:w="7970" w:type="dxa"/>
            <w:noWrap/>
            <w:vAlign w:val="center"/>
            <w:hideMark/>
          </w:tcPr>
          <w:p w14:paraId="68C9B36B" w14:textId="335F2528" w:rsidR="00F90DC9" w:rsidRPr="00A96A10" w:rsidRDefault="00F90DC9" w:rsidP="00506308">
            <w:pPr>
              <w:autoSpaceDE w:val="0"/>
              <w:autoSpaceDN w:val="0"/>
              <w:adjustRightInd w:val="0"/>
              <w:spacing w:after="0"/>
              <w:jc w:val="both"/>
              <w:rPr>
                <w:rFonts w:ascii="Times New Roman" w:hAnsi="Times New Roman" w:cs="Times New Roman"/>
                <w:noProof/>
                <w:color w:val="FF0000"/>
                <w:lang w:val="sq-AL"/>
              </w:rPr>
            </w:pPr>
            <w:r w:rsidRPr="00A96A10">
              <w:rPr>
                <w:rFonts w:ascii="Times New Roman" w:hAnsi="Times New Roman" w:cs="Times New Roman"/>
                <w:noProof/>
                <w:color w:val="000000" w:themeColor="text1"/>
              </w:rPr>
              <w:t>Periudha e referencës është tremujore dhe vjetore.</w:t>
            </w:r>
          </w:p>
        </w:tc>
      </w:tr>
      <w:tr w:rsidR="00F90DC9" w:rsidRPr="00A96A10" w14:paraId="0FEC6861" w14:textId="77777777" w:rsidTr="00F2159C">
        <w:trPr>
          <w:trHeight w:val="567"/>
        </w:trPr>
        <w:tc>
          <w:tcPr>
            <w:tcW w:w="10427" w:type="dxa"/>
            <w:gridSpan w:val="2"/>
            <w:shd w:val="clear" w:color="auto" w:fill="C5E0B3" w:themeFill="accent6" w:themeFillTint="66"/>
            <w:noWrap/>
            <w:vAlign w:val="center"/>
            <w:hideMark/>
          </w:tcPr>
          <w:p w14:paraId="7DD5D8D5" w14:textId="77777777" w:rsidR="00F90DC9" w:rsidRPr="00A96A10" w:rsidRDefault="00F90DC9" w:rsidP="00506308">
            <w:pPr>
              <w:pStyle w:val="Heading1"/>
              <w:spacing w:before="0"/>
              <w:jc w:val="both"/>
              <w:rPr>
                <w:rFonts w:ascii="Times New Roman" w:eastAsia="Times New Roman" w:hAnsi="Times New Roman" w:cs="Times New Roman"/>
                <w:noProof/>
                <w:color w:val="000000"/>
                <w:sz w:val="22"/>
                <w:szCs w:val="22"/>
                <w:lang w:val="sq-AL" w:eastAsia="sq-AL"/>
              </w:rPr>
            </w:pPr>
            <w:bookmarkStart w:id="5" w:name="_Toc228888971"/>
            <w:r w:rsidRPr="00A96A10">
              <w:rPr>
                <w:rFonts w:ascii="Times New Roman" w:eastAsia="Times New Roman" w:hAnsi="Times New Roman" w:cs="Times New Roman"/>
                <w:noProof/>
                <w:color w:val="000000"/>
                <w:sz w:val="22"/>
                <w:szCs w:val="22"/>
                <w:lang w:val="sq-AL" w:eastAsia="sq-AL"/>
              </w:rPr>
              <w:t>6</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Mandati institucional</w:t>
            </w:r>
            <w:bookmarkEnd w:id="5"/>
            <w:r w:rsidRPr="00A96A10">
              <w:rPr>
                <w:rFonts w:ascii="Times New Roman" w:eastAsia="Times New Roman" w:hAnsi="Times New Roman" w:cs="Times New Roman"/>
                <w:noProof/>
                <w:color w:val="000000"/>
                <w:sz w:val="22"/>
                <w:szCs w:val="22"/>
                <w:lang w:val="sq-AL" w:eastAsia="sq-AL"/>
              </w:rPr>
              <w:t> </w:t>
            </w:r>
          </w:p>
        </w:tc>
      </w:tr>
      <w:tr w:rsidR="00F90DC9" w:rsidRPr="00A96A10" w14:paraId="24C10C88" w14:textId="77777777" w:rsidTr="00F90DC9">
        <w:trPr>
          <w:trHeight w:val="567"/>
        </w:trPr>
        <w:tc>
          <w:tcPr>
            <w:tcW w:w="2457" w:type="dxa"/>
            <w:shd w:val="clear" w:color="auto" w:fill="FFFFCC"/>
            <w:noWrap/>
            <w:vAlign w:val="center"/>
            <w:hideMark/>
          </w:tcPr>
          <w:p w14:paraId="7B6D1498"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6.1. Akte ligjore dhe marrëveshje të tjera</w:t>
            </w:r>
          </w:p>
        </w:tc>
        <w:tc>
          <w:tcPr>
            <w:tcW w:w="7970" w:type="dxa"/>
            <w:vAlign w:val="center"/>
          </w:tcPr>
          <w:p w14:paraId="5438940D" w14:textId="4FFD15C3" w:rsidR="00076527" w:rsidRPr="00A96A10" w:rsidRDefault="00076527" w:rsidP="00506308">
            <w:pPr>
              <w:spacing w:after="60"/>
              <w:jc w:val="both"/>
              <w:rPr>
                <w:rFonts w:ascii="Times New Roman" w:hAnsi="Times New Roman" w:cs="Times New Roman"/>
              </w:rPr>
            </w:pPr>
            <w:r w:rsidRPr="00A96A10">
              <w:rPr>
                <w:rFonts w:ascii="Times New Roman" w:eastAsia="Arial" w:hAnsi="Times New Roman" w:cs="Times New Roman"/>
              </w:rPr>
              <w:t>Të dhënat e investimeve  të huaja direkte hartohen bazuar në aktet ligjore të mëposhtme:</w:t>
            </w:r>
          </w:p>
          <w:p w14:paraId="1994A432" w14:textId="77777777" w:rsidR="00076527" w:rsidRPr="00A96A10" w:rsidRDefault="00076527" w:rsidP="00506308">
            <w:pPr>
              <w:spacing w:after="60"/>
              <w:jc w:val="both"/>
              <w:rPr>
                <w:rFonts w:ascii="Times New Roman" w:eastAsia="Arial" w:hAnsi="Times New Roman" w:cs="Times New Roman"/>
              </w:rPr>
            </w:pPr>
            <w:r w:rsidRPr="00A96A10">
              <w:rPr>
                <w:rFonts w:ascii="Times New Roman" w:eastAsia="Arial" w:hAnsi="Times New Roman" w:cs="Times New Roman"/>
              </w:rPr>
              <w:t>• Ligji "Për Bankën e Shqipërisë", Nr. 8269, datë 23.12.1997  i jep BSH detyrimin ligjor plotësues për të hartuar bilancin e pagesave të Shqipërisë.</w:t>
            </w:r>
          </w:p>
          <w:p w14:paraId="766BD419" w14:textId="77777777" w:rsidR="00076527" w:rsidRPr="00A96A10" w:rsidRDefault="00076527" w:rsidP="00506308">
            <w:pPr>
              <w:spacing w:after="60"/>
              <w:jc w:val="both"/>
              <w:rPr>
                <w:rFonts w:ascii="Times New Roman" w:hAnsi="Times New Roman" w:cs="Times New Roman"/>
              </w:rPr>
            </w:pPr>
            <w:hyperlink r:id="rId9" w:history="1">
              <w:r w:rsidRPr="00A96A10">
                <w:rPr>
                  <w:rStyle w:val="Hyperlink"/>
                  <w:rFonts w:ascii="Times New Roman" w:hAnsi="Times New Roman" w:cs="Times New Roman"/>
                </w:rPr>
                <w:t>https://www.bankofalbania.org/Rreth_Bankes/Legjislacioni/Ligj_nr_8269_date_23_12_1997_Per_Banken_e_Shqiperise.html</w:t>
              </w:r>
            </w:hyperlink>
          </w:p>
          <w:p w14:paraId="21B4BD4B" w14:textId="77777777" w:rsidR="00076527" w:rsidRPr="00A96A10" w:rsidRDefault="00076527" w:rsidP="00506308">
            <w:pPr>
              <w:spacing w:after="60"/>
              <w:jc w:val="both"/>
              <w:rPr>
                <w:rFonts w:ascii="Times New Roman" w:eastAsia="Arial" w:hAnsi="Times New Roman" w:cs="Times New Roman"/>
              </w:rPr>
            </w:pPr>
            <w:r w:rsidRPr="00A96A10">
              <w:rPr>
                <w:rFonts w:ascii="Times New Roman" w:eastAsia="Arial" w:hAnsi="Times New Roman" w:cs="Times New Roman"/>
              </w:rPr>
              <w:t>• Ligji Nr. 17 "Për Statistikat Zyrtare", 2018.</w:t>
            </w:r>
          </w:p>
          <w:p w14:paraId="2DCEA39D" w14:textId="77777777" w:rsidR="00076527" w:rsidRPr="00A96A10" w:rsidRDefault="00076527" w:rsidP="00506308">
            <w:pPr>
              <w:spacing w:after="60"/>
              <w:jc w:val="both"/>
              <w:rPr>
                <w:rFonts w:ascii="Times New Roman" w:hAnsi="Times New Roman" w:cs="Times New Roman"/>
              </w:rPr>
            </w:pPr>
            <w:hyperlink r:id="rId10" w:history="1">
              <w:r w:rsidRPr="00A96A10">
                <w:rPr>
                  <w:rStyle w:val="Hyperlink"/>
                  <w:rFonts w:ascii="Times New Roman" w:hAnsi="Times New Roman" w:cs="Times New Roman"/>
                </w:rPr>
                <w:t>https://www.instat.gov.al/sq/rreth-nesh/legjislacioni/</w:t>
              </w:r>
            </w:hyperlink>
          </w:p>
          <w:p w14:paraId="6B678ECE" w14:textId="77777777" w:rsidR="00076527" w:rsidRPr="00A96A10" w:rsidRDefault="00076527" w:rsidP="00506308">
            <w:pPr>
              <w:spacing w:after="60"/>
              <w:jc w:val="both"/>
              <w:rPr>
                <w:rFonts w:ascii="Times New Roman" w:hAnsi="Times New Roman" w:cs="Times New Roman"/>
              </w:rPr>
            </w:pPr>
            <w:r w:rsidRPr="00A96A10">
              <w:rPr>
                <w:rFonts w:ascii="Times New Roman" w:eastAsia="Arial" w:hAnsi="Times New Roman" w:cs="Times New Roman"/>
              </w:rPr>
              <w:t>• Vendimi 2009-70 i Këshillit Mbikëqyrës të BSH-së për Transaksionet Valutore.</w:t>
            </w:r>
          </w:p>
          <w:p w14:paraId="7EDE6DB1" w14:textId="77777777" w:rsidR="00076527" w:rsidRPr="00A96A10" w:rsidRDefault="00076527" w:rsidP="00506308">
            <w:pPr>
              <w:spacing w:after="60"/>
              <w:jc w:val="both"/>
              <w:rPr>
                <w:rFonts w:ascii="Times New Roman" w:hAnsi="Times New Roman" w:cs="Times New Roman"/>
              </w:rPr>
            </w:pPr>
            <w:r w:rsidRPr="00A96A10">
              <w:rPr>
                <w:rFonts w:ascii="Times New Roman" w:eastAsia="Arial" w:hAnsi="Times New Roman" w:cs="Times New Roman"/>
              </w:rPr>
              <w:t>• Vendimi 2009-45 i Këshillit Mbikëqyrës të BSH-së për raportimet në BSH.</w:t>
            </w:r>
          </w:p>
          <w:p w14:paraId="36231F0E" w14:textId="77777777" w:rsidR="00076527" w:rsidRPr="00A96A10" w:rsidRDefault="00076527" w:rsidP="00506308">
            <w:pPr>
              <w:spacing w:after="60"/>
              <w:jc w:val="both"/>
              <w:rPr>
                <w:rFonts w:ascii="Times New Roman" w:hAnsi="Times New Roman" w:cs="Times New Roman"/>
              </w:rPr>
            </w:pPr>
            <w:r w:rsidRPr="00A96A10">
              <w:rPr>
                <w:rFonts w:ascii="Times New Roman" w:eastAsia="Arial" w:hAnsi="Times New Roman" w:cs="Times New Roman"/>
              </w:rPr>
              <w:t>• Vendimi 2017-19 i Këshillit Mbikëqyrës të BSH-së mbi "Kodin e Praktikës në Bankën e Shqipërisë".</w:t>
            </w:r>
          </w:p>
          <w:p w14:paraId="7C6B2A62" w14:textId="77777777" w:rsidR="00076527" w:rsidRPr="00A96A10" w:rsidRDefault="00076527" w:rsidP="00506308">
            <w:pPr>
              <w:spacing w:after="60"/>
              <w:jc w:val="both"/>
              <w:rPr>
                <w:rFonts w:ascii="Times New Roman" w:eastAsia="Arial" w:hAnsi="Times New Roman" w:cs="Times New Roman"/>
              </w:rPr>
            </w:pPr>
            <w:r w:rsidRPr="00A96A10">
              <w:rPr>
                <w:rFonts w:ascii="Times New Roman" w:eastAsia="Arial" w:hAnsi="Times New Roman" w:cs="Times New Roman"/>
              </w:rPr>
              <w:t>• Programi Kombëtar i Statistikave Zyrtare 2022–2026.</w:t>
            </w:r>
          </w:p>
          <w:p w14:paraId="3645EAB0" w14:textId="77777777" w:rsidR="00076527" w:rsidRPr="00A96A10" w:rsidRDefault="00076527" w:rsidP="00506308">
            <w:pPr>
              <w:spacing w:after="60"/>
              <w:jc w:val="both"/>
              <w:rPr>
                <w:rFonts w:ascii="Times New Roman" w:hAnsi="Times New Roman" w:cs="Times New Roman"/>
              </w:rPr>
            </w:pPr>
            <w:hyperlink r:id="rId11" w:history="1">
              <w:r w:rsidRPr="00A96A10">
                <w:rPr>
                  <w:rStyle w:val="Hyperlink"/>
                  <w:rFonts w:ascii="Times New Roman" w:hAnsi="Times New Roman" w:cs="Times New Roman"/>
                </w:rPr>
                <w:t>https://www.instat.gov.al/sq/rreth-nesh/legjislacioni/</w:t>
              </w:r>
            </w:hyperlink>
          </w:p>
          <w:p w14:paraId="334929CB" w14:textId="77777777" w:rsidR="00076527" w:rsidRPr="00A96A10" w:rsidRDefault="00076527" w:rsidP="00506308">
            <w:pPr>
              <w:spacing w:after="60"/>
              <w:jc w:val="both"/>
              <w:rPr>
                <w:rFonts w:ascii="Times New Roman" w:hAnsi="Times New Roman" w:cs="Times New Roman"/>
              </w:rPr>
            </w:pPr>
            <w:r w:rsidRPr="00A96A10">
              <w:rPr>
                <w:rFonts w:ascii="Times New Roman" w:eastAsia="Arial" w:hAnsi="Times New Roman" w:cs="Times New Roman"/>
              </w:rPr>
              <w:t>• Manuali i FMN-së — Manuali MBP6.</w:t>
            </w:r>
          </w:p>
          <w:p w14:paraId="18D53201" w14:textId="77777777" w:rsidR="00076527" w:rsidRPr="00A96A10" w:rsidRDefault="00076527" w:rsidP="00506308">
            <w:pPr>
              <w:spacing w:after="60"/>
              <w:jc w:val="both"/>
              <w:rPr>
                <w:rFonts w:ascii="Times New Roman" w:hAnsi="Times New Roman" w:cs="Times New Roman"/>
              </w:rPr>
            </w:pPr>
            <w:r w:rsidRPr="00A96A10">
              <w:rPr>
                <w:rFonts w:ascii="Times New Roman" w:eastAsia="Arial" w:hAnsi="Times New Roman" w:cs="Times New Roman"/>
              </w:rPr>
              <w:t>• Manuali mbi Statistikat e Tregtisë Ndërkombëtare në Shërbime (UN MSITS 2010).</w:t>
            </w:r>
          </w:p>
          <w:p w14:paraId="45EC215C" w14:textId="77777777" w:rsidR="00076527" w:rsidRPr="00A96A10" w:rsidRDefault="00076527" w:rsidP="00506308">
            <w:pPr>
              <w:spacing w:after="60"/>
              <w:jc w:val="both"/>
              <w:rPr>
                <w:rFonts w:ascii="Times New Roman" w:hAnsi="Times New Roman" w:cs="Times New Roman"/>
              </w:rPr>
            </w:pPr>
            <w:r w:rsidRPr="00A96A10">
              <w:rPr>
                <w:rFonts w:ascii="Times New Roman" w:eastAsia="Arial" w:hAnsi="Times New Roman" w:cs="Times New Roman"/>
              </w:rPr>
              <w:t>• Manuali bazë i OECD-së për Investimet e Huaja direkte (BD4).</w:t>
            </w:r>
          </w:p>
          <w:p w14:paraId="0EC8ADD4" w14:textId="77777777" w:rsidR="00076527" w:rsidRPr="00A96A10" w:rsidRDefault="00076527" w:rsidP="00506308">
            <w:pPr>
              <w:jc w:val="both"/>
              <w:rPr>
                <w:rFonts w:ascii="Times New Roman" w:hAnsi="Times New Roman" w:cs="Times New Roman"/>
                <w:noProof/>
                <w:color w:val="000000"/>
                <w:lang w:val="sq-AL" w:eastAsia="sq-AL"/>
              </w:rPr>
            </w:pPr>
            <w:r w:rsidRPr="00A96A10">
              <w:rPr>
                <w:rFonts w:ascii="Times New Roman" w:eastAsia="Arial" w:hAnsi="Times New Roman" w:cs="Times New Roman"/>
              </w:rPr>
              <w:t>• Memorandumi i Mirëkuptimit ndërmjet INSTAT, BSH dhe Ministrisë së Financave.</w:t>
            </w:r>
          </w:p>
          <w:p w14:paraId="22BC16BD" w14:textId="648D7D31" w:rsidR="005D4B7E" w:rsidRPr="00A96A10" w:rsidRDefault="00076527" w:rsidP="00506308">
            <w:pPr>
              <w:jc w:val="both"/>
              <w:rPr>
                <w:rFonts w:ascii="Times New Roman" w:eastAsia="Times New Roman" w:hAnsi="Times New Roman" w:cs="Times New Roman"/>
                <w:noProof/>
                <w:color w:val="000000"/>
                <w:lang w:val="sq-AL" w:eastAsia="sq-AL"/>
              </w:rPr>
            </w:pPr>
            <w:hyperlink r:id="rId12" w:history="1">
              <w:r w:rsidRPr="00A96A10">
                <w:rPr>
                  <w:rStyle w:val="Hyperlink"/>
                  <w:rFonts w:ascii="Times New Roman" w:hAnsi="Times New Roman" w:cs="Times New Roman"/>
                  <w:noProof/>
                  <w:lang w:val="sq-AL" w:eastAsia="sq-AL"/>
                </w:rPr>
                <w:t>https://www.bankofalbania.org/Statistikat/</w:t>
              </w:r>
            </w:hyperlink>
          </w:p>
        </w:tc>
      </w:tr>
      <w:tr w:rsidR="00F90DC9" w:rsidRPr="00A96A10" w14:paraId="5769BEFE" w14:textId="77777777" w:rsidTr="00F90DC9">
        <w:trPr>
          <w:trHeight w:val="567"/>
        </w:trPr>
        <w:tc>
          <w:tcPr>
            <w:tcW w:w="2457" w:type="dxa"/>
            <w:shd w:val="clear" w:color="auto" w:fill="FFFFCC"/>
            <w:noWrap/>
            <w:vAlign w:val="center"/>
            <w:hideMark/>
          </w:tcPr>
          <w:p w14:paraId="1D0A75E8"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6.2. Shkëmbimi i të dhënave</w:t>
            </w:r>
          </w:p>
        </w:tc>
        <w:tc>
          <w:tcPr>
            <w:tcW w:w="7970" w:type="dxa"/>
            <w:noWrap/>
            <w:vAlign w:val="center"/>
            <w:hideMark/>
          </w:tcPr>
          <w:p w14:paraId="3A1CC176" w14:textId="42D3AE47" w:rsidR="00F90DC9" w:rsidRPr="00A96A10" w:rsidRDefault="00F90DC9" w:rsidP="00506308">
            <w:pPr>
              <w:spacing w:after="0" w:line="240" w:lineRule="auto"/>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Banka e Shqipërisë (BSH) transmeton të dhënat</w:t>
            </w:r>
            <w:r w:rsidR="00076527" w:rsidRPr="00A96A10">
              <w:rPr>
                <w:rFonts w:ascii="Times New Roman" w:eastAsia="Times New Roman" w:hAnsi="Times New Roman" w:cs="Times New Roman"/>
                <w:noProof/>
                <w:color w:val="000000"/>
                <w:lang w:eastAsia="sq-AL"/>
              </w:rPr>
              <w:t xml:space="preserve"> në</w:t>
            </w:r>
            <w:r w:rsidRPr="00A96A10">
              <w:rPr>
                <w:rFonts w:ascii="Times New Roman" w:eastAsia="Times New Roman" w:hAnsi="Times New Roman" w:cs="Times New Roman"/>
                <w:noProof/>
                <w:color w:val="000000"/>
                <w:lang w:eastAsia="sq-AL"/>
              </w:rPr>
              <w:t xml:space="preserve"> Eurostat</w:t>
            </w:r>
            <w:r w:rsidR="00076527" w:rsidRPr="00A96A10">
              <w:rPr>
                <w:rFonts w:ascii="Times New Roman" w:eastAsia="Times New Roman" w:hAnsi="Times New Roman" w:cs="Times New Roman"/>
                <w:noProof/>
                <w:color w:val="000000"/>
                <w:lang w:eastAsia="sq-AL"/>
              </w:rPr>
              <w:t xml:space="preserve"> në formatin </w:t>
            </w:r>
            <w:r w:rsidRPr="00A96A10">
              <w:rPr>
                <w:rFonts w:ascii="Times New Roman" w:eastAsia="Times New Roman" w:hAnsi="Times New Roman" w:cs="Times New Roman"/>
                <w:noProof/>
                <w:color w:val="000000"/>
                <w:lang w:eastAsia="sq-AL"/>
              </w:rPr>
              <w:t>SDMX, në përputhje me Vademecum-in e Bilancit të Pagesave:</w:t>
            </w:r>
          </w:p>
          <w:p w14:paraId="7C369525" w14:textId="77777777" w:rsidR="00F90DC9" w:rsidRPr="00A96A10" w:rsidRDefault="00F90DC9" w:rsidP="00506308">
            <w:pPr>
              <w:spacing w:after="0" w:line="240" w:lineRule="auto"/>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Pyetësori IHD T 4.1 dhe T 4.2</w:t>
            </w:r>
          </w:p>
          <w:p w14:paraId="55049F01" w14:textId="77777777" w:rsidR="00F90DC9" w:rsidRPr="00A96A10" w:rsidRDefault="00F90DC9" w:rsidP="00506308">
            <w:pPr>
              <w:spacing w:after="0" w:line="240" w:lineRule="auto"/>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Pyetësori IHD T 4.3</w:t>
            </w:r>
          </w:p>
          <w:p w14:paraId="2D54DF3A" w14:textId="7D90AEAA" w:rsidR="00F90DC9" w:rsidRPr="00A96A10" w:rsidRDefault="00F90DC9" w:rsidP="00506308">
            <w:pPr>
              <w:spacing w:after="0" w:line="240" w:lineRule="auto"/>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Pyetësori IHD T 5.1</w:t>
            </w:r>
            <w:r w:rsidR="00076527" w:rsidRPr="00A96A10">
              <w:rPr>
                <w:rFonts w:ascii="Times New Roman" w:eastAsia="Times New Roman" w:hAnsi="Times New Roman" w:cs="Times New Roman"/>
                <w:noProof/>
                <w:color w:val="000000"/>
                <w:lang w:eastAsia="sq-AL"/>
              </w:rPr>
              <w:t>dhe T 5.2</w:t>
            </w:r>
          </w:p>
          <w:p w14:paraId="3559F71C"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p>
        </w:tc>
      </w:tr>
      <w:tr w:rsidR="00F90DC9" w:rsidRPr="00A96A10" w14:paraId="029DC2EF" w14:textId="77777777" w:rsidTr="00F2159C">
        <w:trPr>
          <w:trHeight w:val="567"/>
        </w:trPr>
        <w:tc>
          <w:tcPr>
            <w:tcW w:w="10427" w:type="dxa"/>
            <w:gridSpan w:val="2"/>
            <w:shd w:val="clear" w:color="auto" w:fill="C5E0B3" w:themeFill="accent6" w:themeFillTint="66"/>
            <w:noWrap/>
            <w:vAlign w:val="center"/>
            <w:hideMark/>
          </w:tcPr>
          <w:p w14:paraId="0ED0FD9A"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6" w:name="_Toc228888972"/>
            <w:r w:rsidRPr="00A96A10">
              <w:rPr>
                <w:rFonts w:ascii="Times New Roman" w:eastAsia="Times New Roman" w:hAnsi="Times New Roman" w:cs="Times New Roman"/>
                <w:noProof/>
                <w:color w:val="000000"/>
                <w:sz w:val="22"/>
                <w:szCs w:val="22"/>
                <w:lang w:val="sq-AL" w:eastAsia="sq-AL"/>
              </w:rPr>
              <w:t>7</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Konfidencialiteti</w:t>
            </w:r>
            <w:bookmarkEnd w:id="6"/>
          </w:p>
        </w:tc>
      </w:tr>
      <w:tr w:rsidR="00F90DC9" w:rsidRPr="00A96A10" w14:paraId="3CBB86DF" w14:textId="77777777" w:rsidTr="00F90DC9">
        <w:trPr>
          <w:trHeight w:val="567"/>
        </w:trPr>
        <w:tc>
          <w:tcPr>
            <w:tcW w:w="2457" w:type="dxa"/>
            <w:shd w:val="clear" w:color="auto" w:fill="FFFFCC"/>
            <w:noWrap/>
            <w:vAlign w:val="center"/>
            <w:hideMark/>
          </w:tcPr>
          <w:p w14:paraId="794BF0F6"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7.1. Konfidencialiteti - politika </w:t>
            </w:r>
          </w:p>
        </w:tc>
        <w:tc>
          <w:tcPr>
            <w:tcW w:w="7970" w:type="dxa"/>
            <w:vAlign w:val="center"/>
          </w:tcPr>
          <w:p w14:paraId="7167F8AA" w14:textId="67781ECE" w:rsidR="00EC0B8B" w:rsidRPr="00A96A10" w:rsidRDefault="00076527"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Neni 58 (1) i Ligjit të Bankës së Shqipërisë ndalon administratorët dhe punonjësit nga marrja dhe transferimi tek palë të treta i çdo informacioni të marrë gjatë kryerjes së detyrave të tyre rutinë. Ligji për Statistikat Zyrtare garanton konfidencialitetin në nenin 31. Vendimet 2012-42 dhe 2017-19 të Këshillit Mbikëqyrës si dhe "Kodi Etik i Bankës së Shqipërisë" përmbajnë gjithashtu dispozita mbi konfidencialitetin.</w:t>
            </w:r>
          </w:p>
        </w:tc>
      </w:tr>
      <w:tr w:rsidR="00F90DC9" w:rsidRPr="00A96A10" w14:paraId="6BC95149" w14:textId="77777777" w:rsidTr="00F90DC9">
        <w:trPr>
          <w:trHeight w:val="567"/>
        </w:trPr>
        <w:tc>
          <w:tcPr>
            <w:tcW w:w="2457" w:type="dxa"/>
            <w:shd w:val="clear" w:color="auto" w:fill="FFFFCC"/>
            <w:noWrap/>
            <w:vAlign w:val="center"/>
            <w:hideMark/>
          </w:tcPr>
          <w:p w14:paraId="0131EF42"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7.2. Konfidencialiteti - trajtimi i të dhënave</w:t>
            </w:r>
          </w:p>
        </w:tc>
        <w:tc>
          <w:tcPr>
            <w:tcW w:w="7970" w:type="dxa"/>
            <w:vAlign w:val="center"/>
          </w:tcPr>
          <w:p w14:paraId="73B46D12" w14:textId="67EEAEF7" w:rsidR="00E9151D" w:rsidRPr="00A96A10" w:rsidRDefault="00076527"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Në përputhje me Ligjin Nr. 17 "Për Statistikat Zyrtare", 2018, trajtimi i të dhënave në lidhje me konfidencialitetin përcaktohet nga procedura legjislative.</w:t>
            </w:r>
          </w:p>
        </w:tc>
      </w:tr>
      <w:tr w:rsidR="00F90DC9" w:rsidRPr="00A96A10" w14:paraId="2EA672FE" w14:textId="77777777" w:rsidTr="00F2159C">
        <w:trPr>
          <w:trHeight w:val="567"/>
        </w:trPr>
        <w:tc>
          <w:tcPr>
            <w:tcW w:w="10427" w:type="dxa"/>
            <w:gridSpan w:val="2"/>
            <w:shd w:val="clear" w:color="auto" w:fill="C5E0B3" w:themeFill="accent6" w:themeFillTint="66"/>
            <w:noWrap/>
            <w:vAlign w:val="center"/>
            <w:hideMark/>
          </w:tcPr>
          <w:p w14:paraId="25404BBE"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7" w:name="_Toc228888973"/>
            <w:r w:rsidRPr="00A96A10">
              <w:rPr>
                <w:rFonts w:ascii="Times New Roman" w:eastAsia="Times New Roman" w:hAnsi="Times New Roman" w:cs="Times New Roman"/>
                <w:noProof/>
                <w:color w:val="000000"/>
                <w:sz w:val="22"/>
                <w:szCs w:val="22"/>
                <w:lang w:val="sq-AL" w:eastAsia="sq-AL"/>
              </w:rPr>
              <w:t>8</w:t>
            </w:r>
            <w:r w:rsidRPr="00A96A10">
              <w:rPr>
                <w:rFonts w:ascii="Times New Roman" w:eastAsia="Times New Roman" w:hAnsi="Times New Roman" w:cs="Times New Roman"/>
                <w:b w:val="0"/>
                <w:bCs w:val="0"/>
                <w:noProof/>
                <w:color w:val="000000"/>
                <w:sz w:val="22"/>
                <w:szCs w:val="22"/>
                <w:lang w:val="sq-AL" w:eastAsia="sq-AL"/>
              </w:rPr>
              <w:t>.</w:t>
            </w:r>
            <w:r w:rsidRPr="00A96A10">
              <w:rPr>
                <w:rFonts w:ascii="Times New Roman" w:eastAsia="Times New Roman" w:hAnsi="Times New Roman" w:cs="Times New Roman"/>
                <w:noProof/>
                <w:color w:val="000000" w:themeColor="text1"/>
                <w:sz w:val="22"/>
                <w:szCs w:val="22"/>
                <w:lang w:val="sq-AL" w:eastAsia="sq-AL"/>
              </w:rPr>
              <w:t xml:space="preserve"> Politika e botimit</w:t>
            </w:r>
            <w:bookmarkEnd w:id="7"/>
          </w:p>
        </w:tc>
      </w:tr>
      <w:tr w:rsidR="00F90DC9" w:rsidRPr="00A96A10" w14:paraId="27B8A961" w14:textId="77777777" w:rsidTr="00F90DC9">
        <w:trPr>
          <w:trHeight w:val="567"/>
        </w:trPr>
        <w:tc>
          <w:tcPr>
            <w:tcW w:w="2457" w:type="dxa"/>
            <w:shd w:val="clear" w:color="auto" w:fill="FFFFCC"/>
            <w:noWrap/>
            <w:vAlign w:val="center"/>
            <w:hideMark/>
          </w:tcPr>
          <w:p w14:paraId="4296523D"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8.1. Kalendari i publikimeve</w:t>
            </w:r>
          </w:p>
        </w:tc>
        <w:tc>
          <w:tcPr>
            <w:tcW w:w="7970" w:type="dxa"/>
            <w:vAlign w:val="center"/>
          </w:tcPr>
          <w:p w14:paraId="1BDDD171" w14:textId="0816049F" w:rsidR="00F90DC9" w:rsidRPr="00A96A10" w:rsidRDefault="00076527"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T</w:t>
            </w:r>
            <w:r w:rsidR="00F90DC9" w:rsidRPr="00A96A10">
              <w:rPr>
                <w:rFonts w:ascii="Times New Roman" w:eastAsia="Times New Roman" w:hAnsi="Times New Roman" w:cs="Times New Roman"/>
                <w:noProof/>
                <w:color w:val="000000"/>
                <w:lang w:eastAsia="sq-AL"/>
              </w:rPr>
              <w:t>ë dhëna</w:t>
            </w:r>
            <w:r w:rsidRPr="00A96A10">
              <w:rPr>
                <w:rFonts w:ascii="Times New Roman" w:eastAsia="Times New Roman" w:hAnsi="Times New Roman" w:cs="Times New Roman"/>
                <w:noProof/>
                <w:color w:val="000000"/>
                <w:lang w:eastAsia="sq-AL"/>
              </w:rPr>
              <w:t>t</w:t>
            </w:r>
            <w:r w:rsidR="00F90DC9" w:rsidRPr="00A96A10">
              <w:rPr>
                <w:rFonts w:ascii="Times New Roman" w:eastAsia="Times New Roman" w:hAnsi="Times New Roman" w:cs="Times New Roman"/>
                <w:noProof/>
                <w:color w:val="000000"/>
                <w:lang w:eastAsia="sq-AL"/>
              </w:rPr>
              <w:t xml:space="preserve"> tremujore të </w:t>
            </w:r>
            <w:r w:rsidRPr="00A96A10">
              <w:rPr>
                <w:rFonts w:ascii="Times New Roman" w:eastAsia="Times New Roman" w:hAnsi="Times New Roman" w:cs="Times New Roman"/>
                <w:noProof/>
                <w:color w:val="000000"/>
                <w:lang w:eastAsia="sq-AL"/>
              </w:rPr>
              <w:t>investimeve të huaja direkte</w:t>
            </w:r>
            <w:r w:rsidR="00F90DC9" w:rsidRPr="00A96A10">
              <w:rPr>
                <w:rFonts w:ascii="Times New Roman" w:eastAsia="Times New Roman" w:hAnsi="Times New Roman" w:cs="Times New Roman"/>
                <w:noProof/>
                <w:color w:val="000000"/>
                <w:lang w:eastAsia="sq-AL"/>
              </w:rPr>
              <w:t xml:space="preserve"> (fluks dhe </w:t>
            </w:r>
            <w:r w:rsidRPr="00A96A10">
              <w:rPr>
                <w:rFonts w:ascii="Times New Roman" w:eastAsia="Times New Roman" w:hAnsi="Times New Roman" w:cs="Times New Roman"/>
                <w:noProof/>
                <w:color w:val="000000"/>
                <w:lang w:eastAsia="sq-AL"/>
              </w:rPr>
              <w:t>stok s</w:t>
            </w:r>
            <w:r w:rsidR="00F90DC9" w:rsidRPr="00A96A10">
              <w:rPr>
                <w:rFonts w:ascii="Times New Roman" w:eastAsia="Times New Roman" w:hAnsi="Times New Roman" w:cs="Times New Roman"/>
                <w:noProof/>
                <w:color w:val="000000"/>
                <w:lang w:eastAsia="sq-AL"/>
              </w:rPr>
              <w:t xml:space="preserve">ipas </w:t>
            </w:r>
            <w:r w:rsidRPr="00A96A10">
              <w:rPr>
                <w:rFonts w:ascii="Times New Roman" w:eastAsia="Times New Roman" w:hAnsi="Times New Roman" w:cs="Times New Roman"/>
                <w:noProof/>
                <w:color w:val="000000"/>
                <w:lang w:eastAsia="sq-AL"/>
              </w:rPr>
              <w:t>shtetit të origjinës</w:t>
            </w:r>
            <w:r w:rsidR="00F90DC9" w:rsidRPr="00A96A10">
              <w:rPr>
                <w:rFonts w:ascii="Times New Roman" w:eastAsia="Times New Roman" w:hAnsi="Times New Roman" w:cs="Times New Roman"/>
                <w:noProof/>
                <w:color w:val="000000"/>
                <w:lang w:eastAsia="sq-AL"/>
              </w:rPr>
              <w:t xml:space="preserve"> dhe </w:t>
            </w:r>
            <w:r w:rsidRPr="00A96A10">
              <w:rPr>
                <w:rFonts w:ascii="Times New Roman" w:eastAsia="Times New Roman" w:hAnsi="Times New Roman" w:cs="Times New Roman"/>
                <w:noProof/>
                <w:color w:val="000000"/>
                <w:lang w:eastAsia="sq-AL"/>
              </w:rPr>
              <w:t>aktivtitetit ekonomik</w:t>
            </w:r>
            <w:r w:rsidR="00F90DC9" w:rsidRPr="00A96A10">
              <w:rPr>
                <w:rFonts w:ascii="Times New Roman" w:eastAsia="Times New Roman" w:hAnsi="Times New Roman" w:cs="Times New Roman"/>
                <w:noProof/>
                <w:color w:val="000000"/>
                <w:lang w:eastAsia="sq-AL"/>
              </w:rPr>
              <w:t xml:space="preserve"> NACE) publikohen brenda t+85 ditë pas periudhës së referencës. </w:t>
            </w:r>
            <w:r w:rsidRPr="00A96A10">
              <w:rPr>
                <w:rFonts w:ascii="Times New Roman" w:eastAsia="Arial" w:hAnsi="Times New Roman" w:cs="Times New Roman"/>
              </w:rPr>
              <w:t>Të dhënat publikohen në faqen e internetit të BSH-së sipas kalendarit të publikimit.</w:t>
            </w:r>
          </w:p>
        </w:tc>
      </w:tr>
      <w:tr w:rsidR="00F90DC9" w:rsidRPr="00A96A10" w14:paraId="5F069757" w14:textId="77777777" w:rsidTr="00F90DC9">
        <w:trPr>
          <w:trHeight w:val="567"/>
        </w:trPr>
        <w:tc>
          <w:tcPr>
            <w:tcW w:w="2457" w:type="dxa"/>
            <w:shd w:val="clear" w:color="auto" w:fill="FFFFCC"/>
            <w:noWrap/>
            <w:vAlign w:val="center"/>
            <w:hideMark/>
          </w:tcPr>
          <w:p w14:paraId="7246B318"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8.2. Aksesi në kalendarin e publikimeve</w:t>
            </w:r>
          </w:p>
        </w:tc>
        <w:tc>
          <w:tcPr>
            <w:tcW w:w="7970" w:type="dxa"/>
            <w:vAlign w:val="center"/>
          </w:tcPr>
          <w:p w14:paraId="68EA9D50" w14:textId="77777777" w:rsidR="00076527" w:rsidRPr="00A96A10" w:rsidRDefault="00076527" w:rsidP="00506308">
            <w:pPr>
              <w:spacing w:line="240" w:lineRule="auto"/>
              <w:jc w:val="both"/>
              <w:rPr>
                <w:rFonts w:ascii="Times New Roman" w:eastAsia="Arial" w:hAnsi="Times New Roman" w:cs="Times New Roman"/>
              </w:rPr>
            </w:pPr>
            <w:r w:rsidRPr="00A96A10">
              <w:rPr>
                <w:rFonts w:ascii="Times New Roman" w:eastAsia="Arial" w:hAnsi="Times New Roman" w:cs="Times New Roman"/>
              </w:rPr>
              <w:t>Kalendari i publikimit është i disponueshëm përmes linkut në vijim:</w:t>
            </w:r>
          </w:p>
          <w:p w14:paraId="1D519D27" w14:textId="4800FCAF" w:rsidR="00076527" w:rsidRPr="00A96A10" w:rsidRDefault="00076527" w:rsidP="00506308">
            <w:pPr>
              <w:spacing w:line="240" w:lineRule="auto"/>
              <w:jc w:val="both"/>
              <w:rPr>
                <w:rFonts w:ascii="Times New Roman" w:hAnsi="Times New Roman" w:cs="Times New Roman"/>
                <w:noProof/>
                <w:color w:val="000000"/>
                <w:lang w:val="sq-AL" w:eastAsia="sq-AL"/>
              </w:rPr>
            </w:pPr>
            <w:hyperlink r:id="rId13" w:history="1">
              <w:r w:rsidRPr="00A96A10">
                <w:rPr>
                  <w:rStyle w:val="Hyperlink"/>
                  <w:rFonts w:ascii="Times New Roman" w:hAnsi="Times New Roman" w:cs="Times New Roman"/>
                  <w:noProof/>
                  <w:lang w:val="sq-AL" w:eastAsia="sq-AL"/>
                </w:rPr>
                <w:t>https://www.bankofalbania.org/Statistikat/Kalendari_i_statistikave_18667/</w:t>
              </w:r>
            </w:hyperlink>
          </w:p>
        </w:tc>
      </w:tr>
      <w:tr w:rsidR="00F90DC9" w:rsidRPr="00A96A10" w14:paraId="0C295220" w14:textId="77777777" w:rsidTr="00F90DC9">
        <w:trPr>
          <w:trHeight w:val="567"/>
        </w:trPr>
        <w:tc>
          <w:tcPr>
            <w:tcW w:w="2457" w:type="dxa"/>
            <w:shd w:val="clear" w:color="auto" w:fill="FFFFCC"/>
            <w:noWrap/>
            <w:vAlign w:val="center"/>
            <w:hideMark/>
          </w:tcPr>
          <w:p w14:paraId="1AE8CAF6"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lastRenderedPageBreak/>
              <w:t>8.3. Aksesi i përdoruesve</w:t>
            </w:r>
          </w:p>
        </w:tc>
        <w:tc>
          <w:tcPr>
            <w:tcW w:w="7970" w:type="dxa"/>
            <w:vAlign w:val="center"/>
          </w:tcPr>
          <w:p w14:paraId="6FBEF77C" w14:textId="2F5262FF" w:rsidR="00F90DC9" w:rsidRPr="00A96A10" w:rsidRDefault="00076527"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Në përputhje me nenin 34 të Ligjit Nr. 17 "Për Statistikat Zyrtare" (2018), BSH publikon statistikat në faqen e saj të internetit duke respektuar pavarësinë profesionale dhe duke siguruar akses të barabartë për të gjithë përdoruesit. Kanalet e publikimit: faqja e internetit (të dhëna dhe analiza), kërkesat me shkrim dhe Raporti Mujor Statistikor i BSH-së.</w:t>
            </w:r>
          </w:p>
        </w:tc>
      </w:tr>
      <w:tr w:rsidR="00F90DC9" w:rsidRPr="00A96A10" w14:paraId="47242664" w14:textId="77777777" w:rsidTr="00F2159C">
        <w:trPr>
          <w:trHeight w:val="567"/>
        </w:trPr>
        <w:tc>
          <w:tcPr>
            <w:tcW w:w="10427" w:type="dxa"/>
            <w:gridSpan w:val="2"/>
            <w:shd w:val="clear" w:color="auto" w:fill="C5E0B3" w:themeFill="accent6" w:themeFillTint="66"/>
            <w:noWrap/>
            <w:vAlign w:val="center"/>
            <w:hideMark/>
          </w:tcPr>
          <w:p w14:paraId="284055B1" w14:textId="77777777" w:rsidR="00F90DC9" w:rsidRPr="00A96A10" w:rsidRDefault="00F90DC9" w:rsidP="00506308">
            <w:pPr>
              <w:pStyle w:val="Heading1"/>
              <w:jc w:val="both"/>
              <w:rPr>
                <w:rFonts w:ascii="Times New Roman" w:eastAsia="Times New Roman" w:hAnsi="Times New Roman" w:cs="Times New Roman"/>
                <w:noProof/>
                <w:color w:val="000000"/>
                <w:sz w:val="22"/>
                <w:szCs w:val="22"/>
                <w:lang w:val="sq-AL" w:eastAsia="sq-AL"/>
              </w:rPr>
            </w:pPr>
            <w:bookmarkStart w:id="8" w:name="_Toc228888974"/>
            <w:r w:rsidRPr="00A96A10">
              <w:rPr>
                <w:rFonts w:ascii="Times New Roman" w:eastAsia="Times New Roman" w:hAnsi="Times New Roman" w:cs="Times New Roman"/>
                <w:noProof/>
                <w:color w:val="000000"/>
                <w:sz w:val="22"/>
                <w:szCs w:val="22"/>
                <w:lang w:val="sq-AL" w:eastAsia="sq-AL"/>
              </w:rPr>
              <w:t>9</w:t>
            </w:r>
            <w:r w:rsidRPr="00A96A10">
              <w:rPr>
                <w:rFonts w:ascii="Times New Roman" w:eastAsia="Times New Roman" w:hAnsi="Times New Roman" w:cs="Times New Roman"/>
                <w:noProof/>
                <w:color w:val="000000" w:themeColor="text1"/>
                <w:sz w:val="22"/>
                <w:szCs w:val="22"/>
                <w:lang w:val="sq-AL" w:eastAsia="sq-AL"/>
              </w:rPr>
              <w:t>. Shpeshtësia e shpërndarjes</w:t>
            </w:r>
            <w:bookmarkEnd w:id="8"/>
          </w:p>
        </w:tc>
      </w:tr>
      <w:tr w:rsidR="00F90DC9" w:rsidRPr="00A96A10" w14:paraId="5406C8EA" w14:textId="77777777" w:rsidTr="00F90DC9">
        <w:trPr>
          <w:trHeight w:val="567"/>
        </w:trPr>
        <w:tc>
          <w:tcPr>
            <w:tcW w:w="2457" w:type="dxa"/>
            <w:shd w:val="clear" w:color="auto" w:fill="FFFFCC"/>
            <w:noWrap/>
            <w:vAlign w:val="center"/>
          </w:tcPr>
          <w:p w14:paraId="50E1A1EB" w14:textId="77777777" w:rsidR="00F90DC9" w:rsidRPr="00A96A10" w:rsidRDefault="00F90DC9" w:rsidP="00506308">
            <w:pPr>
              <w:jc w:val="both"/>
              <w:rPr>
                <w:rFonts w:ascii="Times New Roman" w:hAnsi="Times New Roman" w:cs="Times New Roman"/>
                <w:b/>
                <w:noProof/>
                <w:lang w:val="sq-AL" w:eastAsia="sq-AL"/>
              </w:rPr>
            </w:pPr>
            <w:r w:rsidRPr="00A96A10">
              <w:rPr>
                <w:rFonts w:ascii="Times New Roman" w:hAnsi="Times New Roman" w:cs="Times New Roman"/>
                <w:noProof/>
                <w:lang w:val="sq-AL" w:eastAsia="sq-AL"/>
              </w:rPr>
              <w:t>9.1 Shpeshtësia e shpërndarjes</w:t>
            </w:r>
          </w:p>
        </w:tc>
        <w:tc>
          <w:tcPr>
            <w:tcW w:w="7970" w:type="dxa"/>
            <w:noWrap/>
            <w:vAlign w:val="center"/>
          </w:tcPr>
          <w:p w14:paraId="57C91DDC" w14:textId="4C464960" w:rsidR="00F90DC9" w:rsidRPr="00A96A10" w:rsidRDefault="00414312" w:rsidP="00506308">
            <w:pPr>
              <w:spacing w:after="60" w:line="240" w:lineRule="auto"/>
              <w:jc w:val="both"/>
              <w:rPr>
                <w:rFonts w:ascii="Times New Roman" w:hAnsi="Times New Roman" w:cs="Times New Roman"/>
              </w:rPr>
            </w:pPr>
            <w:r w:rsidRPr="00A96A10">
              <w:rPr>
                <w:rFonts w:ascii="Times New Roman" w:hAnsi="Times New Roman" w:cs="Times New Roman"/>
              </w:rPr>
              <w:t>T</w:t>
            </w:r>
            <w:r w:rsidR="00F90DC9" w:rsidRPr="00A96A10">
              <w:rPr>
                <w:rFonts w:ascii="Times New Roman" w:hAnsi="Times New Roman" w:cs="Times New Roman"/>
              </w:rPr>
              <w:t>ë dhëna</w:t>
            </w:r>
            <w:r w:rsidRPr="00A96A10">
              <w:rPr>
                <w:rFonts w:ascii="Times New Roman" w:hAnsi="Times New Roman" w:cs="Times New Roman"/>
              </w:rPr>
              <w:t>t</w:t>
            </w:r>
            <w:r w:rsidR="00F90DC9" w:rsidRPr="00A96A10">
              <w:rPr>
                <w:rFonts w:ascii="Times New Roman" w:hAnsi="Times New Roman" w:cs="Times New Roman"/>
              </w:rPr>
              <w:t xml:space="preserve"> </w:t>
            </w:r>
            <w:r w:rsidRPr="00A96A10">
              <w:rPr>
                <w:rFonts w:ascii="Times New Roman" w:hAnsi="Times New Roman" w:cs="Times New Roman"/>
              </w:rPr>
              <w:t>e</w:t>
            </w:r>
            <w:r w:rsidR="00F90DC9" w:rsidRPr="00A96A10">
              <w:rPr>
                <w:rFonts w:ascii="Times New Roman" w:hAnsi="Times New Roman" w:cs="Times New Roman"/>
              </w:rPr>
              <w:t xml:space="preserve"> IHD-ve </w:t>
            </w:r>
            <w:r w:rsidRPr="00A96A10">
              <w:rPr>
                <w:rFonts w:ascii="Times New Roman" w:eastAsia="Arial" w:hAnsi="Times New Roman" w:cs="Times New Roman"/>
              </w:rPr>
              <w:t>publikohen me periodicitet tremujor, duke filluar nga T1/2014.</w:t>
            </w:r>
          </w:p>
          <w:p w14:paraId="7B0D9B2B" w14:textId="1EA69B0C" w:rsidR="00F90DC9" w:rsidRPr="00A96A10" w:rsidRDefault="00414312" w:rsidP="00506308">
            <w:pPr>
              <w:spacing w:after="0" w:line="240" w:lineRule="auto"/>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Të dhënat vjetore të IHD-ve janë për periudhën 2003–2013.</w:t>
            </w:r>
          </w:p>
        </w:tc>
      </w:tr>
      <w:tr w:rsidR="00F90DC9" w:rsidRPr="00A96A10" w14:paraId="4DA2459B" w14:textId="77777777" w:rsidTr="00F2159C">
        <w:trPr>
          <w:trHeight w:val="567"/>
        </w:trPr>
        <w:tc>
          <w:tcPr>
            <w:tcW w:w="10427" w:type="dxa"/>
            <w:gridSpan w:val="2"/>
            <w:shd w:val="clear" w:color="auto" w:fill="C5E0B3" w:themeFill="accent6" w:themeFillTint="66"/>
            <w:noWrap/>
            <w:vAlign w:val="center"/>
            <w:hideMark/>
          </w:tcPr>
          <w:p w14:paraId="2356A26F" w14:textId="77777777" w:rsidR="00F90DC9" w:rsidRPr="00A96A10" w:rsidRDefault="00F90DC9" w:rsidP="00506308">
            <w:pPr>
              <w:pStyle w:val="Heading1"/>
              <w:spacing w:before="0"/>
              <w:jc w:val="both"/>
              <w:rPr>
                <w:rFonts w:ascii="Times New Roman" w:eastAsia="Times New Roman" w:hAnsi="Times New Roman" w:cs="Times New Roman"/>
                <w:b w:val="0"/>
                <w:bCs w:val="0"/>
                <w:noProof/>
                <w:sz w:val="22"/>
                <w:szCs w:val="22"/>
                <w:lang w:val="sq-AL" w:eastAsia="sq-AL"/>
              </w:rPr>
            </w:pPr>
            <w:bookmarkStart w:id="9" w:name="_Toc228888975"/>
            <w:r w:rsidRPr="00A96A10">
              <w:rPr>
                <w:rFonts w:ascii="Times New Roman" w:eastAsia="Times New Roman" w:hAnsi="Times New Roman" w:cs="Times New Roman"/>
                <w:noProof/>
                <w:color w:val="000000"/>
                <w:sz w:val="22"/>
                <w:szCs w:val="22"/>
                <w:lang w:val="sq-AL" w:eastAsia="sq-AL"/>
              </w:rPr>
              <w:t>10</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Aksesi në të dhëna dhe qartësia</w:t>
            </w:r>
            <w:bookmarkEnd w:id="9"/>
          </w:p>
        </w:tc>
      </w:tr>
      <w:tr w:rsidR="00F90DC9" w:rsidRPr="00A96A10" w14:paraId="51667D9C" w14:textId="77777777" w:rsidTr="00F90DC9">
        <w:trPr>
          <w:trHeight w:val="567"/>
        </w:trPr>
        <w:tc>
          <w:tcPr>
            <w:tcW w:w="2457" w:type="dxa"/>
            <w:shd w:val="clear" w:color="auto" w:fill="FFFFCC"/>
            <w:noWrap/>
            <w:vAlign w:val="center"/>
            <w:hideMark/>
          </w:tcPr>
          <w:p w14:paraId="65551782"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10.1. Njoftim për media</w:t>
            </w:r>
          </w:p>
        </w:tc>
        <w:tc>
          <w:tcPr>
            <w:tcW w:w="7970" w:type="dxa"/>
            <w:vAlign w:val="center"/>
          </w:tcPr>
          <w:p w14:paraId="0C73CC04" w14:textId="698D1670"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Nuk </w:t>
            </w:r>
            <w:r w:rsidR="00414312" w:rsidRPr="00A96A10">
              <w:rPr>
                <w:rFonts w:ascii="Times New Roman" w:eastAsia="Times New Roman" w:hAnsi="Times New Roman" w:cs="Times New Roman"/>
                <w:noProof/>
                <w:color w:val="000000"/>
                <w:lang w:eastAsia="sq-AL"/>
              </w:rPr>
              <w:t>aplikohet.</w:t>
            </w:r>
          </w:p>
        </w:tc>
      </w:tr>
      <w:tr w:rsidR="00F90DC9" w:rsidRPr="00A96A10" w14:paraId="2197B037" w14:textId="77777777" w:rsidTr="00F90DC9">
        <w:trPr>
          <w:trHeight w:val="567"/>
        </w:trPr>
        <w:tc>
          <w:tcPr>
            <w:tcW w:w="2457" w:type="dxa"/>
            <w:shd w:val="clear" w:color="auto" w:fill="FFFFCC"/>
            <w:noWrap/>
            <w:vAlign w:val="center"/>
            <w:hideMark/>
          </w:tcPr>
          <w:p w14:paraId="63EDA070"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10.2. Publikime</w:t>
            </w:r>
          </w:p>
        </w:tc>
        <w:tc>
          <w:tcPr>
            <w:tcW w:w="7970" w:type="dxa"/>
            <w:vAlign w:val="center"/>
          </w:tcPr>
          <w:p w14:paraId="2E30CF91" w14:textId="6807DBF8" w:rsidR="00F90DC9" w:rsidRPr="00A96A10" w:rsidRDefault="00414312"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Formati i publikimit të statistikave në faqen e internetit të BSH-së kushtëzohet nga struktura e aplikacioneve informatike të publikimit. Të dhënat ngarkohen dhe mund të aksesohen nëpërmjet një baze të dhënash dinamike dy-dimensionale ku përdoruesi i jashtëm mund të zgjedhë periodicitetin, kohën dhe komponentët e BOP-it. Baza e të dhënave on-line është në formatin HTML dhe mund të kopjohet lehtësisht në Excel dhe CSV.</w:t>
            </w:r>
          </w:p>
        </w:tc>
      </w:tr>
      <w:tr w:rsidR="00F90DC9" w:rsidRPr="00A96A10" w14:paraId="3219D21E" w14:textId="77777777" w:rsidTr="00F90DC9">
        <w:trPr>
          <w:trHeight w:val="567"/>
        </w:trPr>
        <w:tc>
          <w:tcPr>
            <w:tcW w:w="2457" w:type="dxa"/>
            <w:shd w:val="clear" w:color="auto" w:fill="FFFFCC"/>
            <w:noWrap/>
            <w:vAlign w:val="center"/>
            <w:hideMark/>
          </w:tcPr>
          <w:p w14:paraId="534FECD8"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10.3. Baza e të dhënave on-line</w:t>
            </w:r>
          </w:p>
        </w:tc>
        <w:tc>
          <w:tcPr>
            <w:tcW w:w="7970" w:type="dxa"/>
            <w:vAlign w:val="center"/>
          </w:tcPr>
          <w:p w14:paraId="503F3CA6" w14:textId="1D199184" w:rsidR="00F90DC9" w:rsidRPr="00A96A10" w:rsidRDefault="00414312" w:rsidP="00506308">
            <w:pPr>
              <w:spacing w:after="0"/>
              <w:jc w:val="both"/>
              <w:rPr>
                <w:rFonts w:ascii="Times New Roman" w:eastAsia="Times New Roman" w:hAnsi="Times New Roman" w:cs="Times New Roman"/>
                <w:noProof/>
                <w:color w:val="000000"/>
                <w:lang w:val="sq-AL" w:eastAsia="sq-AL"/>
              </w:rPr>
            </w:pPr>
            <w:hyperlink r:id="rId14" w:history="1">
              <w:r w:rsidRPr="00A96A10">
                <w:rPr>
                  <w:rStyle w:val="Hyperlink"/>
                  <w:rFonts w:ascii="Times New Roman" w:eastAsia="Times New Roman" w:hAnsi="Times New Roman" w:cs="Times New Roman"/>
                  <w:noProof/>
                  <w:lang w:val="sq-AL" w:eastAsia="sq-AL"/>
                </w:rPr>
                <w:t>https://www.bankofalbania.org/Statistikat/Statistikat_e_Sektorit_te_Jashtem/Investimet_e_huaja_direkte/</w:t>
              </w:r>
            </w:hyperlink>
          </w:p>
          <w:p w14:paraId="3C3E0385" w14:textId="6FF7D3CF" w:rsidR="00414312" w:rsidRPr="00A96A10" w:rsidRDefault="00414312" w:rsidP="00506308">
            <w:pPr>
              <w:spacing w:after="0"/>
              <w:jc w:val="both"/>
              <w:rPr>
                <w:rFonts w:ascii="Times New Roman" w:eastAsia="Times New Roman" w:hAnsi="Times New Roman" w:cs="Times New Roman"/>
                <w:noProof/>
                <w:color w:val="000000"/>
                <w:lang w:val="sq-AL" w:eastAsia="sq-AL"/>
              </w:rPr>
            </w:pPr>
          </w:p>
        </w:tc>
      </w:tr>
      <w:tr w:rsidR="00F90DC9" w:rsidRPr="00A96A10" w14:paraId="171F541A" w14:textId="77777777" w:rsidTr="00F90DC9">
        <w:trPr>
          <w:trHeight w:val="567"/>
        </w:trPr>
        <w:tc>
          <w:tcPr>
            <w:tcW w:w="2457" w:type="dxa"/>
            <w:shd w:val="clear" w:color="auto" w:fill="FFFFCC"/>
            <w:noWrap/>
            <w:vAlign w:val="center"/>
            <w:hideMark/>
          </w:tcPr>
          <w:p w14:paraId="239EA9B5"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 xml:space="preserve">10.4. Aksesi në të dhënat mikro </w:t>
            </w:r>
          </w:p>
        </w:tc>
        <w:tc>
          <w:tcPr>
            <w:tcW w:w="7970" w:type="dxa"/>
            <w:noWrap/>
            <w:vAlign w:val="center"/>
            <w:hideMark/>
          </w:tcPr>
          <w:p w14:paraId="18E1524F" w14:textId="6F182CA3"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Nuk </w:t>
            </w:r>
            <w:r w:rsidR="00834598" w:rsidRPr="00A96A10">
              <w:rPr>
                <w:rFonts w:ascii="Times New Roman" w:eastAsia="Times New Roman" w:hAnsi="Times New Roman" w:cs="Times New Roman"/>
                <w:noProof/>
                <w:color w:val="000000"/>
                <w:lang w:eastAsia="sq-AL"/>
              </w:rPr>
              <w:t>aplikohet.</w:t>
            </w:r>
          </w:p>
        </w:tc>
      </w:tr>
      <w:tr w:rsidR="00F90DC9" w:rsidRPr="00A96A10" w14:paraId="3D57B847" w14:textId="77777777" w:rsidTr="00F90DC9">
        <w:trPr>
          <w:trHeight w:val="567"/>
        </w:trPr>
        <w:tc>
          <w:tcPr>
            <w:tcW w:w="2457" w:type="dxa"/>
            <w:shd w:val="clear" w:color="auto" w:fill="FFFFCC"/>
            <w:noWrap/>
            <w:vAlign w:val="center"/>
            <w:hideMark/>
          </w:tcPr>
          <w:p w14:paraId="27EA3427"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10.5. Të tjera</w:t>
            </w:r>
          </w:p>
        </w:tc>
        <w:tc>
          <w:tcPr>
            <w:tcW w:w="7970" w:type="dxa"/>
            <w:noWrap/>
            <w:vAlign w:val="center"/>
            <w:hideMark/>
          </w:tcPr>
          <w:p w14:paraId="5EDF7350" w14:textId="138F3CBD"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Përdoruesit mund të paraqesin kërkesa specifike për të dhëna statistikore nëpërmjet adresës: statistics@bankofalbania.org</w:t>
            </w:r>
          </w:p>
        </w:tc>
      </w:tr>
      <w:tr w:rsidR="00F90DC9" w:rsidRPr="00A96A10" w14:paraId="7E93107B" w14:textId="77777777" w:rsidTr="00F90DC9">
        <w:trPr>
          <w:trHeight w:val="567"/>
        </w:trPr>
        <w:tc>
          <w:tcPr>
            <w:tcW w:w="2457" w:type="dxa"/>
            <w:shd w:val="clear" w:color="auto" w:fill="FFFFCC"/>
            <w:noWrap/>
            <w:vAlign w:val="center"/>
            <w:hideMark/>
          </w:tcPr>
          <w:p w14:paraId="69454B11"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10.6. Dokumentimi i metodologjisë </w:t>
            </w:r>
          </w:p>
        </w:tc>
        <w:tc>
          <w:tcPr>
            <w:tcW w:w="7970" w:type="dxa"/>
            <w:vAlign w:val="center"/>
          </w:tcPr>
          <w:p w14:paraId="05DA13F8" w14:textId="77777777" w:rsidR="00834598" w:rsidRPr="00A96A10" w:rsidRDefault="00834598" w:rsidP="00506308">
            <w:pPr>
              <w:jc w:val="both"/>
              <w:rPr>
                <w:rFonts w:ascii="Times New Roman" w:eastAsia="Arial" w:hAnsi="Times New Roman" w:cs="Times New Roman"/>
              </w:rPr>
            </w:pPr>
            <w:r w:rsidRPr="00A96A10">
              <w:rPr>
                <w:rFonts w:ascii="Times New Roman" w:eastAsia="Arial" w:hAnsi="Times New Roman" w:cs="Times New Roman"/>
              </w:rPr>
              <w:t>Metodologjia gjendet në faqen e BSH-së:</w:t>
            </w:r>
          </w:p>
          <w:p w14:paraId="225DABC3" w14:textId="782A3256" w:rsidR="00834598" w:rsidRPr="00A96A10" w:rsidRDefault="00834598" w:rsidP="00506308">
            <w:pPr>
              <w:jc w:val="both"/>
              <w:rPr>
                <w:rFonts w:ascii="Times New Roman" w:eastAsia="Times New Roman" w:hAnsi="Times New Roman" w:cs="Times New Roman"/>
                <w:noProof/>
                <w:color w:val="000000"/>
                <w:lang w:val="sq-AL" w:eastAsia="sq-AL"/>
              </w:rPr>
            </w:pPr>
            <w:hyperlink r:id="rId15" w:history="1">
              <w:r w:rsidRPr="00A96A10">
                <w:rPr>
                  <w:rStyle w:val="Hyperlink"/>
                  <w:rFonts w:ascii="Times New Roman" w:eastAsia="Times New Roman" w:hAnsi="Times New Roman" w:cs="Times New Roman"/>
                  <w:noProof/>
                  <w:lang w:val="sq-AL" w:eastAsia="sq-AL"/>
                </w:rPr>
                <w:t>https://www.bankofalbania.org/Statistikat/Statistikat_e_Sektorit_te_Jashtem/Investimet_e_huaja_direkte/</w:t>
              </w:r>
            </w:hyperlink>
          </w:p>
        </w:tc>
      </w:tr>
      <w:tr w:rsidR="00F90DC9" w:rsidRPr="00A96A10" w14:paraId="333B3A1F" w14:textId="77777777" w:rsidTr="00F90DC9">
        <w:trPr>
          <w:trHeight w:val="567"/>
        </w:trPr>
        <w:tc>
          <w:tcPr>
            <w:tcW w:w="2457" w:type="dxa"/>
            <w:shd w:val="clear" w:color="auto" w:fill="FFFFCC"/>
            <w:noWrap/>
            <w:vAlign w:val="center"/>
            <w:hideMark/>
          </w:tcPr>
          <w:p w14:paraId="6AEC4B2C"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10.7. Dokumentimi i cilësisë</w:t>
            </w:r>
          </w:p>
        </w:tc>
        <w:tc>
          <w:tcPr>
            <w:tcW w:w="7970" w:type="dxa"/>
            <w:noWrap/>
            <w:vAlign w:val="center"/>
            <w:hideMark/>
          </w:tcPr>
          <w:p w14:paraId="060CC702" w14:textId="07491BB9"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Sektori dokumenton të gjitha proceset dhe procedurat e përdorura për të </w:t>
            </w:r>
            <w:r w:rsidR="00834598" w:rsidRPr="00A96A10">
              <w:rPr>
                <w:rFonts w:ascii="Times New Roman" w:eastAsia="Times New Roman" w:hAnsi="Times New Roman" w:cs="Times New Roman"/>
                <w:noProof/>
                <w:color w:val="000000"/>
                <w:lang w:eastAsia="sq-AL"/>
              </w:rPr>
              <w:t>hartuar investimet e huaja direkte</w:t>
            </w:r>
            <w:r w:rsidRPr="00A96A10">
              <w:rPr>
                <w:rFonts w:ascii="Times New Roman" w:eastAsia="Times New Roman" w:hAnsi="Times New Roman" w:cs="Times New Roman"/>
                <w:noProof/>
                <w:color w:val="000000"/>
                <w:lang w:eastAsia="sq-AL"/>
              </w:rPr>
              <w:t xml:space="preserve"> vetëm për përdoruesit e brendshëm.</w:t>
            </w:r>
          </w:p>
        </w:tc>
      </w:tr>
      <w:tr w:rsidR="00F90DC9" w:rsidRPr="00A96A10" w14:paraId="3EFDADA2" w14:textId="77777777" w:rsidTr="00F2159C">
        <w:trPr>
          <w:trHeight w:val="567"/>
        </w:trPr>
        <w:tc>
          <w:tcPr>
            <w:tcW w:w="10427" w:type="dxa"/>
            <w:gridSpan w:val="2"/>
            <w:shd w:val="clear" w:color="auto" w:fill="C5E0B3" w:themeFill="accent6" w:themeFillTint="66"/>
            <w:noWrap/>
            <w:vAlign w:val="center"/>
            <w:hideMark/>
          </w:tcPr>
          <w:p w14:paraId="0231790E"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10" w:name="_Toc228888976"/>
            <w:r w:rsidRPr="00A96A10">
              <w:rPr>
                <w:rFonts w:ascii="Times New Roman" w:eastAsia="Times New Roman" w:hAnsi="Times New Roman" w:cs="Times New Roman"/>
                <w:noProof/>
                <w:color w:val="000000"/>
                <w:sz w:val="22"/>
                <w:szCs w:val="22"/>
                <w:lang w:val="sq-AL" w:eastAsia="sq-AL"/>
              </w:rPr>
              <w:t>11</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Manaxhimi i cilësisë</w:t>
            </w:r>
            <w:bookmarkEnd w:id="10"/>
          </w:p>
        </w:tc>
      </w:tr>
      <w:tr w:rsidR="00F90DC9" w:rsidRPr="00A96A10" w14:paraId="3031A5C6" w14:textId="77777777" w:rsidTr="00F90DC9">
        <w:trPr>
          <w:trHeight w:val="567"/>
        </w:trPr>
        <w:tc>
          <w:tcPr>
            <w:tcW w:w="2457" w:type="dxa"/>
            <w:shd w:val="clear" w:color="auto" w:fill="FFFFCC"/>
            <w:noWrap/>
            <w:vAlign w:val="center"/>
            <w:hideMark/>
          </w:tcPr>
          <w:p w14:paraId="24FAE564"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11.1. Sigurimi i cilësisë </w:t>
            </w:r>
          </w:p>
        </w:tc>
        <w:tc>
          <w:tcPr>
            <w:tcW w:w="7970" w:type="dxa"/>
            <w:vAlign w:val="center"/>
          </w:tcPr>
          <w:p w14:paraId="483EE706" w14:textId="21407512" w:rsidR="00F90DC9" w:rsidRPr="00A96A10" w:rsidRDefault="00CC28EB"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Cilësia e të dhënave ka rëndësi parësore për Bankën e Shqipërisë. Departamenti i Statistikave synon të sigurojë përputhshmërinë me standardet metodologjike ndërkombëtare si SNA 2010, kuadrin ligjor statistikor të EUROSTAT-it dhe kërkesat metodologjike të FMN-së (manuali MBP6). Detyrat e brendshme në lidhje me mbledhjen, përpunimin dhe publikimin e statistikave organizohen në mënyrë të tillë që të monitorohet nga afër cilësia.</w:t>
            </w:r>
          </w:p>
        </w:tc>
      </w:tr>
      <w:tr w:rsidR="00F90DC9" w:rsidRPr="00A96A10" w14:paraId="5F028C94" w14:textId="77777777" w:rsidTr="00F90DC9">
        <w:trPr>
          <w:trHeight w:val="567"/>
        </w:trPr>
        <w:tc>
          <w:tcPr>
            <w:tcW w:w="2457" w:type="dxa"/>
            <w:shd w:val="clear" w:color="auto" w:fill="FFFFCC"/>
            <w:noWrap/>
            <w:vAlign w:val="center"/>
            <w:hideMark/>
          </w:tcPr>
          <w:p w14:paraId="7BB1798A"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11.2. Vlerësimi i cilësisë</w:t>
            </w:r>
          </w:p>
        </w:tc>
        <w:tc>
          <w:tcPr>
            <w:tcW w:w="7970" w:type="dxa"/>
            <w:vAlign w:val="center"/>
          </w:tcPr>
          <w:p w14:paraId="62909074" w14:textId="3CBC2B9C" w:rsidR="00F90DC9" w:rsidRPr="00A96A10" w:rsidRDefault="00CC28EB" w:rsidP="00506308">
            <w:pPr>
              <w:spacing w:after="60"/>
              <w:jc w:val="both"/>
              <w:rPr>
                <w:rFonts w:ascii="Times New Roman" w:hAnsi="Times New Roman" w:cs="Times New Roman"/>
              </w:rPr>
            </w:pPr>
            <w:r w:rsidRPr="00A96A10">
              <w:rPr>
                <w:rFonts w:ascii="Times New Roman" w:eastAsia="Arial" w:hAnsi="Times New Roman" w:cs="Times New Roman"/>
              </w:rPr>
              <w:t>Drejtimi i Bankës së Shqipërisë i kushton rëndësi punës mbi statistikat dhe ndërmerr iniciativa për të përmirësuar shkëmnbimin e të dhënave ndërmjet BSH-së dhe agjencive të tjera. Të dhënat mblidhen nga burime të besueshme duke aplikuar standarde të larta metodologjike dhe duke siguruar krahasueshmëri të lartë. Departamenti i Statistikave ka procese të brendshme për identifikimin dhe zgjidhjen e problematikave në faza të ndryshme të mbledhjes, hartimit dhe publikimit.</w:t>
            </w:r>
          </w:p>
        </w:tc>
      </w:tr>
      <w:tr w:rsidR="00F90DC9" w:rsidRPr="00A96A10" w14:paraId="19A51313" w14:textId="77777777" w:rsidTr="00F2159C">
        <w:trPr>
          <w:trHeight w:val="567"/>
        </w:trPr>
        <w:tc>
          <w:tcPr>
            <w:tcW w:w="10427" w:type="dxa"/>
            <w:gridSpan w:val="2"/>
            <w:shd w:val="clear" w:color="auto" w:fill="C5E0B3" w:themeFill="accent6" w:themeFillTint="66"/>
            <w:noWrap/>
            <w:vAlign w:val="center"/>
            <w:hideMark/>
          </w:tcPr>
          <w:p w14:paraId="7FD7ECD1"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11" w:name="_Toc228888977"/>
            <w:r w:rsidRPr="00A96A10">
              <w:rPr>
                <w:rFonts w:ascii="Times New Roman" w:eastAsia="Times New Roman" w:hAnsi="Times New Roman" w:cs="Times New Roman"/>
                <w:noProof/>
                <w:color w:val="000000"/>
                <w:sz w:val="22"/>
                <w:szCs w:val="22"/>
                <w:lang w:val="sq-AL" w:eastAsia="sq-AL"/>
              </w:rPr>
              <w:lastRenderedPageBreak/>
              <w:t>12</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Rëndësia</w:t>
            </w:r>
            <w:bookmarkEnd w:id="11"/>
          </w:p>
        </w:tc>
      </w:tr>
      <w:tr w:rsidR="00F90DC9" w:rsidRPr="00A96A10" w14:paraId="42966185" w14:textId="77777777" w:rsidTr="00F90DC9">
        <w:trPr>
          <w:trHeight w:val="567"/>
        </w:trPr>
        <w:tc>
          <w:tcPr>
            <w:tcW w:w="2457" w:type="dxa"/>
            <w:shd w:val="clear" w:color="auto" w:fill="FFFFCC"/>
            <w:noWrap/>
            <w:vAlign w:val="center"/>
            <w:hideMark/>
          </w:tcPr>
          <w:p w14:paraId="6CD99132"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12.1. Nevojat e përdoruesit</w:t>
            </w:r>
          </w:p>
        </w:tc>
        <w:tc>
          <w:tcPr>
            <w:tcW w:w="7970" w:type="dxa"/>
            <w:vAlign w:val="center"/>
          </w:tcPr>
          <w:p w14:paraId="4B99F96F" w14:textId="77777777" w:rsidR="00CC28EB" w:rsidRPr="00A96A10" w:rsidRDefault="00CC28EB" w:rsidP="00506308">
            <w:pPr>
              <w:spacing w:after="0"/>
              <w:jc w:val="both"/>
              <w:rPr>
                <w:rFonts w:ascii="Times New Roman" w:eastAsia="Arial" w:hAnsi="Times New Roman" w:cs="Times New Roman"/>
              </w:rPr>
            </w:pPr>
            <w:r w:rsidRPr="00A96A10">
              <w:rPr>
                <w:rFonts w:ascii="Times New Roman" w:eastAsia="Arial" w:hAnsi="Times New Roman" w:cs="Times New Roman"/>
              </w:rPr>
              <w:t>Me disa përjashtime, grupi i të dhënave për nevojat e përdoruesve është i plotë. Shpeshtësia dhe momenti i publikimeve statistikore përputhen me shpeshtësinë dhe momentin e publikimit të analizave dhe raporteve ekonomike të prodhuara nga departamente të tjera në Bankën e Shqipërisë dhe departamentin e llogarive kombëtare në INSTAT.</w:t>
            </w:r>
          </w:p>
          <w:p w14:paraId="5931A77B" w14:textId="64690847" w:rsidR="00F90DC9" w:rsidRPr="00A96A10" w:rsidRDefault="00F90DC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Banka e Shqipërisë publikon statistikat e </w:t>
            </w:r>
            <w:r w:rsidR="00CC28EB" w:rsidRPr="00A96A10">
              <w:rPr>
                <w:rFonts w:ascii="Times New Roman" w:eastAsia="Times New Roman" w:hAnsi="Times New Roman" w:cs="Times New Roman"/>
                <w:noProof/>
                <w:color w:val="000000"/>
                <w:lang w:eastAsia="sq-AL"/>
              </w:rPr>
              <w:t>i</w:t>
            </w:r>
            <w:r w:rsidRPr="00A96A10">
              <w:rPr>
                <w:rFonts w:ascii="Times New Roman" w:eastAsia="Times New Roman" w:hAnsi="Times New Roman" w:cs="Times New Roman"/>
                <w:noProof/>
                <w:color w:val="000000"/>
                <w:lang w:eastAsia="sq-AL"/>
              </w:rPr>
              <w:t>nvestimeve të</w:t>
            </w:r>
            <w:r w:rsidR="00CC28EB" w:rsidRPr="00A96A10">
              <w:rPr>
                <w:rFonts w:ascii="Times New Roman" w:eastAsia="Times New Roman" w:hAnsi="Times New Roman" w:cs="Times New Roman"/>
                <w:noProof/>
                <w:color w:val="000000"/>
                <w:lang w:eastAsia="sq-AL"/>
              </w:rPr>
              <w:t xml:space="preserve"> huaja d</w:t>
            </w:r>
            <w:r w:rsidR="003459BF" w:rsidRPr="00A96A10">
              <w:rPr>
                <w:rFonts w:ascii="Times New Roman" w:eastAsia="Times New Roman" w:hAnsi="Times New Roman" w:cs="Times New Roman"/>
                <w:noProof/>
                <w:color w:val="000000"/>
                <w:lang w:eastAsia="sq-AL"/>
              </w:rPr>
              <w:t>irekte</w:t>
            </w:r>
            <w:r w:rsidRPr="00A96A10">
              <w:rPr>
                <w:rFonts w:ascii="Times New Roman" w:eastAsia="Times New Roman" w:hAnsi="Times New Roman" w:cs="Times New Roman"/>
                <w:noProof/>
                <w:color w:val="000000"/>
                <w:lang w:eastAsia="sq-AL"/>
              </w:rPr>
              <w:t xml:space="preserve"> sipas vendit partner </w:t>
            </w:r>
            <w:r w:rsidR="00CC28EB" w:rsidRPr="00A96A10">
              <w:rPr>
                <w:rFonts w:ascii="Times New Roman" w:eastAsia="Times New Roman" w:hAnsi="Times New Roman" w:cs="Times New Roman"/>
                <w:noProof/>
                <w:color w:val="000000"/>
                <w:lang w:eastAsia="sq-AL"/>
              </w:rPr>
              <w:t>të origjinës</w:t>
            </w:r>
            <w:r w:rsidRPr="00A96A10">
              <w:rPr>
                <w:rFonts w:ascii="Times New Roman" w:eastAsia="Times New Roman" w:hAnsi="Times New Roman" w:cs="Times New Roman"/>
                <w:noProof/>
                <w:color w:val="000000"/>
                <w:lang w:eastAsia="sq-AL"/>
              </w:rPr>
              <w:t>. Megjithatë, vendi partner</w:t>
            </w:r>
            <w:r w:rsidR="00CC28EB" w:rsidRPr="00A96A10">
              <w:rPr>
                <w:rFonts w:ascii="Times New Roman" w:eastAsia="Times New Roman" w:hAnsi="Times New Roman" w:cs="Times New Roman"/>
                <w:noProof/>
                <w:color w:val="000000"/>
                <w:lang w:eastAsia="sq-AL"/>
              </w:rPr>
              <w:t>i origjinës</w:t>
            </w:r>
            <w:r w:rsidRPr="00A96A10">
              <w:rPr>
                <w:rFonts w:ascii="Times New Roman" w:eastAsia="Times New Roman" w:hAnsi="Times New Roman" w:cs="Times New Roman"/>
                <w:noProof/>
                <w:color w:val="000000"/>
                <w:lang w:eastAsia="sq-AL"/>
              </w:rPr>
              <w:t xml:space="preserve"> nuk është gjithmonë vendi </w:t>
            </w:r>
            <w:r w:rsidR="00CC28EB" w:rsidRPr="00A96A10">
              <w:rPr>
                <w:rFonts w:ascii="Times New Roman" w:eastAsia="Times New Roman" w:hAnsi="Times New Roman" w:cs="Times New Roman"/>
                <w:noProof/>
                <w:color w:val="000000"/>
                <w:lang w:eastAsia="sq-AL"/>
              </w:rPr>
              <w:t xml:space="preserve">i fundit i </w:t>
            </w:r>
            <w:r w:rsidRPr="00A96A10">
              <w:rPr>
                <w:rFonts w:ascii="Times New Roman" w:eastAsia="Times New Roman" w:hAnsi="Times New Roman" w:cs="Times New Roman"/>
                <w:noProof/>
                <w:color w:val="000000"/>
                <w:lang w:eastAsia="sq-AL"/>
              </w:rPr>
              <w:t>investitor</w:t>
            </w:r>
            <w:r w:rsidR="00CC28EB" w:rsidRPr="00A96A10">
              <w:rPr>
                <w:rFonts w:ascii="Times New Roman" w:eastAsia="Times New Roman" w:hAnsi="Times New Roman" w:cs="Times New Roman"/>
                <w:noProof/>
                <w:color w:val="000000"/>
                <w:lang w:eastAsia="sq-AL"/>
              </w:rPr>
              <w:t>it</w:t>
            </w:r>
            <w:r w:rsidRPr="00A96A10">
              <w:rPr>
                <w:rFonts w:ascii="Times New Roman" w:eastAsia="Times New Roman" w:hAnsi="Times New Roman" w:cs="Times New Roman"/>
                <w:noProof/>
                <w:color w:val="000000"/>
                <w:lang w:eastAsia="sq-AL"/>
              </w:rPr>
              <w:t>, pasi investimet mund të kanalizohen nëpërmjet qendrave financiare. Ky dallim është i rëndësishëm për interpretimin e saktë të të dhënave dhe për rritjen e transparencës.</w:t>
            </w:r>
          </w:p>
          <w:p w14:paraId="71A42E70" w14:textId="39FCF4F4"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Statistikat e IHD-ve sipas vendit partner janë shumë </w:t>
            </w:r>
            <w:r w:rsidR="003459BF" w:rsidRPr="00A96A10">
              <w:rPr>
                <w:rFonts w:ascii="Times New Roman" w:eastAsia="Times New Roman" w:hAnsi="Times New Roman" w:cs="Times New Roman"/>
                <w:noProof/>
                <w:color w:val="000000"/>
                <w:lang w:eastAsia="sq-AL"/>
              </w:rPr>
              <w:t>te rëndësishme</w:t>
            </w:r>
            <w:r w:rsidRPr="00A96A10">
              <w:rPr>
                <w:rFonts w:ascii="Times New Roman" w:eastAsia="Times New Roman" w:hAnsi="Times New Roman" w:cs="Times New Roman"/>
                <w:noProof/>
                <w:color w:val="000000"/>
                <w:lang w:eastAsia="sq-AL"/>
              </w:rPr>
              <w:t xml:space="preserve">, pasi ofrojnë njohuri mbi atë </w:t>
            </w:r>
            <w:r w:rsidR="00EE4375" w:rsidRPr="00A96A10">
              <w:rPr>
                <w:rFonts w:ascii="Times New Roman" w:eastAsia="Times New Roman" w:hAnsi="Times New Roman" w:cs="Times New Roman"/>
                <w:noProof/>
                <w:color w:val="000000"/>
                <w:lang w:eastAsia="sq-AL"/>
              </w:rPr>
              <w:t xml:space="preserve">se </w:t>
            </w:r>
            <w:r w:rsidRPr="00A96A10">
              <w:rPr>
                <w:rFonts w:ascii="Times New Roman" w:eastAsia="Times New Roman" w:hAnsi="Times New Roman" w:cs="Times New Roman"/>
                <w:noProof/>
                <w:color w:val="000000"/>
                <w:lang w:eastAsia="sq-AL"/>
              </w:rPr>
              <w:t>kush investon, nga vijnë investimet dhe cilat janë risqet dhe mundësitë që dalin nga këto marrëdhënie ndër</w:t>
            </w:r>
            <w:r w:rsidR="00EE4375" w:rsidRPr="00A96A10">
              <w:rPr>
                <w:rFonts w:ascii="Times New Roman" w:eastAsia="Times New Roman" w:hAnsi="Times New Roman" w:cs="Times New Roman"/>
                <w:noProof/>
                <w:color w:val="000000"/>
                <w:lang w:eastAsia="sq-AL"/>
              </w:rPr>
              <w:t>kombëtare</w:t>
            </w:r>
            <w:r w:rsidRPr="00A96A10">
              <w:rPr>
                <w:rFonts w:ascii="Times New Roman" w:eastAsia="Times New Roman" w:hAnsi="Times New Roman" w:cs="Times New Roman"/>
                <w:noProof/>
                <w:color w:val="000000"/>
                <w:lang w:eastAsia="sq-AL"/>
              </w:rPr>
              <w:t>.</w:t>
            </w:r>
          </w:p>
        </w:tc>
      </w:tr>
      <w:tr w:rsidR="00F90DC9" w:rsidRPr="00A96A10" w14:paraId="5D977075" w14:textId="77777777" w:rsidTr="00F90DC9">
        <w:trPr>
          <w:trHeight w:val="567"/>
        </w:trPr>
        <w:tc>
          <w:tcPr>
            <w:tcW w:w="2457" w:type="dxa"/>
            <w:shd w:val="clear" w:color="auto" w:fill="FFFFCC"/>
            <w:noWrap/>
            <w:vAlign w:val="center"/>
            <w:hideMark/>
          </w:tcPr>
          <w:p w14:paraId="1E27F546"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12.2. Kënaqësia e përdoruesit</w:t>
            </w:r>
          </w:p>
        </w:tc>
        <w:tc>
          <w:tcPr>
            <w:tcW w:w="7970" w:type="dxa"/>
            <w:noWrap/>
            <w:vAlign w:val="center"/>
            <w:hideMark/>
          </w:tcPr>
          <w:p w14:paraId="7DF93C9E" w14:textId="321EFF0D"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Nuk </w:t>
            </w:r>
            <w:r w:rsidR="00EE4375" w:rsidRPr="00A96A10">
              <w:rPr>
                <w:rFonts w:ascii="Times New Roman" w:eastAsia="Times New Roman" w:hAnsi="Times New Roman" w:cs="Times New Roman"/>
                <w:noProof/>
                <w:color w:val="000000"/>
                <w:lang w:eastAsia="sq-AL"/>
              </w:rPr>
              <w:t>ofrohet.</w:t>
            </w:r>
          </w:p>
        </w:tc>
      </w:tr>
      <w:tr w:rsidR="00F90DC9" w:rsidRPr="00A96A10" w14:paraId="4EF91CC3" w14:textId="77777777" w:rsidTr="00F90DC9">
        <w:trPr>
          <w:trHeight w:val="567"/>
        </w:trPr>
        <w:tc>
          <w:tcPr>
            <w:tcW w:w="2457" w:type="dxa"/>
            <w:shd w:val="clear" w:color="auto" w:fill="FFFFCC"/>
            <w:noWrap/>
            <w:vAlign w:val="center"/>
            <w:hideMark/>
          </w:tcPr>
          <w:p w14:paraId="15C22A79"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12.3. Plotshmëria</w:t>
            </w:r>
          </w:p>
        </w:tc>
        <w:tc>
          <w:tcPr>
            <w:tcW w:w="7970" w:type="dxa"/>
            <w:noWrap/>
            <w:vAlign w:val="center"/>
            <w:hideMark/>
          </w:tcPr>
          <w:p w14:paraId="54E421FF" w14:textId="2D26F555"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Vlera e treguesit të plotshmërisë mbulon pothuajse të gjitha qelizat e </w:t>
            </w:r>
            <w:r w:rsidR="00EE4375" w:rsidRPr="00A96A10">
              <w:rPr>
                <w:rFonts w:ascii="Times New Roman" w:eastAsia="Times New Roman" w:hAnsi="Times New Roman" w:cs="Times New Roman"/>
                <w:noProof/>
                <w:color w:val="000000"/>
                <w:lang w:eastAsia="sq-AL"/>
              </w:rPr>
              <w:t xml:space="preserve">dërguara në </w:t>
            </w:r>
            <w:r w:rsidRPr="00A96A10">
              <w:rPr>
                <w:rFonts w:ascii="Times New Roman" w:eastAsia="Times New Roman" w:hAnsi="Times New Roman" w:cs="Times New Roman"/>
                <w:noProof/>
                <w:color w:val="000000"/>
                <w:lang w:eastAsia="sq-AL"/>
              </w:rPr>
              <w:t xml:space="preserve"> Eurostat (gjatë tre viteve të fundit, të dhënat e investimeve të </w:t>
            </w:r>
            <w:r w:rsidR="00EE4375" w:rsidRPr="00A96A10">
              <w:rPr>
                <w:rFonts w:ascii="Times New Roman" w:eastAsia="Times New Roman" w:hAnsi="Times New Roman" w:cs="Times New Roman"/>
                <w:noProof/>
                <w:color w:val="000000"/>
                <w:lang w:eastAsia="sq-AL"/>
              </w:rPr>
              <w:t>huaja direkte</w:t>
            </w:r>
            <w:r w:rsidRPr="00A96A10">
              <w:rPr>
                <w:rFonts w:ascii="Times New Roman" w:eastAsia="Times New Roman" w:hAnsi="Times New Roman" w:cs="Times New Roman"/>
                <w:noProof/>
                <w:color w:val="000000"/>
                <w:lang w:eastAsia="sq-AL"/>
              </w:rPr>
              <w:t xml:space="preserve"> janë vlerësuar </w:t>
            </w:r>
            <w:r w:rsidR="00EE4375" w:rsidRPr="00A96A10">
              <w:rPr>
                <w:rFonts w:ascii="Times New Roman" w:eastAsia="Times New Roman" w:hAnsi="Times New Roman" w:cs="Times New Roman"/>
                <w:noProof/>
                <w:color w:val="000000"/>
                <w:lang w:eastAsia="sq-AL"/>
              </w:rPr>
              <w:t>në përputhshmëri të lartë</w:t>
            </w:r>
            <w:r w:rsidRPr="00A96A10">
              <w:rPr>
                <w:rFonts w:ascii="Times New Roman" w:eastAsia="Times New Roman" w:hAnsi="Times New Roman" w:cs="Times New Roman"/>
                <w:noProof/>
                <w:color w:val="000000"/>
                <w:lang w:eastAsia="sq-AL"/>
              </w:rPr>
              <w:t xml:space="preserve"> me kërkesat e Eurostat-it). Zbatimi i aplikacioneve të reja softuerike në procesin e </w:t>
            </w:r>
            <w:r w:rsidR="00EE4375" w:rsidRPr="00A96A10">
              <w:rPr>
                <w:rFonts w:ascii="Times New Roman" w:eastAsia="Times New Roman" w:hAnsi="Times New Roman" w:cs="Times New Roman"/>
                <w:noProof/>
                <w:color w:val="000000"/>
                <w:lang w:eastAsia="sq-AL"/>
              </w:rPr>
              <w:t>hartimit</w:t>
            </w:r>
            <w:r w:rsidRPr="00A96A10">
              <w:rPr>
                <w:rFonts w:ascii="Times New Roman" w:eastAsia="Times New Roman" w:hAnsi="Times New Roman" w:cs="Times New Roman"/>
                <w:noProof/>
                <w:color w:val="000000"/>
                <w:lang w:eastAsia="sq-AL"/>
              </w:rPr>
              <w:t xml:space="preserve"> dhe </w:t>
            </w:r>
            <w:r w:rsidR="00EE4375" w:rsidRPr="00A96A10">
              <w:rPr>
                <w:rFonts w:ascii="Times New Roman" w:eastAsia="Times New Roman" w:hAnsi="Times New Roman" w:cs="Times New Roman"/>
                <w:noProof/>
                <w:color w:val="000000"/>
                <w:lang w:eastAsia="sq-AL"/>
              </w:rPr>
              <w:t>prodhimit</w:t>
            </w:r>
            <w:r w:rsidRPr="00A96A10">
              <w:rPr>
                <w:rFonts w:ascii="Times New Roman" w:eastAsia="Times New Roman" w:hAnsi="Times New Roman" w:cs="Times New Roman"/>
                <w:noProof/>
                <w:color w:val="000000"/>
                <w:lang w:eastAsia="sq-AL"/>
              </w:rPr>
              <w:t xml:space="preserve"> sigur</w:t>
            </w:r>
            <w:r w:rsidR="00EE4375" w:rsidRPr="00A96A10">
              <w:rPr>
                <w:rFonts w:ascii="Times New Roman" w:eastAsia="Times New Roman" w:hAnsi="Times New Roman" w:cs="Times New Roman"/>
                <w:noProof/>
                <w:color w:val="000000"/>
                <w:lang w:eastAsia="sq-AL"/>
              </w:rPr>
              <w:t>on</w:t>
            </w:r>
            <w:r w:rsidRPr="00A96A10">
              <w:rPr>
                <w:rFonts w:ascii="Times New Roman" w:eastAsia="Times New Roman" w:hAnsi="Times New Roman" w:cs="Times New Roman"/>
                <w:noProof/>
                <w:color w:val="000000"/>
                <w:lang w:eastAsia="sq-AL"/>
              </w:rPr>
              <w:t xml:space="preserve"> të dhëna tremujore, </w:t>
            </w:r>
            <w:r w:rsidR="00EE4375" w:rsidRPr="00A96A10">
              <w:rPr>
                <w:rFonts w:ascii="Times New Roman" w:eastAsia="Times New Roman" w:hAnsi="Times New Roman" w:cs="Times New Roman"/>
                <w:noProof/>
                <w:color w:val="000000"/>
                <w:lang w:eastAsia="sq-AL"/>
              </w:rPr>
              <w:t xml:space="preserve">me ndarje </w:t>
            </w:r>
            <w:r w:rsidRPr="00A96A10">
              <w:rPr>
                <w:rFonts w:ascii="Times New Roman" w:eastAsia="Times New Roman" w:hAnsi="Times New Roman" w:cs="Times New Roman"/>
                <w:noProof/>
                <w:color w:val="000000"/>
                <w:lang w:eastAsia="sq-AL"/>
              </w:rPr>
              <w:t xml:space="preserve">gjeografike dhe sipas </w:t>
            </w:r>
            <w:r w:rsidR="00EE4375" w:rsidRPr="00A96A10">
              <w:rPr>
                <w:rFonts w:ascii="Times New Roman" w:eastAsia="Times New Roman" w:hAnsi="Times New Roman" w:cs="Times New Roman"/>
                <w:noProof/>
                <w:color w:val="000000"/>
                <w:lang w:eastAsia="sq-AL"/>
              </w:rPr>
              <w:t>aktivitetit ekonomik</w:t>
            </w:r>
            <w:r w:rsidRPr="00A96A10">
              <w:rPr>
                <w:rFonts w:ascii="Times New Roman" w:eastAsia="Times New Roman" w:hAnsi="Times New Roman" w:cs="Times New Roman"/>
                <w:noProof/>
                <w:color w:val="000000"/>
                <w:lang w:eastAsia="sq-AL"/>
              </w:rPr>
              <w:t xml:space="preserve"> të IHD-ve.</w:t>
            </w:r>
          </w:p>
        </w:tc>
      </w:tr>
      <w:tr w:rsidR="00F90DC9" w:rsidRPr="00A96A10" w14:paraId="0675955D" w14:textId="77777777" w:rsidTr="00F2159C">
        <w:trPr>
          <w:trHeight w:val="567"/>
        </w:trPr>
        <w:tc>
          <w:tcPr>
            <w:tcW w:w="10427" w:type="dxa"/>
            <w:gridSpan w:val="2"/>
            <w:shd w:val="clear" w:color="auto" w:fill="C5E0B3" w:themeFill="accent6" w:themeFillTint="66"/>
            <w:noWrap/>
            <w:vAlign w:val="center"/>
            <w:hideMark/>
          </w:tcPr>
          <w:p w14:paraId="45D1389C"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12" w:name="_Toc228888978"/>
            <w:r w:rsidRPr="00A96A10">
              <w:rPr>
                <w:rFonts w:ascii="Times New Roman" w:eastAsia="Times New Roman" w:hAnsi="Times New Roman" w:cs="Times New Roman"/>
                <w:bCs w:val="0"/>
                <w:noProof/>
                <w:color w:val="000000"/>
                <w:sz w:val="22"/>
                <w:szCs w:val="22"/>
                <w:lang w:val="sq-AL" w:eastAsia="sq-AL"/>
              </w:rPr>
              <w:t>13.</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Saktësia dhe besueshmëria</w:t>
            </w:r>
            <w:bookmarkEnd w:id="12"/>
          </w:p>
        </w:tc>
      </w:tr>
      <w:tr w:rsidR="00F90DC9" w:rsidRPr="00A96A10" w14:paraId="343C57DD" w14:textId="77777777" w:rsidTr="00F90DC9">
        <w:trPr>
          <w:trHeight w:val="567"/>
        </w:trPr>
        <w:tc>
          <w:tcPr>
            <w:tcW w:w="2457" w:type="dxa"/>
            <w:shd w:val="clear" w:color="auto" w:fill="FFFFCC"/>
            <w:noWrap/>
            <w:vAlign w:val="center"/>
            <w:hideMark/>
          </w:tcPr>
          <w:p w14:paraId="67EFB858"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13.1. Saktësia e përgjithshme</w:t>
            </w:r>
          </w:p>
        </w:tc>
        <w:tc>
          <w:tcPr>
            <w:tcW w:w="7970" w:type="dxa"/>
            <w:vAlign w:val="center"/>
          </w:tcPr>
          <w:p w14:paraId="37565329" w14:textId="77777777" w:rsidR="00993CCD" w:rsidRPr="00A96A10" w:rsidRDefault="00993CCD" w:rsidP="00506308">
            <w:pPr>
              <w:spacing w:after="60"/>
              <w:jc w:val="both"/>
              <w:rPr>
                <w:rFonts w:ascii="Times New Roman" w:eastAsia="Arial" w:hAnsi="Times New Roman" w:cs="Times New Roman"/>
              </w:rPr>
            </w:pPr>
            <w:r w:rsidRPr="00A96A10">
              <w:rPr>
                <w:rFonts w:ascii="Times New Roman" w:eastAsia="Arial" w:hAnsi="Times New Roman" w:cs="Times New Roman"/>
              </w:rPr>
              <w:t>Saktësia i referohet afërsisë së vlerësimeve me vlerat e vërteta të panjohura. Ky komponent i cilësisë matet duke shqyrtuar stabilitetin e të dhënave nëpërmjet madhësisë së rishikimeve. Rishikimet nuk nënkuptojnë gabime; ato kryhen kur burime të reja dhe informacion më i mirë bëhen të disponueshëm, duke rezultuar kështu në vlerësime më të sakta.</w:t>
            </w:r>
          </w:p>
          <w:p w14:paraId="4A01EDA0" w14:textId="58423C96" w:rsidR="00993CCD" w:rsidRPr="00A96A10" w:rsidRDefault="00993CCD" w:rsidP="00506308">
            <w:pPr>
              <w:jc w:val="both"/>
              <w:rPr>
                <w:rFonts w:ascii="Times New Roman" w:eastAsia="Arial" w:hAnsi="Times New Roman" w:cs="Times New Roman"/>
              </w:rPr>
            </w:pPr>
            <w:r w:rsidRPr="00A96A10">
              <w:rPr>
                <w:rFonts w:ascii="Times New Roman" w:eastAsia="Arial" w:hAnsi="Times New Roman" w:cs="Times New Roman"/>
              </w:rPr>
              <w:t>Nje politikë rishikimi e mir</w:t>
            </w:r>
            <w:r w:rsidR="00B855A1" w:rsidRPr="00A96A10">
              <w:rPr>
                <w:rFonts w:ascii="Times New Roman" w:eastAsia="Arial" w:hAnsi="Times New Roman" w:cs="Times New Roman"/>
              </w:rPr>
              <w:t>ë</w:t>
            </w:r>
            <w:r w:rsidRPr="00A96A10">
              <w:rPr>
                <w:rFonts w:ascii="Times New Roman" w:eastAsia="Arial" w:hAnsi="Times New Roman" w:cs="Times New Roman"/>
              </w:rPr>
              <w:t>përcaktuar dhe e komunikuar publikisht është një sinjal i fortë i sistemit statistikor.Madhesia e rishikimit eshte nje masë e cilesisë së publikimit të parë te nj</w:t>
            </w:r>
            <w:r w:rsidR="00B855A1" w:rsidRPr="00A96A10">
              <w:rPr>
                <w:rFonts w:ascii="Times New Roman" w:eastAsia="Arial" w:hAnsi="Times New Roman" w:cs="Times New Roman"/>
              </w:rPr>
              <w:t>ë</w:t>
            </w:r>
            <w:r w:rsidRPr="00A96A10">
              <w:rPr>
                <w:rFonts w:ascii="Times New Roman" w:eastAsia="Arial" w:hAnsi="Times New Roman" w:cs="Times New Roman"/>
              </w:rPr>
              <w:t xml:space="preserve"> grupi t</w:t>
            </w:r>
            <w:r w:rsidR="00B855A1" w:rsidRPr="00A96A10">
              <w:rPr>
                <w:rFonts w:ascii="Times New Roman" w:eastAsia="Arial" w:hAnsi="Times New Roman" w:cs="Times New Roman"/>
              </w:rPr>
              <w:t>ë</w:t>
            </w:r>
            <w:r w:rsidRPr="00A96A10">
              <w:rPr>
                <w:rFonts w:ascii="Times New Roman" w:eastAsia="Arial" w:hAnsi="Times New Roman" w:cs="Times New Roman"/>
              </w:rPr>
              <w:t xml:space="preserve"> dhënash specifike, krahasuar me versionin m</w:t>
            </w:r>
            <w:r w:rsidR="00B855A1" w:rsidRPr="00A96A10">
              <w:rPr>
                <w:rFonts w:ascii="Times New Roman" w:eastAsia="Arial" w:hAnsi="Times New Roman" w:cs="Times New Roman"/>
              </w:rPr>
              <w:t>ë</w:t>
            </w:r>
            <w:r w:rsidRPr="00A96A10">
              <w:rPr>
                <w:rFonts w:ascii="Times New Roman" w:eastAsia="Arial" w:hAnsi="Times New Roman" w:cs="Times New Roman"/>
              </w:rPr>
              <w:t xml:space="preserve"> t</w:t>
            </w:r>
            <w:r w:rsidR="00B855A1" w:rsidRPr="00A96A10">
              <w:rPr>
                <w:rFonts w:ascii="Times New Roman" w:eastAsia="Arial" w:hAnsi="Times New Roman" w:cs="Times New Roman"/>
              </w:rPr>
              <w:t>ë</w:t>
            </w:r>
            <w:r w:rsidRPr="00A96A10">
              <w:rPr>
                <w:rFonts w:ascii="Times New Roman" w:eastAsia="Arial" w:hAnsi="Times New Roman" w:cs="Times New Roman"/>
              </w:rPr>
              <w:t xml:space="preserve"> fundit t</w:t>
            </w:r>
            <w:r w:rsidR="00B855A1" w:rsidRPr="00A96A10">
              <w:rPr>
                <w:rFonts w:ascii="Times New Roman" w:eastAsia="Arial" w:hAnsi="Times New Roman" w:cs="Times New Roman"/>
              </w:rPr>
              <w:t xml:space="preserve">ë </w:t>
            </w:r>
            <w:r w:rsidRPr="00A96A10">
              <w:rPr>
                <w:rFonts w:ascii="Times New Roman" w:eastAsia="Arial" w:hAnsi="Times New Roman" w:cs="Times New Roman"/>
              </w:rPr>
              <w:t>disponuesh</w:t>
            </w:r>
            <w:r w:rsidR="00B855A1" w:rsidRPr="00A96A10">
              <w:rPr>
                <w:rFonts w:ascii="Times New Roman" w:eastAsia="Arial" w:hAnsi="Times New Roman" w:cs="Times New Roman"/>
              </w:rPr>
              <w:t>ë</w:t>
            </w:r>
            <w:r w:rsidRPr="00A96A10">
              <w:rPr>
                <w:rFonts w:ascii="Times New Roman" w:eastAsia="Arial" w:hAnsi="Times New Roman" w:cs="Times New Roman"/>
              </w:rPr>
              <w:t>m. Ekziston një kompromis ndërmjet afatit kohor dhe madhësisë së rishikimeve: sa më herët të kryhet publikimi i parë i një grupi të dhënash, aq më të mëdha priten të jenë rishikimet, ndërsa publikohen versione të mëvonshme të të njejtit grup të dhënash.</w:t>
            </w:r>
          </w:p>
          <w:p w14:paraId="253FD63E" w14:textId="348AC059" w:rsidR="00F90DC9" w:rsidRPr="00A96A10" w:rsidRDefault="00F90DC9" w:rsidP="00506308">
            <w:pPr>
              <w:jc w:val="both"/>
              <w:rPr>
                <w:rFonts w:ascii="Times New Roman" w:hAnsi="Times New Roman" w:cs="Times New Roman"/>
              </w:rPr>
            </w:pPr>
            <w:r w:rsidRPr="00A96A10">
              <w:rPr>
                <w:rFonts w:ascii="Times New Roman" w:hAnsi="Times New Roman" w:cs="Times New Roman"/>
              </w:rPr>
              <w:t xml:space="preserve">Rishikimet </w:t>
            </w:r>
            <w:r w:rsidR="00993CCD" w:rsidRPr="00A96A10">
              <w:rPr>
                <w:rFonts w:ascii="Times New Roman" w:hAnsi="Times New Roman" w:cs="Times New Roman"/>
              </w:rPr>
              <w:t>hartohen</w:t>
            </w:r>
            <w:r w:rsidRPr="00A96A10">
              <w:rPr>
                <w:rFonts w:ascii="Times New Roman" w:hAnsi="Times New Roman" w:cs="Times New Roman"/>
              </w:rPr>
              <w:t xml:space="preserve"> për agregatët kryesorë të IHD-ve si pjesë e procesit të monitorimit të cilësisë. Në përgjithësi, rishikimet e agregatëve të IHD-ve janë </w:t>
            </w:r>
            <w:r w:rsidR="00A27599" w:rsidRPr="00A96A10">
              <w:rPr>
                <w:rFonts w:ascii="Times New Roman" w:hAnsi="Times New Roman" w:cs="Times New Roman"/>
              </w:rPr>
              <w:t>t</w:t>
            </w:r>
            <w:r w:rsidR="00993CCD" w:rsidRPr="00A96A10">
              <w:rPr>
                <w:rFonts w:ascii="Times New Roman" w:hAnsi="Times New Roman" w:cs="Times New Roman"/>
              </w:rPr>
              <w:t>ë</w:t>
            </w:r>
            <w:r w:rsidR="00A27599" w:rsidRPr="00A96A10">
              <w:rPr>
                <w:rFonts w:ascii="Times New Roman" w:hAnsi="Times New Roman" w:cs="Times New Roman"/>
              </w:rPr>
              <w:t xml:space="preserve"> moderuara</w:t>
            </w:r>
            <w:r w:rsidRPr="00A96A10">
              <w:rPr>
                <w:rFonts w:ascii="Times New Roman" w:hAnsi="Times New Roman" w:cs="Times New Roman"/>
              </w:rPr>
              <w:t xml:space="preserve"> dhe pasqyrojnë përfshirjen e të dhënave më të plota dhe me cilësi më të lartë, si pasqyrat financiare dhe raportimet e rishikuara nga ndërmarrjet.</w:t>
            </w:r>
          </w:p>
          <w:p w14:paraId="1D0AD51A" w14:textId="77777777" w:rsidR="00F90DC9" w:rsidRPr="00A96A10" w:rsidRDefault="00F90DC9" w:rsidP="00506308">
            <w:pPr>
              <w:spacing w:after="60"/>
              <w:jc w:val="both"/>
              <w:rPr>
                <w:rFonts w:ascii="Times New Roman" w:hAnsi="Times New Roman" w:cs="Times New Roman"/>
              </w:rPr>
            </w:pPr>
            <w:r w:rsidRPr="00A96A10">
              <w:rPr>
                <w:rFonts w:ascii="Times New Roman" w:hAnsi="Times New Roman" w:cs="Times New Roman"/>
              </w:rPr>
              <w:t>Rishikime më të mëdha mund të ndodhin herë pas here, veçanërisht për fitimet e riinvestuara ose huadhënien ndër-kompani, ku vlerësimet fillestare tremujore mbështeten më tepër në informacion të pjesshëm ose metoda vlerësimi.</w:t>
            </w:r>
          </w:p>
          <w:p w14:paraId="72800492" w14:textId="420640DF" w:rsidR="00F90DC9" w:rsidRPr="00A96A10" w:rsidRDefault="00A27599" w:rsidP="00506308">
            <w:pPr>
              <w:spacing w:after="0"/>
              <w:jc w:val="both"/>
              <w:rPr>
                <w:rFonts w:ascii="Times New Roman" w:eastAsia="Times New Roman" w:hAnsi="Times New Roman" w:cs="Times New Roman"/>
                <w:noProof/>
                <w:color w:val="000000"/>
                <w:lang w:val="sq-AL" w:eastAsia="sq-AL"/>
              </w:rPr>
            </w:pPr>
            <w:r w:rsidRPr="00A96A10">
              <w:rPr>
                <w:rFonts w:ascii="Times New Roman" w:hAnsi="Times New Roman" w:cs="Times New Roman"/>
              </w:rPr>
              <w:t>Lidhur me cil</w:t>
            </w:r>
            <w:r w:rsidR="00F31B20" w:rsidRPr="00A96A10">
              <w:rPr>
                <w:rFonts w:ascii="Times New Roman" w:hAnsi="Times New Roman" w:cs="Times New Roman"/>
              </w:rPr>
              <w:t>ë</w:t>
            </w:r>
            <w:r w:rsidRPr="00A96A10">
              <w:rPr>
                <w:rFonts w:ascii="Times New Roman" w:hAnsi="Times New Roman" w:cs="Times New Roman"/>
              </w:rPr>
              <w:t>sin</w:t>
            </w:r>
            <w:r w:rsidR="00F31B20" w:rsidRPr="00A96A10">
              <w:rPr>
                <w:rFonts w:ascii="Times New Roman" w:hAnsi="Times New Roman" w:cs="Times New Roman"/>
              </w:rPr>
              <w:t>ë</w:t>
            </w:r>
            <w:r w:rsidRPr="00A96A10">
              <w:rPr>
                <w:rFonts w:ascii="Times New Roman" w:hAnsi="Times New Roman" w:cs="Times New Roman"/>
              </w:rPr>
              <w:t xml:space="preserve"> e t</w:t>
            </w:r>
            <w:r w:rsidR="00F90DC9" w:rsidRPr="00A96A10">
              <w:rPr>
                <w:rFonts w:ascii="Times New Roman" w:hAnsi="Times New Roman" w:cs="Times New Roman"/>
              </w:rPr>
              <w:t>ë dhëna</w:t>
            </w:r>
            <w:r w:rsidRPr="00A96A10">
              <w:rPr>
                <w:rFonts w:ascii="Times New Roman" w:hAnsi="Times New Roman" w:cs="Times New Roman"/>
              </w:rPr>
              <w:t>ve</w:t>
            </w:r>
            <w:r w:rsidR="00F90DC9" w:rsidRPr="00A96A10">
              <w:rPr>
                <w:rFonts w:ascii="Times New Roman" w:hAnsi="Times New Roman" w:cs="Times New Roman"/>
              </w:rPr>
              <w:t xml:space="preserve"> tremujore </w:t>
            </w:r>
            <w:r w:rsidRPr="00A96A10">
              <w:rPr>
                <w:rFonts w:ascii="Times New Roman" w:hAnsi="Times New Roman" w:cs="Times New Roman"/>
              </w:rPr>
              <w:t>kundrejt atyre vjetore, vler</w:t>
            </w:r>
            <w:r w:rsidR="00F31B20" w:rsidRPr="00A96A10">
              <w:rPr>
                <w:rFonts w:ascii="Times New Roman" w:hAnsi="Times New Roman" w:cs="Times New Roman"/>
              </w:rPr>
              <w:t>ë</w:t>
            </w:r>
            <w:r w:rsidRPr="00A96A10">
              <w:rPr>
                <w:rFonts w:ascii="Times New Roman" w:hAnsi="Times New Roman" w:cs="Times New Roman"/>
              </w:rPr>
              <w:t>simet tremujore zakonisht bazohen n</w:t>
            </w:r>
            <w:r w:rsidR="00F31B20" w:rsidRPr="00A96A10">
              <w:rPr>
                <w:rFonts w:ascii="Times New Roman" w:hAnsi="Times New Roman" w:cs="Times New Roman"/>
              </w:rPr>
              <w:t>ë</w:t>
            </w:r>
            <w:r w:rsidRPr="00A96A10">
              <w:rPr>
                <w:rFonts w:ascii="Times New Roman" w:hAnsi="Times New Roman" w:cs="Times New Roman"/>
              </w:rPr>
              <w:t xml:space="preserve"> nj</w:t>
            </w:r>
            <w:r w:rsidR="00F31B20" w:rsidRPr="00A96A10">
              <w:rPr>
                <w:rFonts w:ascii="Times New Roman" w:hAnsi="Times New Roman" w:cs="Times New Roman"/>
              </w:rPr>
              <w:t>ë</w:t>
            </w:r>
            <w:r w:rsidRPr="00A96A10">
              <w:rPr>
                <w:rFonts w:ascii="Times New Roman" w:hAnsi="Times New Roman" w:cs="Times New Roman"/>
              </w:rPr>
              <w:t xml:space="preserve"> kombinim t</w:t>
            </w:r>
            <w:r w:rsidR="00993CCD" w:rsidRPr="00A96A10">
              <w:rPr>
                <w:rFonts w:ascii="Times New Roman" w:hAnsi="Times New Roman" w:cs="Times New Roman"/>
              </w:rPr>
              <w:t>ë</w:t>
            </w:r>
            <w:r w:rsidRPr="00A96A10">
              <w:rPr>
                <w:rFonts w:ascii="Times New Roman" w:hAnsi="Times New Roman" w:cs="Times New Roman"/>
              </w:rPr>
              <w:t xml:space="preserve"> raportimit </w:t>
            </w:r>
            <w:r w:rsidR="00993CCD" w:rsidRPr="00A96A10">
              <w:rPr>
                <w:rFonts w:ascii="Times New Roman" w:hAnsi="Times New Roman" w:cs="Times New Roman"/>
              </w:rPr>
              <w:t>direkt</w:t>
            </w:r>
            <w:r w:rsidRPr="00A96A10">
              <w:rPr>
                <w:rFonts w:ascii="Times New Roman" w:hAnsi="Times New Roman" w:cs="Times New Roman"/>
              </w:rPr>
              <w:t xml:space="preserve"> dhe teknikave t</w:t>
            </w:r>
            <w:r w:rsidR="00F31B20" w:rsidRPr="00A96A10">
              <w:rPr>
                <w:rFonts w:ascii="Times New Roman" w:hAnsi="Times New Roman" w:cs="Times New Roman"/>
              </w:rPr>
              <w:t>ë</w:t>
            </w:r>
            <w:r w:rsidRPr="00A96A10">
              <w:rPr>
                <w:rFonts w:ascii="Times New Roman" w:hAnsi="Times New Roman" w:cs="Times New Roman"/>
              </w:rPr>
              <w:t xml:space="preserve"> vler</w:t>
            </w:r>
            <w:r w:rsidR="00F31B20" w:rsidRPr="00A96A10">
              <w:rPr>
                <w:rFonts w:ascii="Times New Roman" w:hAnsi="Times New Roman" w:cs="Times New Roman"/>
              </w:rPr>
              <w:t>ë</w:t>
            </w:r>
            <w:r w:rsidRPr="00A96A10">
              <w:rPr>
                <w:rFonts w:ascii="Times New Roman" w:hAnsi="Times New Roman" w:cs="Times New Roman"/>
              </w:rPr>
              <w:t>simit afatshkurt</w:t>
            </w:r>
            <w:r w:rsidR="00F31B20" w:rsidRPr="00A96A10">
              <w:rPr>
                <w:rFonts w:ascii="Times New Roman" w:hAnsi="Times New Roman" w:cs="Times New Roman"/>
              </w:rPr>
              <w:t>ë</w:t>
            </w:r>
            <w:r w:rsidRPr="00A96A10">
              <w:rPr>
                <w:rFonts w:ascii="Times New Roman" w:hAnsi="Times New Roman" w:cs="Times New Roman"/>
              </w:rPr>
              <w:t>r dhe p</w:t>
            </w:r>
            <w:r w:rsidR="00F31B20" w:rsidRPr="00A96A10">
              <w:rPr>
                <w:rFonts w:ascii="Times New Roman" w:hAnsi="Times New Roman" w:cs="Times New Roman"/>
              </w:rPr>
              <w:t>ë</w:t>
            </w:r>
            <w:r w:rsidRPr="00A96A10">
              <w:rPr>
                <w:rFonts w:ascii="Times New Roman" w:hAnsi="Times New Roman" w:cs="Times New Roman"/>
              </w:rPr>
              <w:t xml:space="preserve">r </w:t>
            </w:r>
            <w:r w:rsidR="00770DCD" w:rsidRPr="00A96A10">
              <w:rPr>
                <w:rFonts w:ascii="Times New Roman" w:hAnsi="Times New Roman" w:cs="Times New Roman"/>
              </w:rPr>
              <w:t>k</w:t>
            </w:r>
            <w:r w:rsidR="00F31B20" w:rsidRPr="00A96A10">
              <w:rPr>
                <w:rFonts w:ascii="Times New Roman" w:hAnsi="Times New Roman" w:cs="Times New Roman"/>
              </w:rPr>
              <w:t>ë</w:t>
            </w:r>
            <w:r w:rsidR="00770DCD" w:rsidRPr="00A96A10">
              <w:rPr>
                <w:rFonts w:ascii="Times New Roman" w:hAnsi="Times New Roman" w:cs="Times New Roman"/>
              </w:rPr>
              <w:t>t</w:t>
            </w:r>
            <w:r w:rsidR="00F31B20" w:rsidRPr="00A96A10">
              <w:rPr>
                <w:rFonts w:ascii="Times New Roman" w:hAnsi="Times New Roman" w:cs="Times New Roman"/>
              </w:rPr>
              <w:t>ë</w:t>
            </w:r>
            <w:r w:rsidR="00770DCD" w:rsidRPr="00A96A10">
              <w:rPr>
                <w:rFonts w:ascii="Times New Roman" w:hAnsi="Times New Roman" w:cs="Times New Roman"/>
              </w:rPr>
              <w:t xml:space="preserve"> arsye </w:t>
            </w:r>
            <w:r w:rsidR="00993CCD" w:rsidRPr="00A96A10">
              <w:rPr>
                <w:rFonts w:ascii="Times New Roman" w:hAnsi="Times New Roman" w:cs="Times New Roman"/>
              </w:rPr>
              <w:t>priren</w:t>
            </w:r>
            <w:r w:rsidR="00770DCD" w:rsidRPr="00A96A10">
              <w:rPr>
                <w:rFonts w:ascii="Times New Roman" w:hAnsi="Times New Roman" w:cs="Times New Roman"/>
              </w:rPr>
              <w:t xml:space="preserve"> drejt rishikimeve.</w:t>
            </w:r>
            <w:r w:rsidR="00F90DC9" w:rsidRPr="00A96A10">
              <w:rPr>
                <w:rFonts w:ascii="Times New Roman" w:hAnsi="Times New Roman" w:cs="Times New Roman"/>
              </w:rPr>
              <w:t xml:space="preserve"> Të dhënat vjetore, nga ana tjetër, </w:t>
            </w:r>
            <w:r w:rsidR="00993CCD" w:rsidRPr="00A96A10">
              <w:rPr>
                <w:rFonts w:ascii="Times New Roman" w:hAnsi="Times New Roman" w:cs="Times New Roman"/>
              </w:rPr>
              <w:t>vinë</w:t>
            </w:r>
            <w:r w:rsidR="00F90DC9" w:rsidRPr="00A96A10">
              <w:rPr>
                <w:rFonts w:ascii="Times New Roman" w:hAnsi="Times New Roman" w:cs="Times New Roman"/>
              </w:rPr>
              <w:t xml:space="preserve"> nga burime dhe procese v</w:t>
            </w:r>
            <w:r w:rsidR="00982D56" w:rsidRPr="00A96A10">
              <w:rPr>
                <w:rFonts w:ascii="Times New Roman" w:hAnsi="Times New Roman" w:cs="Times New Roman"/>
              </w:rPr>
              <w:t>alidimi</w:t>
            </w:r>
            <w:r w:rsidR="00F90DC9" w:rsidRPr="00A96A10">
              <w:rPr>
                <w:rFonts w:ascii="Times New Roman" w:hAnsi="Times New Roman" w:cs="Times New Roman"/>
              </w:rPr>
              <w:t xml:space="preserve"> më gjithëpërfshirëse dhe konsiderohen më të</w:t>
            </w:r>
            <w:r w:rsidR="00770DCD" w:rsidRPr="00A96A10">
              <w:rPr>
                <w:rFonts w:ascii="Times New Roman" w:hAnsi="Times New Roman" w:cs="Times New Roman"/>
              </w:rPr>
              <w:t xml:space="preserve"> sakta. Me kalimin e koh</w:t>
            </w:r>
            <w:r w:rsidR="00F31B20" w:rsidRPr="00A96A10">
              <w:rPr>
                <w:rFonts w:ascii="Times New Roman" w:hAnsi="Times New Roman" w:cs="Times New Roman"/>
              </w:rPr>
              <w:t>ë</w:t>
            </w:r>
            <w:r w:rsidR="00770DCD" w:rsidRPr="00A96A10">
              <w:rPr>
                <w:rFonts w:ascii="Times New Roman" w:hAnsi="Times New Roman" w:cs="Times New Roman"/>
              </w:rPr>
              <w:t>s, t</w:t>
            </w:r>
            <w:r w:rsidR="00F31B20" w:rsidRPr="00A96A10">
              <w:rPr>
                <w:rFonts w:ascii="Times New Roman" w:hAnsi="Times New Roman" w:cs="Times New Roman"/>
              </w:rPr>
              <w:t>ë</w:t>
            </w:r>
            <w:r w:rsidR="00770DCD" w:rsidRPr="00A96A10">
              <w:rPr>
                <w:rFonts w:ascii="Times New Roman" w:hAnsi="Times New Roman" w:cs="Times New Roman"/>
              </w:rPr>
              <w:t xml:space="preserve"> dh</w:t>
            </w:r>
            <w:r w:rsidR="00F31B20" w:rsidRPr="00A96A10">
              <w:rPr>
                <w:rFonts w:ascii="Times New Roman" w:hAnsi="Times New Roman" w:cs="Times New Roman"/>
              </w:rPr>
              <w:t>ë</w:t>
            </w:r>
            <w:r w:rsidR="00770DCD" w:rsidRPr="00A96A10">
              <w:rPr>
                <w:rFonts w:ascii="Times New Roman" w:hAnsi="Times New Roman" w:cs="Times New Roman"/>
              </w:rPr>
              <w:t>nat tremujore p</w:t>
            </w:r>
            <w:r w:rsidR="00F31B20" w:rsidRPr="00A96A10">
              <w:rPr>
                <w:rFonts w:ascii="Times New Roman" w:hAnsi="Times New Roman" w:cs="Times New Roman"/>
              </w:rPr>
              <w:t>ë</w:t>
            </w:r>
            <w:r w:rsidR="00770DCD" w:rsidRPr="00A96A10">
              <w:rPr>
                <w:rFonts w:ascii="Times New Roman" w:hAnsi="Times New Roman" w:cs="Times New Roman"/>
              </w:rPr>
              <w:t>rputhen me rezultatet vjetore, gj</w:t>
            </w:r>
            <w:r w:rsidR="00F31B20" w:rsidRPr="00A96A10">
              <w:rPr>
                <w:rFonts w:ascii="Times New Roman" w:hAnsi="Times New Roman" w:cs="Times New Roman"/>
              </w:rPr>
              <w:t>ë</w:t>
            </w:r>
            <w:r w:rsidR="00770DCD" w:rsidRPr="00A96A10">
              <w:rPr>
                <w:rFonts w:ascii="Times New Roman" w:hAnsi="Times New Roman" w:cs="Times New Roman"/>
              </w:rPr>
              <w:t xml:space="preserve"> q</w:t>
            </w:r>
            <w:r w:rsidR="00F31B20" w:rsidRPr="00A96A10">
              <w:rPr>
                <w:rFonts w:ascii="Times New Roman" w:hAnsi="Times New Roman" w:cs="Times New Roman"/>
              </w:rPr>
              <w:t>ë</w:t>
            </w:r>
            <w:r w:rsidR="00770DCD" w:rsidRPr="00A96A10">
              <w:rPr>
                <w:rFonts w:ascii="Times New Roman" w:hAnsi="Times New Roman" w:cs="Times New Roman"/>
              </w:rPr>
              <w:t xml:space="preserve"> p</w:t>
            </w:r>
            <w:r w:rsidR="00F31B20" w:rsidRPr="00A96A10">
              <w:rPr>
                <w:rFonts w:ascii="Times New Roman" w:hAnsi="Times New Roman" w:cs="Times New Roman"/>
              </w:rPr>
              <w:t>ë</w:t>
            </w:r>
            <w:r w:rsidR="00770DCD" w:rsidRPr="00A96A10">
              <w:rPr>
                <w:rFonts w:ascii="Times New Roman" w:hAnsi="Times New Roman" w:cs="Times New Roman"/>
              </w:rPr>
              <w:t>rmir</w:t>
            </w:r>
            <w:r w:rsidR="00F31B20" w:rsidRPr="00A96A10">
              <w:rPr>
                <w:rFonts w:ascii="Times New Roman" w:hAnsi="Times New Roman" w:cs="Times New Roman"/>
              </w:rPr>
              <w:t>ë</w:t>
            </w:r>
            <w:r w:rsidR="00770DCD" w:rsidRPr="00A96A10">
              <w:rPr>
                <w:rFonts w:ascii="Times New Roman" w:hAnsi="Times New Roman" w:cs="Times New Roman"/>
              </w:rPr>
              <w:t>son q</w:t>
            </w:r>
            <w:r w:rsidR="00F31B20" w:rsidRPr="00A96A10">
              <w:rPr>
                <w:rFonts w:ascii="Times New Roman" w:hAnsi="Times New Roman" w:cs="Times New Roman"/>
              </w:rPr>
              <w:t>ë</w:t>
            </w:r>
            <w:r w:rsidR="00770DCD" w:rsidRPr="00A96A10">
              <w:rPr>
                <w:rFonts w:ascii="Times New Roman" w:hAnsi="Times New Roman" w:cs="Times New Roman"/>
              </w:rPr>
              <w:t>ndru</w:t>
            </w:r>
            <w:r w:rsidR="00993CCD" w:rsidRPr="00A96A10">
              <w:rPr>
                <w:rFonts w:ascii="Times New Roman" w:hAnsi="Times New Roman" w:cs="Times New Roman"/>
              </w:rPr>
              <w:t>e</w:t>
            </w:r>
            <w:r w:rsidR="00770DCD" w:rsidRPr="00A96A10">
              <w:rPr>
                <w:rFonts w:ascii="Times New Roman" w:hAnsi="Times New Roman" w:cs="Times New Roman"/>
              </w:rPr>
              <w:t>shm</w:t>
            </w:r>
            <w:r w:rsidR="00F31B20" w:rsidRPr="00A96A10">
              <w:rPr>
                <w:rFonts w:ascii="Times New Roman" w:hAnsi="Times New Roman" w:cs="Times New Roman"/>
              </w:rPr>
              <w:t>ë</w:t>
            </w:r>
            <w:r w:rsidR="00770DCD" w:rsidRPr="00A96A10">
              <w:rPr>
                <w:rFonts w:ascii="Times New Roman" w:hAnsi="Times New Roman" w:cs="Times New Roman"/>
              </w:rPr>
              <w:t>r</w:t>
            </w:r>
            <w:r w:rsidR="00B855A1" w:rsidRPr="00A96A10">
              <w:rPr>
                <w:rFonts w:ascii="Times New Roman" w:hAnsi="Times New Roman" w:cs="Times New Roman"/>
              </w:rPr>
              <w:t>i</w:t>
            </w:r>
            <w:r w:rsidR="00770DCD" w:rsidRPr="00A96A10">
              <w:rPr>
                <w:rFonts w:ascii="Times New Roman" w:hAnsi="Times New Roman" w:cs="Times New Roman"/>
              </w:rPr>
              <w:t>n</w:t>
            </w:r>
            <w:r w:rsidR="00B855A1" w:rsidRPr="00A96A10">
              <w:rPr>
                <w:rFonts w:ascii="Times New Roman" w:eastAsia="Arial" w:hAnsi="Times New Roman" w:cs="Times New Roman"/>
              </w:rPr>
              <w:t>ë</w:t>
            </w:r>
            <w:r w:rsidR="00770DCD" w:rsidRPr="00A96A10">
              <w:rPr>
                <w:rFonts w:ascii="Times New Roman" w:hAnsi="Times New Roman" w:cs="Times New Roman"/>
              </w:rPr>
              <w:t xml:space="preserve"> dhe besueshm</w:t>
            </w:r>
            <w:r w:rsidR="00F31B20" w:rsidRPr="00A96A10">
              <w:rPr>
                <w:rFonts w:ascii="Times New Roman" w:hAnsi="Times New Roman" w:cs="Times New Roman"/>
              </w:rPr>
              <w:t>ë</w:t>
            </w:r>
            <w:r w:rsidR="00770DCD" w:rsidRPr="00A96A10">
              <w:rPr>
                <w:rFonts w:ascii="Times New Roman" w:hAnsi="Times New Roman" w:cs="Times New Roman"/>
              </w:rPr>
              <w:t>rin</w:t>
            </w:r>
            <w:r w:rsidR="00F31B20" w:rsidRPr="00A96A10">
              <w:rPr>
                <w:rFonts w:ascii="Times New Roman" w:hAnsi="Times New Roman" w:cs="Times New Roman"/>
              </w:rPr>
              <w:t>ë</w:t>
            </w:r>
            <w:r w:rsidR="00770DCD" w:rsidRPr="00A96A10">
              <w:rPr>
                <w:rFonts w:ascii="Times New Roman" w:hAnsi="Times New Roman" w:cs="Times New Roman"/>
              </w:rPr>
              <w:t xml:space="preserve"> e p</w:t>
            </w:r>
            <w:r w:rsidR="00F31B20" w:rsidRPr="00A96A10">
              <w:rPr>
                <w:rFonts w:ascii="Times New Roman" w:hAnsi="Times New Roman" w:cs="Times New Roman"/>
              </w:rPr>
              <w:t>ë</w:t>
            </w:r>
            <w:r w:rsidR="00770DCD" w:rsidRPr="00A96A10">
              <w:rPr>
                <w:rFonts w:ascii="Times New Roman" w:hAnsi="Times New Roman" w:cs="Times New Roman"/>
              </w:rPr>
              <w:t>rgjithshme.</w:t>
            </w:r>
          </w:p>
        </w:tc>
      </w:tr>
      <w:tr w:rsidR="00F90DC9" w:rsidRPr="00A96A10" w14:paraId="780920B0" w14:textId="77777777" w:rsidTr="00F90DC9">
        <w:trPr>
          <w:trHeight w:val="567"/>
        </w:trPr>
        <w:tc>
          <w:tcPr>
            <w:tcW w:w="2457" w:type="dxa"/>
            <w:shd w:val="clear" w:color="auto" w:fill="FFFFCC"/>
            <w:noWrap/>
            <w:vAlign w:val="center"/>
            <w:hideMark/>
          </w:tcPr>
          <w:p w14:paraId="0A0398D3"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lastRenderedPageBreak/>
              <w:t>13.2. Gabim i kampionimit</w:t>
            </w:r>
          </w:p>
        </w:tc>
        <w:tc>
          <w:tcPr>
            <w:tcW w:w="7970" w:type="dxa"/>
            <w:vAlign w:val="center"/>
          </w:tcPr>
          <w:p w14:paraId="470A7A78" w14:textId="57B40381"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Nuk </w:t>
            </w:r>
            <w:r w:rsidR="00993CCD" w:rsidRPr="00A96A10">
              <w:rPr>
                <w:rFonts w:ascii="Times New Roman" w:eastAsia="Times New Roman" w:hAnsi="Times New Roman" w:cs="Times New Roman"/>
                <w:noProof/>
                <w:color w:val="000000"/>
                <w:lang w:eastAsia="sq-AL"/>
              </w:rPr>
              <w:t>aplikohet</w:t>
            </w:r>
            <w:r w:rsidR="0054065D" w:rsidRPr="00A96A10">
              <w:rPr>
                <w:rFonts w:ascii="Times New Roman" w:eastAsia="Times New Roman" w:hAnsi="Times New Roman" w:cs="Times New Roman"/>
                <w:noProof/>
                <w:color w:val="000000"/>
                <w:lang w:eastAsia="sq-AL"/>
              </w:rPr>
              <w:t>.</w:t>
            </w:r>
          </w:p>
        </w:tc>
      </w:tr>
      <w:tr w:rsidR="00F90DC9" w:rsidRPr="00A96A10" w14:paraId="60D28684" w14:textId="77777777" w:rsidTr="00F90DC9">
        <w:trPr>
          <w:trHeight w:val="567"/>
        </w:trPr>
        <w:tc>
          <w:tcPr>
            <w:tcW w:w="2457" w:type="dxa"/>
            <w:shd w:val="clear" w:color="auto" w:fill="FFFFCC"/>
            <w:noWrap/>
            <w:vAlign w:val="center"/>
            <w:hideMark/>
          </w:tcPr>
          <w:p w14:paraId="1137EAA3"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 xml:space="preserve">13.3. Gabim jo i kampionimit </w:t>
            </w:r>
          </w:p>
        </w:tc>
        <w:tc>
          <w:tcPr>
            <w:tcW w:w="7970" w:type="dxa"/>
            <w:vAlign w:val="center"/>
          </w:tcPr>
          <w:p w14:paraId="7F6DEDE7" w14:textId="77777777" w:rsidR="00993CCD" w:rsidRPr="00A96A10" w:rsidRDefault="00993CCD" w:rsidP="00506308">
            <w:pPr>
              <w:spacing w:line="240" w:lineRule="auto"/>
              <w:jc w:val="both"/>
              <w:rPr>
                <w:rFonts w:ascii="Times New Roman" w:eastAsia="Arial" w:hAnsi="Times New Roman" w:cs="Times New Roman"/>
              </w:rPr>
            </w:pPr>
            <w:r w:rsidRPr="00A96A10">
              <w:rPr>
                <w:rFonts w:ascii="Times New Roman" w:eastAsia="Arial" w:hAnsi="Times New Roman" w:cs="Times New Roman"/>
              </w:rPr>
              <w:t>Imputimi</w:t>
            </w:r>
          </w:p>
          <w:p w14:paraId="29313BDE" w14:textId="742D0D8E" w:rsidR="00F90DC9" w:rsidRPr="00A96A10" w:rsidRDefault="00993CCD" w:rsidP="00506308">
            <w:pPr>
              <w:spacing w:line="240" w:lineRule="auto"/>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Banka e Shqipërisë imputon të dhënat e investimeve të huaja direkte (fitimet e riinvestuara, dividentët) bazuar në të dhënat administrative mujore, tremujore dhe vjetore.</w:t>
            </w:r>
          </w:p>
        </w:tc>
      </w:tr>
      <w:tr w:rsidR="00F90DC9" w:rsidRPr="00A96A10" w14:paraId="3F497530" w14:textId="77777777" w:rsidTr="00F2159C">
        <w:trPr>
          <w:trHeight w:val="567"/>
        </w:trPr>
        <w:tc>
          <w:tcPr>
            <w:tcW w:w="10427" w:type="dxa"/>
            <w:gridSpan w:val="2"/>
            <w:shd w:val="clear" w:color="auto" w:fill="C5E0B3" w:themeFill="accent6" w:themeFillTint="66"/>
            <w:noWrap/>
            <w:vAlign w:val="center"/>
            <w:hideMark/>
          </w:tcPr>
          <w:p w14:paraId="077F721D"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themeColor="text1"/>
                <w:sz w:val="22"/>
                <w:szCs w:val="22"/>
                <w:lang w:val="sq-AL" w:eastAsia="sq-AL"/>
              </w:rPr>
            </w:pPr>
            <w:bookmarkStart w:id="13" w:name="_Toc228888979"/>
            <w:r w:rsidRPr="00A96A10">
              <w:rPr>
                <w:rFonts w:ascii="Times New Roman" w:eastAsia="Times New Roman" w:hAnsi="Times New Roman" w:cs="Times New Roman"/>
                <w:bCs w:val="0"/>
                <w:noProof/>
                <w:color w:val="000000" w:themeColor="text1"/>
                <w:sz w:val="22"/>
                <w:szCs w:val="22"/>
                <w:lang w:val="sq-AL" w:eastAsia="sq-AL"/>
              </w:rPr>
              <w:t>14.</w:t>
            </w:r>
            <w:r w:rsidRPr="00A96A10">
              <w:rPr>
                <w:rFonts w:ascii="Times New Roman" w:eastAsia="Times New Roman" w:hAnsi="Times New Roman" w:cs="Times New Roman"/>
                <w:b w:val="0"/>
                <w:bCs w:val="0"/>
                <w:noProof/>
                <w:color w:val="000000" w:themeColor="text1"/>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Afatet kohore dhe përpikmëria</w:t>
            </w:r>
            <w:bookmarkEnd w:id="13"/>
          </w:p>
        </w:tc>
      </w:tr>
      <w:tr w:rsidR="00F90DC9" w:rsidRPr="00A96A10" w14:paraId="3B006F6E" w14:textId="77777777" w:rsidTr="00F90DC9">
        <w:trPr>
          <w:trHeight w:val="567"/>
        </w:trPr>
        <w:tc>
          <w:tcPr>
            <w:tcW w:w="2457" w:type="dxa"/>
            <w:shd w:val="clear" w:color="auto" w:fill="FFFFCC"/>
            <w:noWrap/>
            <w:vAlign w:val="center"/>
            <w:hideMark/>
          </w:tcPr>
          <w:p w14:paraId="00218430" w14:textId="77777777" w:rsidR="00F90DC9" w:rsidRPr="00A96A10" w:rsidRDefault="00F90DC9" w:rsidP="00506308">
            <w:pPr>
              <w:spacing w:after="0"/>
              <w:jc w:val="both"/>
              <w:rPr>
                <w:rFonts w:ascii="Times New Roman" w:eastAsia="Times New Roman" w:hAnsi="Times New Roman" w:cs="Times New Roman"/>
                <w:noProof/>
                <w:color w:val="000000" w:themeColor="text1"/>
                <w:lang w:val="sq-AL" w:eastAsia="sq-AL"/>
              </w:rPr>
            </w:pPr>
            <w:r w:rsidRPr="00A96A10">
              <w:rPr>
                <w:rFonts w:ascii="Times New Roman" w:eastAsia="Times New Roman" w:hAnsi="Times New Roman" w:cs="Times New Roman"/>
                <w:noProof/>
                <w:color w:val="000000" w:themeColor="text1"/>
                <w:lang w:val="sq-AL" w:eastAsia="sq-AL"/>
              </w:rPr>
              <w:t>14.1. Afatet kohore </w:t>
            </w:r>
          </w:p>
        </w:tc>
        <w:tc>
          <w:tcPr>
            <w:tcW w:w="7970" w:type="dxa"/>
            <w:vAlign w:val="center"/>
          </w:tcPr>
          <w:p w14:paraId="09AF6A38" w14:textId="77777777" w:rsidR="008F17DF" w:rsidRPr="00A96A10" w:rsidRDefault="008F17DF" w:rsidP="00506308">
            <w:pPr>
              <w:spacing w:after="60"/>
              <w:jc w:val="both"/>
              <w:rPr>
                <w:rFonts w:ascii="Times New Roman" w:eastAsia="Arial" w:hAnsi="Times New Roman" w:cs="Times New Roman"/>
              </w:rPr>
            </w:pPr>
            <w:r w:rsidRPr="00A96A10">
              <w:rPr>
                <w:rFonts w:ascii="Times New Roman" w:eastAsia="Arial" w:hAnsi="Times New Roman" w:cs="Times New Roman"/>
              </w:rPr>
              <w:t xml:space="preserve">Rregullorja (BE) Nr. 184/2005 e ndryshuar nga Rregullorja (BE) Nr. 555/2012 përcakton kërkesat e afateve kohore dhe vendos afatet për transmetimin e të dhënave tek Eurostat. </w:t>
            </w:r>
          </w:p>
          <w:p w14:paraId="60177074" w14:textId="32E92726" w:rsidR="00F90DC9" w:rsidRPr="00A96A10" w:rsidRDefault="00F90DC9" w:rsidP="00506308">
            <w:pPr>
              <w:spacing w:after="60"/>
              <w:jc w:val="both"/>
              <w:rPr>
                <w:rFonts w:ascii="Times New Roman" w:hAnsi="Times New Roman" w:cs="Times New Roman"/>
              </w:rPr>
            </w:pPr>
            <w:r w:rsidRPr="00A96A10">
              <w:rPr>
                <w:rFonts w:ascii="Times New Roman" w:hAnsi="Times New Roman" w:cs="Times New Roman"/>
              </w:rPr>
              <w:t>Të dhënat e investimeve d</w:t>
            </w:r>
            <w:r w:rsidR="00CD7581" w:rsidRPr="00A96A10">
              <w:rPr>
                <w:rFonts w:ascii="Times New Roman" w:hAnsi="Times New Roman" w:cs="Times New Roman"/>
              </w:rPr>
              <w:t xml:space="preserve">irekte </w:t>
            </w:r>
            <w:r w:rsidRPr="00A96A10">
              <w:rPr>
                <w:rFonts w:ascii="Times New Roman" w:hAnsi="Times New Roman" w:cs="Times New Roman"/>
              </w:rPr>
              <w:t>transmetohen vjetore brenda 9 muajve pas periudhës së referencës.</w:t>
            </w:r>
          </w:p>
          <w:p w14:paraId="6E0961F7" w14:textId="798D5C95" w:rsidR="00CD7581" w:rsidRPr="00A96A10" w:rsidRDefault="000A026D" w:rsidP="00506308">
            <w:pPr>
              <w:spacing w:after="120"/>
              <w:jc w:val="both"/>
              <w:rPr>
                <w:rFonts w:ascii="Times New Roman" w:eastAsia="Arial" w:hAnsi="Times New Roman" w:cs="Times New Roman"/>
              </w:rPr>
            </w:pPr>
            <w:r w:rsidRPr="00A96A10">
              <w:rPr>
                <w:rFonts w:ascii="Times New Roman" w:eastAsia="Arial" w:hAnsi="Times New Roman" w:cs="Times New Roman"/>
              </w:rPr>
              <w:t xml:space="preserve">Afatet kohore për të dhënat e pozicionit të investimeve ndërkombetare bazohen në disa etapa që janë: mbledhja, hartimi, validimi dhe publikimi i të dhënave. Tabela në vijim tregon afatet për secilën etapë. </w:t>
            </w:r>
          </w:p>
          <w:tbl>
            <w:tblPr>
              <w:tblStyle w:val="TableGrid2"/>
              <w:tblW w:w="7641" w:type="dxa"/>
              <w:tblLook w:val="04A0" w:firstRow="1" w:lastRow="0" w:firstColumn="1" w:lastColumn="0" w:noHBand="0" w:noVBand="1"/>
            </w:tblPr>
            <w:tblGrid>
              <w:gridCol w:w="1645"/>
              <w:gridCol w:w="1350"/>
              <w:gridCol w:w="1530"/>
              <w:gridCol w:w="1380"/>
              <w:gridCol w:w="1736"/>
            </w:tblGrid>
            <w:tr w:rsidR="000A026D" w:rsidRPr="00A96A10" w14:paraId="23B6EF71" w14:textId="77777777" w:rsidTr="00C02367">
              <w:trPr>
                <w:trHeight w:val="413"/>
              </w:trPr>
              <w:tc>
                <w:tcPr>
                  <w:tcW w:w="1645" w:type="dxa"/>
                  <w:tcBorders>
                    <w:top w:val="single" w:sz="4" w:space="0" w:color="auto"/>
                    <w:left w:val="single" w:sz="4" w:space="0" w:color="auto"/>
                    <w:bottom w:val="single" w:sz="4" w:space="0" w:color="auto"/>
                    <w:right w:val="single" w:sz="4" w:space="0" w:color="auto"/>
                  </w:tcBorders>
                  <w:hideMark/>
                </w:tcPr>
                <w:p w14:paraId="2224C6DA" w14:textId="77777777" w:rsidR="000A026D" w:rsidRPr="00A96A10" w:rsidRDefault="000A026D" w:rsidP="00506308">
                  <w:pPr>
                    <w:jc w:val="both"/>
                    <w:rPr>
                      <w:rFonts w:ascii="Times New Roman" w:hAnsi="Times New Roman"/>
                    </w:rPr>
                  </w:pPr>
                  <w:r w:rsidRPr="00A96A10">
                    <w:rPr>
                      <w:rFonts w:ascii="Times New Roman" w:hAnsi="Times New Roman"/>
                    </w:rPr>
                    <w:t>Përshkrimi</w:t>
                  </w:r>
                </w:p>
              </w:tc>
              <w:tc>
                <w:tcPr>
                  <w:tcW w:w="1350" w:type="dxa"/>
                  <w:tcBorders>
                    <w:top w:val="single" w:sz="4" w:space="0" w:color="auto"/>
                    <w:left w:val="single" w:sz="4" w:space="0" w:color="auto"/>
                    <w:bottom w:val="single" w:sz="4" w:space="0" w:color="auto"/>
                    <w:right w:val="single" w:sz="4" w:space="0" w:color="auto"/>
                  </w:tcBorders>
                  <w:hideMark/>
                </w:tcPr>
                <w:p w14:paraId="77ED5B94" w14:textId="77777777" w:rsidR="000A026D" w:rsidRPr="00A96A10" w:rsidRDefault="000A026D" w:rsidP="00506308">
                  <w:pPr>
                    <w:jc w:val="both"/>
                    <w:rPr>
                      <w:rFonts w:ascii="Times New Roman" w:hAnsi="Times New Roman"/>
                    </w:rPr>
                  </w:pPr>
                  <w:r w:rsidRPr="00A96A10">
                    <w:rPr>
                      <w:rFonts w:ascii="Times New Roman" w:hAnsi="Times New Roman"/>
                    </w:rPr>
                    <w:t>Mbledhja</w:t>
                  </w:r>
                </w:p>
              </w:tc>
              <w:tc>
                <w:tcPr>
                  <w:tcW w:w="1530" w:type="dxa"/>
                  <w:tcBorders>
                    <w:top w:val="single" w:sz="4" w:space="0" w:color="auto"/>
                    <w:left w:val="single" w:sz="4" w:space="0" w:color="auto"/>
                    <w:bottom w:val="single" w:sz="4" w:space="0" w:color="auto"/>
                    <w:right w:val="single" w:sz="4" w:space="0" w:color="auto"/>
                  </w:tcBorders>
                  <w:hideMark/>
                </w:tcPr>
                <w:p w14:paraId="67DF3A6B" w14:textId="77777777" w:rsidR="000A026D" w:rsidRPr="00A96A10" w:rsidRDefault="000A026D" w:rsidP="00506308">
                  <w:pPr>
                    <w:jc w:val="both"/>
                    <w:rPr>
                      <w:rFonts w:ascii="Times New Roman" w:hAnsi="Times New Roman"/>
                    </w:rPr>
                  </w:pPr>
                  <w:r w:rsidRPr="00A96A10">
                    <w:rPr>
                      <w:rFonts w:ascii="Times New Roman" w:hAnsi="Times New Roman"/>
                    </w:rPr>
                    <w:t>Rishikimi tremujor</w:t>
                  </w:r>
                </w:p>
              </w:tc>
              <w:tc>
                <w:tcPr>
                  <w:tcW w:w="1380" w:type="dxa"/>
                  <w:tcBorders>
                    <w:top w:val="single" w:sz="4" w:space="0" w:color="auto"/>
                    <w:left w:val="single" w:sz="4" w:space="0" w:color="auto"/>
                    <w:bottom w:val="single" w:sz="4" w:space="0" w:color="auto"/>
                    <w:right w:val="single" w:sz="4" w:space="0" w:color="auto"/>
                  </w:tcBorders>
                  <w:hideMark/>
                </w:tcPr>
                <w:p w14:paraId="79D10C3C" w14:textId="77777777" w:rsidR="000A026D" w:rsidRPr="00A96A10" w:rsidRDefault="000A026D" w:rsidP="00506308">
                  <w:pPr>
                    <w:jc w:val="both"/>
                    <w:rPr>
                      <w:rFonts w:ascii="Times New Roman" w:hAnsi="Times New Roman"/>
                    </w:rPr>
                  </w:pPr>
                  <w:r w:rsidRPr="00A96A10">
                    <w:rPr>
                      <w:rFonts w:ascii="Times New Roman" w:hAnsi="Times New Roman"/>
                    </w:rPr>
                    <w:t>Vlefshmëria</w:t>
                  </w:r>
                </w:p>
              </w:tc>
              <w:tc>
                <w:tcPr>
                  <w:tcW w:w="1736" w:type="dxa"/>
                  <w:tcBorders>
                    <w:top w:val="single" w:sz="4" w:space="0" w:color="auto"/>
                    <w:left w:val="single" w:sz="4" w:space="0" w:color="auto"/>
                    <w:bottom w:val="single" w:sz="4" w:space="0" w:color="auto"/>
                    <w:right w:val="single" w:sz="4" w:space="0" w:color="auto"/>
                  </w:tcBorders>
                  <w:hideMark/>
                </w:tcPr>
                <w:p w14:paraId="63CF532E" w14:textId="77777777" w:rsidR="000A026D" w:rsidRPr="00A96A10" w:rsidRDefault="000A026D" w:rsidP="00506308">
                  <w:pPr>
                    <w:jc w:val="both"/>
                    <w:rPr>
                      <w:rFonts w:ascii="Times New Roman" w:hAnsi="Times New Roman"/>
                    </w:rPr>
                  </w:pPr>
                  <w:r w:rsidRPr="00A96A10">
                    <w:rPr>
                      <w:rFonts w:ascii="Times New Roman" w:hAnsi="Times New Roman"/>
                    </w:rPr>
                    <w:t>Transmetimi tek Eurostat</w:t>
                  </w:r>
                </w:p>
              </w:tc>
            </w:tr>
            <w:tr w:rsidR="000A026D" w:rsidRPr="00A96A10" w14:paraId="5828F759" w14:textId="77777777" w:rsidTr="00C02367">
              <w:trPr>
                <w:trHeight w:val="671"/>
              </w:trPr>
              <w:tc>
                <w:tcPr>
                  <w:tcW w:w="1645" w:type="dxa"/>
                  <w:tcBorders>
                    <w:top w:val="single" w:sz="4" w:space="0" w:color="auto"/>
                    <w:left w:val="single" w:sz="4" w:space="0" w:color="auto"/>
                    <w:bottom w:val="single" w:sz="4" w:space="0" w:color="auto"/>
                    <w:right w:val="single" w:sz="4" w:space="0" w:color="auto"/>
                  </w:tcBorders>
                  <w:vAlign w:val="center"/>
                  <w:hideMark/>
                </w:tcPr>
                <w:p w14:paraId="3C0C92D3" w14:textId="77777777" w:rsidR="000A026D" w:rsidRPr="00A96A10" w:rsidRDefault="000A026D" w:rsidP="00506308">
                  <w:pPr>
                    <w:jc w:val="both"/>
                    <w:rPr>
                      <w:rFonts w:ascii="Times New Roman" w:hAnsi="Times New Roman"/>
                    </w:rPr>
                  </w:pPr>
                  <w:r w:rsidRPr="00A96A10">
                    <w:rPr>
                      <w:rFonts w:ascii="Times New Roman" w:hAnsi="Times New Roman"/>
                    </w:rPr>
                    <w:t>IHD vjetor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697B26" w14:textId="77777777" w:rsidR="000A026D" w:rsidRPr="00A96A10" w:rsidRDefault="000A026D" w:rsidP="00506308">
                  <w:pPr>
                    <w:jc w:val="both"/>
                    <w:rPr>
                      <w:rFonts w:ascii="Times New Roman" w:hAnsi="Times New Roman"/>
                    </w:rPr>
                  </w:pPr>
                  <w:r w:rsidRPr="00A96A10">
                    <w:rPr>
                      <w:rFonts w:ascii="Times New Roman" w:hAnsi="Times New Roman"/>
                    </w:rPr>
                    <w:t>t+7 muaj</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A63A1E" w14:textId="77777777" w:rsidR="000A026D" w:rsidRPr="00A96A10" w:rsidRDefault="000A026D" w:rsidP="00506308">
                  <w:pPr>
                    <w:jc w:val="both"/>
                    <w:rPr>
                      <w:rFonts w:ascii="Times New Roman" w:hAnsi="Times New Roman"/>
                    </w:rPr>
                  </w:pPr>
                  <w:r w:rsidRPr="00A96A10">
                    <w:rPr>
                      <w:rFonts w:ascii="Times New Roman" w:hAnsi="Times New Roman"/>
                    </w:rPr>
                    <w:t>t+8 muaj</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A107E84" w14:textId="77777777" w:rsidR="000A026D" w:rsidRPr="00A96A10" w:rsidRDefault="000A026D" w:rsidP="00506308">
                  <w:pPr>
                    <w:jc w:val="both"/>
                    <w:rPr>
                      <w:rFonts w:ascii="Times New Roman" w:hAnsi="Times New Roman"/>
                    </w:rPr>
                  </w:pPr>
                  <w:r w:rsidRPr="00A96A10">
                    <w:rPr>
                      <w:rFonts w:ascii="Times New Roman" w:hAnsi="Times New Roman"/>
                    </w:rPr>
                    <w:t>t+8.5 muaj</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5D28443" w14:textId="77777777" w:rsidR="000A026D" w:rsidRPr="00A96A10" w:rsidRDefault="000A026D" w:rsidP="00506308">
                  <w:pPr>
                    <w:jc w:val="both"/>
                    <w:rPr>
                      <w:rFonts w:ascii="Times New Roman" w:hAnsi="Times New Roman"/>
                    </w:rPr>
                  </w:pPr>
                  <w:r w:rsidRPr="00A96A10">
                    <w:rPr>
                      <w:rFonts w:ascii="Times New Roman" w:hAnsi="Times New Roman"/>
                    </w:rPr>
                    <w:t>t+9 muaj</w:t>
                  </w:r>
                </w:p>
              </w:tc>
            </w:tr>
          </w:tbl>
          <w:p w14:paraId="3AC547C1" w14:textId="77777777" w:rsidR="000A026D" w:rsidRPr="00A96A10" w:rsidRDefault="000A026D" w:rsidP="00506308">
            <w:pPr>
              <w:spacing w:after="60"/>
              <w:jc w:val="both"/>
              <w:rPr>
                <w:rFonts w:ascii="Times New Roman" w:hAnsi="Times New Roman" w:cs="Times New Roman"/>
              </w:rPr>
            </w:pPr>
          </w:p>
          <w:p w14:paraId="183E5182" w14:textId="29C9B8DA" w:rsidR="000A026D" w:rsidRPr="00A96A10" w:rsidRDefault="000A026D" w:rsidP="00506308">
            <w:pPr>
              <w:spacing w:after="60"/>
              <w:jc w:val="both"/>
              <w:rPr>
                <w:rFonts w:ascii="Times New Roman" w:hAnsi="Times New Roman" w:cs="Times New Roman"/>
                <w:i/>
                <w:iCs/>
              </w:rPr>
            </w:pPr>
            <w:r w:rsidRPr="00A96A10">
              <w:rPr>
                <w:rFonts w:ascii="Times New Roman" w:hAnsi="Times New Roman" w:cs="Times New Roman"/>
              </w:rPr>
              <w:t>Të dhënat e investimeve të direkte publikohen brenda t+85 ditë</w:t>
            </w:r>
            <w:r w:rsidRPr="00A96A10">
              <w:rPr>
                <w:rFonts w:ascii="Times New Roman" w:hAnsi="Times New Roman" w:cs="Times New Roman"/>
                <w:i/>
                <w:iCs/>
              </w:rPr>
              <w:t>.</w:t>
            </w:r>
          </w:p>
          <w:tbl>
            <w:tblPr>
              <w:tblStyle w:val="TableGrid2"/>
              <w:tblW w:w="7637" w:type="dxa"/>
              <w:tblLook w:val="04A0" w:firstRow="1" w:lastRow="0" w:firstColumn="1" w:lastColumn="0" w:noHBand="0" w:noVBand="1"/>
            </w:tblPr>
            <w:tblGrid>
              <w:gridCol w:w="1645"/>
              <w:gridCol w:w="1350"/>
              <w:gridCol w:w="1530"/>
              <w:gridCol w:w="1440"/>
              <w:gridCol w:w="1672"/>
            </w:tblGrid>
            <w:tr w:rsidR="00CD7581" w:rsidRPr="00A96A10" w14:paraId="4D4D8E81" w14:textId="77777777" w:rsidTr="00086146">
              <w:trPr>
                <w:trHeight w:val="825"/>
              </w:trPr>
              <w:tc>
                <w:tcPr>
                  <w:tcW w:w="1645" w:type="dxa"/>
                  <w:tcBorders>
                    <w:top w:val="single" w:sz="4" w:space="0" w:color="auto"/>
                    <w:left w:val="single" w:sz="4" w:space="0" w:color="auto"/>
                    <w:bottom w:val="single" w:sz="4" w:space="0" w:color="auto"/>
                    <w:right w:val="single" w:sz="4" w:space="0" w:color="auto"/>
                  </w:tcBorders>
                  <w:hideMark/>
                </w:tcPr>
                <w:p w14:paraId="41327DAE" w14:textId="57F8D060" w:rsidR="00CD7581" w:rsidRPr="00A96A10" w:rsidRDefault="00CD7581" w:rsidP="00506308">
                  <w:pPr>
                    <w:jc w:val="both"/>
                    <w:rPr>
                      <w:rFonts w:ascii="Times New Roman" w:hAnsi="Times New Roman"/>
                    </w:rPr>
                  </w:pPr>
                  <w:r w:rsidRPr="00A96A10">
                    <w:rPr>
                      <w:rFonts w:ascii="Times New Roman" w:hAnsi="Times New Roman"/>
                    </w:rPr>
                    <w:t>Përshkrimi</w:t>
                  </w:r>
                </w:p>
              </w:tc>
              <w:tc>
                <w:tcPr>
                  <w:tcW w:w="1350" w:type="dxa"/>
                  <w:tcBorders>
                    <w:top w:val="single" w:sz="4" w:space="0" w:color="auto"/>
                    <w:left w:val="single" w:sz="4" w:space="0" w:color="auto"/>
                    <w:bottom w:val="single" w:sz="4" w:space="0" w:color="auto"/>
                    <w:right w:val="single" w:sz="4" w:space="0" w:color="auto"/>
                  </w:tcBorders>
                  <w:hideMark/>
                </w:tcPr>
                <w:p w14:paraId="490C64BC" w14:textId="15D1D07D" w:rsidR="00CD7581" w:rsidRPr="00A96A10" w:rsidRDefault="00CD7581" w:rsidP="00506308">
                  <w:pPr>
                    <w:jc w:val="both"/>
                    <w:rPr>
                      <w:rFonts w:ascii="Times New Roman" w:hAnsi="Times New Roman"/>
                    </w:rPr>
                  </w:pPr>
                  <w:r w:rsidRPr="00A96A10">
                    <w:rPr>
                      <w:rFonts w:ascii="Times New Roman" w:hAnsi="Times New Roman"/>
                    </w:rPr>
                    <w:t>Mbledhja</w:t>
                  </w:r>
                </w:p>
              </w:tc>
              <w:tc>
                <w:tcPr>
                  <w:tcW w:w="1530" w:type="dxa"/>
                  <w:tcBorders>
                    <w:top w:val="single" w:sz="4" w:space="0" w:color="auto"/>
                    <w:left w:val="single" w:sz="4" w:space="0" w:color="auto"/>
                    <w:bottom w:val="single" w:sz="4" w:space="0" w:color="auto"/>
                    <w:right w:val="single" w:sz="4" w:space="0" w:color="auto"/>
                  </w:tcBorders>
                  <w:hideMark/>
                </w:tcPr>
                <w:p w14:paraId="7B81690B" w14:textId="0171727A" w:rsidR="00CD7581" w:rsidRPr="00A96A10" w:rsidRDefault="000A026D" w:rsidP="00506308">
                  <w:pPr>
                    <w:jc w:val="both"/>
                    <w:rPr>
                      <w:rFonts w:ascii="Times New Roman" w:hAnsi="Times New Roman"/>
                    </w:rPr>
                  </w:pPr>
                  <w:r w:rsidRPr="00A96A10">
                    <w:rPr>
                      <w:rFonts w:ascii="Times New Roman" w:hAnsi="Times New Roman"/>
                    </w:rPr>
                    <w:t>Hartimi</w:t>
                  </w:r>
                </w:p>
              </w:tc>
              <w:tc>
                <w:tcPr>
                  <w:tcW w:w="1440" w:type="dxa"/>
                  <w:tcBorders>
                    <w:top w:val="single" w:sz="4" w:space="0" w:color="auto"/>
                    <w:left w:val="single" w:sz="4" w:space="0" w:color="auto"/>
                    <w:bottom w:val="single" w:sz="4" w:space="0" w:color="auto"/>
                    <w:right w:val="single" w:sz="4" w:space="0" w:color="auto"/>
                  </w:tcBorders>
                  <w:hideMark/>
                </w:tcPr>
                <w:p w14:paraId="2EA7C8A7" w14:textId="1EE190DF" w:rsidR="00CD7581" w:rsidRPr="00A96A10" w:rsidRDefault="00CD7581" w:rsidP="00506308">
                  <w:pPr>
                    <w:jc w:val="both"/>
                    <w:rPr>
                      <w:rFonts w:ascii="Times New Roman" w:hAnsi="Times New Roman"/>
                    </w:rPr>
                  </w:pPr>
                  <w:r w:rsidRPr="00A96A10">
                    <w:rPr>
                      <w:rFonts w:ascii="Times New Roman" w:hAnsi="Times New Roman"/>
                    </w:rPr>
                    <w:t>V</w:t>
                  </w:r>
                  <w:r w:rsidR="000A026D" w:rsidRPr="00A96A10">
                    <w:rPr>
                      <w:rFonts w:ascii="Times New Roman" w:hAnsi="Times New Roman"/>
                    </w:rPr>
                    <w:t>alidimi</w:t>
                  </w:r>
                </w:p>
              </w:tc>
              <w:tc>
                <w:tcPr>
                  <w:tcW w:w="1672" w:type="dxa"/>
                  <w:tcBorders>
                    <w:top w:val="single" w:sz="4" w:space="0" w:color="auto"/>
                    <w:left w:val="single" w:sz="4" w:space="0" w:color="auto"/>
                    <w:bottom w:val="single" w:sz="4" w:space="0" w:color="auto"/>
                    <w:right w:val="single" w:sz="4" w:space="0" w:color="auto"/>
                  </w:tcBorders>
                  <w:hideMark/>
                </w:tcPr>
                <w:p w14:paraId="75C979AB" w14:textId="5AA5BB2A" w:rsidR="00CD7581" w:rsidRPr="00A96A10" w:rsidRDefault="00CD7581" w:rsidP="00506308">
                  <w:pPr>
                    <w:jc w:val="both"/>
                    <w:rPr>
                      <w:rFonts w:ascii="Times New Roman" w:hAnsi="Times New Roman"/>
                    </w:rPr>
                  </w:pPr>
                  <w:r w:rsidRPr="00A96A10">
                    <w:rPr>
                      <w:rFonts w:ascii="Times New Roman" w:hAnsi="Times New Roman"/>
                    </w:rPr>
                    <w:t>Publikimi</w:t>
                  </w:r>
                </w:p>
              </w:tc>
            </w:tr>
            <w:tr w:rsidR="00CD7581" w:rsidRPr="00A96A10" w14:paraId="3978BF4C" w14:textId="77777777" w:rsidTr="00086146">
              <w:trPr>
                <w:trHeight w:val="510"/>
              </w:trPr>
              <w:tc>
                <w:tcPr>
                  <w:tcW w:w="1645" w:type="dxa"/>
                  <w:tcBorders>
                    <w:top w:val="single" w:sz="4" w:space="0" w:color="auto"/>
                    <w:left w:val="single" w:sz="4" w:space="0" w:color="auto"/>
                    <w:bottom w:val="single" w:sz="4" w:space="0" w:color="auto"/>
                    <w:right w:val="single" w:sz="4" w:space="0" w:color="auto"/>
                  </w:tcBorders>
                  <w:vAlign w:val="center"/>
                  <w:hideMark/>
                </w:tcPr>
                <w:p w14:paraId="3360CE98" w14:textId="0E847EC8" w:rsidR="00CD7581" w:rsidRPr="00A96A10" w:rsidRDefault="00CD7581" w:rsidP="00506308">
                  <w:pPr>
                    <w:jc w:val="both"/>
                    <w:rPr>
                      <w:rFonts w:ascii="Times New Roman" w:hAnsi="Times New Roman"/>
                    </w:rPr>
                  </w:pPr>
                  <w:r w:rsidRPr="00A96A10">
                    <w:rPr>
                      <w:rFonts w:ascii="Times New Roman" w:hAnsi="Times New Roman"/>
                    </w:rPr>
                    <w:t>IHD (tremujor)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E26DFE" w14:textId="4C0A7218" w:rsidR="00CD7581" w:rsidRPr="00A96A10" w:rsidRDefault="00CD7581" w:rsidP="00506308">
                  <w:pPr>
                    <w:jc w:val="both"/>
                    <w:rPr>
                      <w:rFonts w:ascii="Times New Roman" w:hAnsi="Times New Roman"/>
                    </w:rPr>
                  </w:pPr>
                  <w:r w:rsidRPr="00A96A10">
                    <w:rPr>
                      <w:rFonts w:ascii="Times New Roman" w:hAnsi="Times New Roman"/>
                    </w:rPr>
                    <w:t>t+30 dit</w:t>
                  </w:r>
                  <w:r w:rsidR="00F31B20" w:rsidRPr="00A96A10">
                    <w:rPr>
                      <w:rFonts w:ascii="Times New Roman" w:hAnsi="Times New Roman"/>
                    </w:rPr>
                    <w:t>ë</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A27BC5" w14:textId="5A200337" w:rsidR="00CD7581" w:rsidRPr="00A96A10" w:rsidRDefault="00CD7581" w:rsidP="00506308">
                  <w:pPr>
                    <w:jc w:val="both"/>
                    <w:rPr>
                      <w:rFonts w:ascii="Times New Roman" w:hAnsi="Times New Roman"/>
                    </w:rPr>
                  </w:pPr>
                  <w:r w:rsidRPr="00A96A10">
                    <w:rPr>
                      <w:rFonts w:ascii="Times New Roman" w:hAnsi="Times New Roman"/>
                    </w:rPr>
                    <w:t>t+40 dit</w:t>
                  </w:r>
                  <w:r w:rsidR="00F31B20" w:rsidRPr="00A96A10">
                    <w:rPr>
                      <w:rFonts w:ascii="Times New Roman" w:hAnsi="Times New Roman"/>
                    </w:rPr>
                    <w:t>ë</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730DE2" w14:textId="35A19F93" w:rsidR="00CD7581" w:rsidRPr="00A96A10" w:rsidRDefault="00CD7581" w:rsidP="00506308">
                  <w:pPr>
                    <w:jc w:val="both"/>
                    <w:rPr>
                      <w:rFonts w:ascii="Times New Roman" w:hAnsi="Times New Roman"/>
                    </w:rPr>
                  </w:pPr>
                  <w:r w:rsidRPr="00A96A10">
                    <w:rPr>
                      <w:rFonts w:ascii="Times New Roman" w:hAnsi="Times New Roman"/>
                    </w:rPr>
                    <w:t>t+60 dit</w:t>
                  </w:r>
                  <w:r w:rsidR="00F31B20" w:rsidRPr="00A96A10">
                    <w:rPr>
                      <w:rFonts w:ascii="Times New Roman" w:hAnsi="Times New Roman"/>
                    </w:rPr>
                    <w:t>ë</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CE85E5C" w14:textId="31852650" w:rsidR="00CD7581" w:rsidRPr="00A96A10" w:rsidRDefault="00CD7581" w:rsidP="00506308">
                  <w:pPr>
                    <w:jc w:val="both"/>
                    <w:rPr>
                      <w:rFonts w:ascii="Times New Roman" w:hAnsi="Times New Roman"/>
                    </w:rPr>
                  </w:pPr>
                  <w:r w:rsidRPr="00A96A10">
                    <w:rPr>
                      <w:rFonts w:ascii="Times New Roman" w:hAnsi="Times New Roman"/>
                    </w:rPr>
                    <w:t>t+85 dit</w:t>
                  </w:r>
                  <w:r w:rsidR="00F31B20" w:rsidRPr="00A96A10">
                    <w:rPr>
                      <w:rFonts w:ascii="Times New Roman" w:hAnsi="Times New Roman"/>
                    </w:rPr>
                    <w:t>ë</w:t>
                  </w:r>
                </w:p>
              </w:tc>
            </w:tr>
          </w:tbl>
          <w:p w14:paraId="20D8DF6F" w14:textId="68565F4D" w:rsidR="00F90DC9" w:rsidRPr="00A96A10" w:rsidRDefault="000A026D" w:rsidP="00506308">
            <w:pPr>
              <w:spacing w:after="0"/>
              <w:jc w:val="both"/>
              <w:rPr>
                <w:rFonts w:ascii="Times New Roman" w:eastAsia="Times New Roman" w:hAnsi="Times New Roman" w:cs="Times New Roman"/>
                <w:noProof/>
                <w:color w:val="000000" w:themeColor="text1"/>
                <w:lang w:val="sq-AL" w:eastAsia="sq-AL"/>
              </w:rPr>
            </w:pPr>
            <w:r w:rsidRPr="00A96A10">
              <w:rPr>
                <w:rFonts w:ascii="Times New Roman" w:eastAsiaTheme="minorEastAsia" w:hAnsi="Times New Roman" w:cs="Times New Roman"/>
                <w:color w:val="000000" w:themeColor="text1"/>
              </w:rPr>
              <w:t xml:space="preserve">Seritë kohore për të dhënat më të hershme se sa periudha e fundit rishikohen në raste ndryshimesh metodologjike ose burime të reja të të dhënave. </w:t>
            </w:r>
            <w:r w:rsidRPr="00A96A10">
              <w:rPr>
                <w:rFonts w:ascii="Times New Roman" w:eastAsia="Arial" w:hAnsi="Times New Roman" w:cs="Times New Roman"/>
              </w:rPr>
              <w:t>Afatet kohore për të dhënat përfundimtare mund të jenë të disponueshme dy vjet pas publikimit të parë. Në rastet e ndryshimeve të mëdha metodologjike rishikohet një seri më e gjatë kohore.</w:t>
            </w:r>
          </w:p>
        </w:tc>
      </w:tr>
      <w:tr w:rsidR="00F90DC9" w:rsidRPr="00A96A10" w14:paraId="285C27D9" w14:textId="77777777" w:rsidTr="00F90DC9">
        <w:trPr>
          <w:trHeight w:val="567"/>
        </w:trPr>
        <w:tc>
          <w:tcPr>
            <w:tcW w:w="2457" w:type="dxa"/>
            <w:shd w:val="clear" w:color="auto" w:fill="FFFFCC"/>
            <w:noWrap/>
            <w:vAlign w:val="center"/>
            <w:hideMark/>
          </w:tcPr>
          <w:p w14:paraId="1ABFA97A" w14:textId="77777777" w:rsidR="00F90DC9" w:rsidRPr="00A96A10" w:rsidRDefault="00F90DC9" w:rsidP="00506308">
            <w:pPr>
              <w:spacing w:after="0"/>
              <w:jc w:val="both"/>
              <w:rPr>
                <w:rFonts w:ascii="Times New Roman" w:eastAsia="Times New Roman" w:hAnsi="Times New Roman" w:cs="Times New Roman"/>
                <w:bCs/>
                <w:noProof/>
                <w:color w:val="000000" w:themeColor="text1"/>
                <w:lang w:val="sq-AL" w:eastAsia="sq-AL"/>
              </w:rPr>
            </w:pPr>
            <w:r w:rsidRPr="00A96A10">
              <w:rPr>
                <w:rFonts w:ascii="Times New Roman" w:eastAsia="Times New Roman" w:hAnsi="Times New Roman" w:cs="Times New Roman"/>
                <w:noProof/>
                <w:color w:val="000000" w:themeColor="text1"/>
                <w:lang w:val="sq-AL" w:eastAsia="sq-AL"/>
              </w:rPr>
              <w:t xml:space="preserve">14.2. </w:t>
            </w:r>
            <w:r w:rsidRPr="00A96A10">
              <w:rPr>
                <w:rFonts w:ascii="Times New Roman" w:eastAsia="Times New Roman" w:hAnsi="Times New Roman" w:cs="Times New Roman"/>
                <w:bCs/>
                <w:noProof/>
                <w:color w:val="000000" w:themeColor="text1"/>
                <w:lang w:val="sq-AL" w:eastAsia="sq-AL"/>
              </w:rPr>
              <w:t>Përpikmëria</w:t>
            </w:r>
          </w:p>
        </w:tc>
        <w:tc>
          <w:tcPr>
            <w:tcW w:w="7970" w:type="dxa"/>
            <w:vAlign w:val="center"/>
          </w:tcPr>
          <w:p w14:paraId="0BBEBF58" w14:textId="01B4A591" w:rsidR="004C03CF" w:rsidRPr="00A96A10" w:rsidRDefault="00F90DC9" w:rsidP="00506308">
            <w:pPr>
              <w:spacing w:after="0"/>
              <w:jc w:val="both"/>
              <w:rPr>
                <w:rFonts w:ascii="Times New Roman" w:eastAsia="Times New Roman" w:hAnsi="Times New Roman" w:cs="Times New Roman"/>
                <w:bCs/>
                <w:noProof/>
                <w:color w:val="000000" w:themeColor="text1"/>
                <w:lang w:eastAsia="sq-AL"/>
              </w:rPr>
            </w:pPr>
            <w:r w:rsidRPr="00A96A10">
              <w:rPr>
                <w:rFonts w:ascii="Times New Roman" w:eastAsia="Times New Roman" w:hAnsi="Times New Roman" w:cs="Times New Roman"/>
                <w:bCs/>
                <w:noProof/>
                <w:color w:val="000000" w:themeColor="text1"/>
                <w:lang w:eastAsia="sq-AL"/>
              </w:rPr>
              <w:t xml:space="preserve">Transmetimi i parë i të dhënave </w:t>
            </w:r>
            <w:r w:rsidR="000A026D" w:rsidRPr="00A96A10">
              <w:rPr>
                <w:rFonts w:ascii="Times New Roman" w:eastAsia="Times New Roman" w:hAnsi="Times New Roman" w:cs="Times New Roman"/>
                <w:bCs/>
                <w:noProof/>
                <w:color w:val="000000" w:themeColor="text1"/>
                <w:lang w:eastAsia="sq-AL"/>
              </w:rPr>
              <w:t>në</w:t>
            </w:r>
            <w:r w:rsidRPr="00A96A10">
              <w:rPr>
                <w:rFonts w:ascii="Times New Roman" w:eastAsia="Times New Roman" w:hAnsi="Times New Roman" w:cs="Times New Roman"/>
                <w:bCs/>
                <w:noProof/>
                <w:color w:val="000000" w:themeColor="text1"/>
                <w:lang w:eastAsia="sq-AL"/>
              </w:rPr>
              <w:t xml:space="preserve"> Eurostat u krye në shtator 2016, duke filluar nga viti 2014 vetëm për tre pyetësorë, dhe nga viti 2018 </w:t>
            </w:r>
            <w:r w:rsidR="000A026D" w:rsidRPr="00A96A10">
              <w:rPr>
                <w:rFonts w:ascii="Times New Roman" w:eastAsia="Times New Roman" w:hAnsi="Times New Roman" w:cs="Times New Roman"/>
                <w:bCs/>
                <w:noProof/>
                <w:color w:val="000000" w:themeColor="text1"/>
                <w:lang w:eastAsia="sq-AL"/>
              </w:rPr>
              <w:t>për të gjithë</w:t>
            </w:r>
            <w:r w:rsidRPr="00A96A10">
              <w:rPr>
                <w:rFonts w:ascii="Times New Roman" w:eastAsia="Times New Roman" w:hAnsi="Times New Roman" w:cs="Times New Roman"/>
                <w:bCs/>
                <w:noProof/>
                <w:color w:val="000000" w:themeColor="text1"/>
                <w:lang w:eastAsia="sq-AL"/>
              </w:rPr>
              <w:t xml:space="preserve"> pyetësorë</w:t>
            </w:r>
            <w:r w:rsidR="000A026D" w:rsidRPr="00A96A10">
              <w:rPr>
                <w:rFonts w:ascii="Times New Roman" w:eastAsia="Times New Roman" w:hAnsi="Times New Roman" w:cs="Times New Roman"/>
                <w:bCs/>
                <w:noProof/>
                <w:color w:val="000000" w:themeColor="text1"/>
                <w:lang w:eastAsia="sq-AL"/>
              </w:rPr>
              <w:t>t</w:t>
            </w:r>
            <w:r w:rsidRPr="00A96A10">
              <w:rPr>
                <w:rFonts w:ascii="Times New Roman" w:eastAsia="Times New Roman" w:hAnsi="Times New Roman" w:cs="Times New Roman"/>
                <w:bCs/>
                <w:noProof/>
                <w:color w:val="000000" w:themeColor="text1"/>
                <w:lang w:eastAsia="sq-AL"/>
              </w:rPr>
              <w:t xml:space="preserve">. </w:t>
            </w:r>
            <w:r w:rsidR="000A026D" w:rsidRPr="00A96A10">
              <w:rPr>
                <w:rFonts w:ascii="Times New Roman" w:eastAsia="Arial" w:hAnsi="Times New Roman" w:cs="Times New Roman"/>
              </w:rPr>
              <w:t xml:space="preserve">Që atëherë, përpikmëria e transmetimit të të dhënave është përmirësuar ndjeshëm. </w:t>
            </w:r>
            <w:r w:rsidRPr="00A96A10">
              <w:rPr>
                <w:rFonts w:ascii="Times New Roman" w:eastAsia="Times New Roman" w:hAnsi="Times New Roman" w:cs="Times New Roman"/>
                <w:bCs/>
                <w:noProof/>
                <w:color w:val="000000" w:themeColor="text1"/>
                <w:lang w:eastAsia="sq-AL"/>
              </w:rPr>
              <w:t>Të dhënat e fundit të IHD-ve për pyetësorët T4.1, T4.2, T4.3, T5.1 dhe T5.2 për vitin referues 2024–2025 u transmetuan nga BSH</w:t>
            </w:r>
            <w:r w:rsidR="000A026D" w:rsidRPr="00A96A10">
              <w:rPr>
                <w:rFonts w:ascii="Times New Roman" w:eastAsia="Times New Roman" w:hAnsi="Times New Roman" w:cs="Times New Roman"/>
                <w:bCs/>
                <w:noProof/>
                <w:color w:val="000000" w:themeColor="text1"/>
                <w:lang w:eastAsia="sq-AL"/>
              </w:rPr>
              <w:t xml:space="preserve"> në</w:t>
            </w:r>
            <w:r w:rsidRPr="00A96A10">
              <w:rPr>
                <w:rFonts w:ascii="Times New Roman" w:eastAsia="Times New Roman" w:hAnsi="Times New Roman" w:cs="Times New Roman"/>
                <w:bCs/>
                <w:noProof/>
                <w:color w:val="000000" w:themeColor="text1"/>
                <w:lang w:eastAsia="sq-AL"/>
              </w:rPr>
              <w:t xml:space="preserve"> Eurostat në kohë. </w:t>
            </w:r>
          </w:p>
          <w:p w14:paraId="45D570FB" w14:textId="504DB3FC" w:rsidR="00F90DC9" w:rsidRPr="00A96A10" w:rsidRDefault="000A026D" w:rsidP="00506308">
            <w:pPr>
              <w:spacing w:after="0"/>
              <w:jc w:val="both"/>
              <w:rPr>
                <w:rFonts w:ascii="Times New Roman" w:eastAsia="Times New Roman" w:hAnsi="Times New Roman" w:cs="Times New Roman"/>
                <w:bCs/>
                <w:noProof/>
                <w:color w:val="000000" w:themeColor="text1"/>
                <w:lang w:eastAsia="sq-AL"/>
              </w:rPr>
            </w:pPr>
            <w:r w:rsidRPr="00A96A10">
              <w:rPr>
                <w:rFonts w:ascii="Times New Roman" w:eastAsia="Arial" w:hAnsi="Times New Roman" w:cs="Times New Roman"/>
              </w:rPr>
              <w:t>Nuk ka pasur raste të devijimit të datës së publikimit nga data e paralajmëruar. Data e publikimit të ardhshëm do t</w:t>
            </w:r>
            <w:r w:rsidR="00484CC0" w:rsidRPr="00A96A10">
              <w:rPr>
                <w:rFonts w:ascii="Times New Roman" w:eastAsia="Arial" w:hAnsi="Times New Roman" w:cs="Times New Roman"/>
              </w:rPr>
              <w:t xml:space="preserve">ë </w:t>
            </w:r>
            <w:r w:rsidRPr="00A96A10">
              <w:rPr>
                <w:rFonts w:ascii="Times New Roman" w:eastAsia="Arial" w:hAnsi="Times New Roman" w:cs="Times New Roman"/>
              </w:rPr>
              <w:t>njoftohet paraprakisht. N</w:t>
            </w:r>
            <w:r w:rsidR="00484CC0" w:rsidRPr="00A96A10">
              <w:rPr>
                <w:rFonts w:ascii="Times New Roman" w:eastAsia="Arial" w:hAnsi="Times New Roman" w:cs="Times New Roman"/>
              </w:rPr>
              <w:t>ë</w:t>
            </w:r>
            <w:r w:rsidRPr="00A96A10">
              <w:rPr>
                <w:rFonts w:ascii="Times New Roman" w:eastAsia="Arial" w:hAnsi="Times New Roman" w:cs="Times New Roman"/>
              </w:rPr>
              <w:t xml:space="preserve"> dit</w:t>
            </w:r>
            <w:r w:rsidR="00484CC0" w:rsidRPr="00A96A10">
              <w:rPr>
                <w:rFonts w:ascii="Times New Roman" w:eastAsia="Arial" w:hAnsi="Times New Roman" w:cs="Times New Roman"/>
              </w:rPr>
              <w:t>ë</w:t>
            </w:r>
            <w:r w:rsidRPr="00A96A10">
              <w:rPr>
                <w:rFonts w:ascii="Times New Roman" w:eastAsia="Arial" w:hAnsi="Times New Roman" w:cs="Times New Roman"/>
              </w:rPr>
              <w:t>n e publikimit, t</w:t>
            </w:r>
            <w:r w:rsidR="00484CC0" w:rsidRPr="00A96A10">
              <w:rPr>
                <w:rFonts w:ascii="Times New Roman" w:eastAsia="Arial" w:hAnsi="Times New Roman" w:cs="Times New Roman"/>
              </w:rPr>
              <w:t>ë</w:t>
            </w:r>
            <w:r w:rsidRPr="00A96A10">
              <w:rPr>
                <w:rFonts w:ascii="Times New Roman" w:eastAsia="Arial" w:hAnsi="Times New Roman" w:cs="Times New Roman"/>
              </w:rPr>
              <w:t xml:space="preserve"> dh</w:t>
            </w:r>
            <w:r w:rsidR="00484CC0" w:rsidRPr="00A96A10">
              <w:rPr>
                <w:rFonts w:ascii="Times New Roman" w:eastAsia="Arial" w:hAnsi="Times New Roman" w:cs="Times New Roman"/>
              </w:rPr>
              <w:t>ë</w:t>
            </w:r>
            <w:r w:rsidRPr="00A96A10">
              <w:rPr>
                <w:rFonts w:ascii="Times New Roman" w:eastAsia="Arial" w:hAnsi="Times New Roman" w:cs="Times New Roman"/>
              </w:rPr>
              <w:t>nat statistikore publikohen gjate gjysm</w:t>
            </w:r>
            <w:r w:rsidR="00484CC0" w:rsidRPr="00A96A10">
              <w:rPr>
                <w:rFonts w:ascii="Times New Roman" w:eastAsia="Arial" w:hAnsi="Times New Roman" w:cs="Times New Roman"/>
              </w:rPr>
              <w:t>ë</w:t>
            </w:r>
            <w:r w:rsidRPr="00A96A10">
              <w:rPr>
                <w:rFonts w:ascii="Times New Roman" w:eastAsia="Arial" w:hAnsi="Times New Roman" w:cs="Times New Roman"/>
              </w:rPr>
              <w:t>s s</w:t>
            </w:r>
            <w:r w:rsidR="00484CC0" w:rsidRPr="00A96A10">
              <w:rPr>
                <w:rFonts w:ascii="Times New Roman" w:eastAsia="Arial" w:hAnsi="Times New Roman" w:cs="Times New Roman"/>
              </w:rPr>
              <w:t>ë</w:t>
            </w:r>
            <w:r w:rsidRPr="00A96A10">
              <w:rPr>
                <w:rFonts w:ascii="Times New Roman" w:eastAsia="Arial" w:hAnsi="Times New Roman" w:cs="Times New Roman"/>
              </w:rPr>
              <w:t xml:space="preserve"> dyt</w:t>
            </w:r>
            <w:r w:rsidR="00484CC0" w:rsidRPr="00A96A10">
              <w:rPr>
                <w:rFonts w:ascii="Times New Roman" w:eastAsia="Arial" w:hAnsi="Times New Roman" w:cs="Times New Roman"/>
              </w:rPr>
              <w:t>ë</w:t>
            </w:r>
            <w:r w:rsidRPr="00A96A10">
              <w:rPr>
                <w:rFonts w:ascii="Times New Roman" w:eastAsia="Arial" w:hAnsi="Times New Roman" w:cs="Times New Roman"/>
              </w:rPr>
              <w:t xml:space="preserve"> t</w:t>
            </w:r>
            <w:r w:rsidR="00484CC0" w:rsidRPr="00A96A10">
              <w:rPr>
                <w:rFonts w:ascii="Times New Roman" w:eastAsia="Arial" w:hAnsi="Times New Roman" w:cs="Times New Roman"/>
              </w:rPr>
              <w:t>ë</w:t>
            </w:r>
            <w:r w:rsidRPr="00A96A10">
              <w:rPr>
                <w:rFonts w:ascii="Times New Roman" w:eastAsia="Arial" w:hAnsi="Times New Roman" w:cs="Times New Roman"/>
              </w:rPr>
              <w:t xml:space="preserve"> dit</w:t>
            </w:r>
            <w:r w:rsidR="00484CC0" w:rsidRPr="00A96A10">
              <w:rPr>
                <w:rFonts w:ascii="Times New Roman" w:eastAsia="Arial" w:hAnsi="Times New Roman" w:cs="Times New Roman"/>
              </w:rPr>
              <w:t>ë</w:t>
            </w:r>
            <w:r w:rsidRPr="00A96A10">
              <w:rPr>
                <w:rFonts w:ascii="Times New Roman" w:eastAsia="Arial" w:hAnsi="Times New Roman" w:cs="Times New Roman"/>
              </w:rPr>
              <w:t>s s</w:t>
            </w:r>
            <w:r w:rsidR="00484CC0" w:rsidRPr="00A96A10">
              <w:rPr>
                <w:rFonts w:ascii="Times New Roman" w:eastAsia="Arial" w:hAnsi="Times New Roman" w:cs="Times New Roman"/>
              </w:rPr>
              <w:t>ë</w:t>
            </w:r>
            <w:r w:rsidRPr="00A96A10">
              <w:rPr>
                <w:rFonts w:ascii="Times New Roman" w:eastAsia="Arial" w:hAnsi="Times New Roman" w:cs="Times New Roman"/>
              </w:rPr>
              <w:t xml:space="preserve"> pun</w:t>
            </w:r>
            <w:r w:rsidR="00484CC0" w:rsidRPr="00A96A10">
              <w:rPr>
                <w:rFonts w:ascii="Times New Roman" w:eastAsia="Arial" w:hAnsi="Times New Roman" w:cs="Times New Roman"/>
              </w:rPr>
              <w:t>ë</w:t>
            </w:r>
            <w:r w:rsidRPr="00A96A10">
              <w:rPr>
                <w:rFonts w:ascii="Times New Roman" w:eastAsia="Arial" w:hAnsi="Times New Roman" w:cs="Times New Roman"/>
              </w:rPr>
              <w:t>s. Përpiqemi që frekuenca e publikimit të statistikave ti përgjigjet sa më shumë kërkesave të përdoruesve.</w:t>
            </w:r>
          </w:p>
        </w:tc>
      </w:tr>
      <w:tr w:rsidR="00F90DC9" w:rsidRPr="00A96A10" w14:paraId="077F2B63" w14:textId="77777777" w:rsidTr="00F2159C">
        <w:trPr>
          <w:trHeight w:val="567"/>
        </w:trPr>
        <w:tc>
          <w:tcPr>
            <w:tcW w:w="10427" w:type="dxa"/>
            <w:gridSpan w:val="2"/>
            <w:shd w:val="clear" w:color="auto" w:fill="C5E0B3" w:themeFill="accent6" w:themeFillTint="66"/>
            <w:noWrap/>
            <w:vAlign w:val="center"/>
            <w:hideMark/>
          </w:tcPr>
          <w:p w14:paraId="7271816D"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14" w:name="_Toc228888980"/>
            <w:r w:rsidRPr="00A96A10">
              <w:rPr>
                <w:rFonts w:ascii="Times New Roman" w:eastAsia="Times New Roman" w:hAnsi="Times New Roman" w:cs="Times New Roman"/>
                <w:bCs w:val="0"/>
                <w:noProof/>
                <w:color w:val="000000"/>
                <w:sz w:val="22"/>
                <w:szCs w:val="22"/>
                <w:lang w:val="sq-AL" w:eastAsia="sq-AL"/>
              </w:rPr>
              <w:t>15.</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Koherenca dhe Krahasueshmëria</w:t>
            </w:r>
            <w:bookmarkEnd w:id="14"/>
          </w:p>
        </w:tc>
      </w:tr>
      <w:tr w:rsidR="00F90DC9" w:rsidRPr="00A96A10" w14:paraId="0FCD5D89" w14:textId="77777777" w:rsidTr="00F90DC9">
        <w:trPr>
          <w:trHeight w:val="567"/>
        </w:trPr>
        <w:tc>
          <w:tcPr>
            <w:tcW w:w="2457" w:type="dxa"/>
            <w:shd w:val="clear" w:color="auto" w:fill="FFFFCC"/>
            <w:noWrap/>
            <w:vAlign w:val="center"/>
            <w:hideMark/>
          </w:tcPr>
          <w:p w14:paraId="34B020F3"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15.1. Krahasueshmëria gjeografike</w:t>
            </w:r>
          </w:p>
        </w:tc>
        <w:tc>
          <w:tcPr>
            <w:tcW w:w="7970" w:type="dxa"/>
            <w:vAlign w:val="center"/>
          </w:tcPr>
          <w:p w14:paraId="63ECD5A7" w14:textId="4B6657CF"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Të dhënat mbi investimet e drejtpërdrejta janë përpiluar sipas metodologjisë ndërkombëtare dhe janë të krahasueshme ndërkombëtarisht. Të dhënat janë gjithëpërfshirëse dhe transmetohen sipas vendeve partnere dhe </w:t>
            </w:r>
            <w:r w:rsidR="000A026D" w:rsidRPr="00A96A10">
              <w:rPr>
                <w:rFonts w:ascii="Times New Roman" w:eastAsia="Times New Roman" w:hAnsi="Times New Roman" w:cs="Times New Roman"/>
                <w:noProof/>
                <w:color w:val="000000"/>
                <w:lang w:eastAsia="sq-AL"/>
              </w:rPr>
              <w:t xml:space="preserve">aktivitetit ekonomik </w:t>
            </w:r>
            <w:r w:rsidRPr="00A96A10">
              <w:rPr>
                <w:rFonts w:ascii="Times New Roman" w:eastAsia="Times New Roman" w:hAnsi="Times New Roman" w:cs="Times New Roman"/>
                <w:noProof/>
                <w:color w:val="000000"/>
                <w:lang w:eastAsia="sq-AL"/>
              </w:rPr>
              <w:t>NACE.</w:t>
            </w:r>
          </w:p>
        </w:tc>
      </w:tr>
      <w:tr w:rsidR="00F90DC9" w:rsidRPr="00A96A10" w14:paraId="68003EF9" w14:textId="77777777" w:rsidTr="00F90DC9">
        <w:trPr>
          <w:trHeight w:val="567"/>
        </w:trPr>
        <w:tc>
          <w:tcPr>
            <w:tcW w:w="2457" w:type="dxa"/>
            <w:shd w:val="clear" w:color="auto" w:fill="FFFFCC"/>
            <w:noWrap/>
            <w:vAlign w:val="center"/>
            <w:hideMark/>
          </w:tcPr>
          <w:p w14:paraId="5489F988"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15.2. Krahasueshmëria kohore </w:t>
            </w:r>
          </w:p>
        </w:tc>
        <w:tc>
          <w:tcPr>
            <w:tcW w:w="7970" w:type="dxa"/>
            <w:vAlign w:val="center"/>
          </w:tcPr>
          <w:p w14:paraId="4C36A90D" w14:textId="6AF84EC5" w:rsidR="00552C40"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Ekzistojnë seri kohore për investimet e huaja </w:t>
            </w:r>
            <w:r w:rsidR="000A026D" w:rsidRPr="00A96A10">
              <w:rPr>
                <w:rFonts w:ascii="Times New Roman" w:eastAsia="Times New Roman" w:hAnsi="Times New Roman" w:cs="Times New Roman"/>
                <w:noProof/>
                <w:color w:val="000000"/>
                <w:lang w:eastAsia="sq-AL"/>
              </w:rPr>
              <w:t xml:space="preserve">direkte </w:t>
            </w:r>
            <w:r w:rsidRPr="00A96A10">
              <w:rPr>
                <w:rFonts w:ascii="Times New Roman" w:eastAsia="Times New Roman" w:hAnsi="Times New Roman" w:cs="Times New Roman"/>
                <w:noProof/>
                <w:color w:val="000000"/>
                <w:lang w:eastAsia="sq-AL"/>
              </w:rPr>
              <w:t xml:space="preserve">duke filluar nga viti 2003. </w:t>
            </w:r>
            <w:r w:rsidR="000A026D" w:rsidRPr="00A96A10">
              <w:rPr>
                <w:rFonts w:ascii="Times New Roman" w:eastAsia="Arial" w:hAnsi="Times New Roman" w:cs="Times New Roman"/>
              </w:rPr>
              <w:t xml:space="preserve">Kur ka ndryshime në burimet e të dhënave, metodologji ose vlerësime, seri historike rishikohen </w:t>
            </w:r>
            <w:r w:rsidR="000A026D" w:rsidRPr="00A96A10">
              <w:rPr>
                <w:rFonts w:ascii="Times New Roman" w:eastAsia="Arial" w:hAnsi="Times New Roman" w:cs="Times New Roman"/>
              </w:rPr>
              <w:lastRenderedPageBreak/>
              <w:t xml:space="preserve">sa herë që është e arsyeshme. Që prej vitit 2014 përdoret metodologjia MBP6. </w:t>
            </w:r>
            <w:r w:rsidR="00552C40" w:rsidRPr="00A96A10">
              <w:rPr>
                <w:rFonts w:ascii="Times New Roman" w:eastAsia="Times New Roman" w:hAnsi="Times New Roman" w:cs="Times New Roman"/>
                <w:noProof/>
                <w:color w:val="000000"/>
                <w:lang w:val="sq-AL" w:eastAsia="sq-AL"/>
              </w:rPr>
              <w:t>Rastet e mosp</w:t>
            </w:r>
            <w:r w:rsidR="000A026D" w:rsidRPr="00A96A10">
              <w:rPr>
                <w:rFonts w:ascii="Times New Roman" w:eastAsia="Times New Roman" w:hAnsi="Times New Roman" w:cs="Times New Roman"/>
                <w:noProof/>
                <w:color w:val="000000"/>
                <w:lang w:val="sq-AL" w:eastAsia="sq-AL"/>
              </w:rPr>
              <w:t>ë</w:t>
            </w:r>
            <w:r w:rsidR="00552C40" w:rsidRPr="00A96A10">
              <w:rPr>
                <w:rFonts w:ascii="Times New Roman" w:eastAsia="Times New Roman" w:hAnsi="Times New Roman" w:cs="Times New Roman"/>
                <w:noProof/>
                <w:color w:val="000000"/>
                <w:lang w:val="sq-AL" w:eastAsia="sq-AL"/>
              </w:rPr>
              <w:t>rputhjeve t</w:t>
            </w:r>
            <w:r w:rsidR="00F31B20" w:rsidRPr="00A96A10">
              <w:rPr>
                <w:rFonts w:ascii="Times New Roman" w:eastAsia="Times New Roman" w:hAnsi="Times New Roman" w:cs="Times New Roman"/>
                <w:noProof/>
                <w:color w:val="000000"/>
                <w:lang w:val="sq-AL" w:eastAsia="sq-AL"/>
              </w:rPr>
              <w:t>ë</w:t>
            </w:r>
            <w:r w:rsidR="00552C40" w:rsidRPr="00A96A10">
              <w:rPr>
                <w:rFonts w:ascii="Times New Roman" w:eastAsia="Times New Roman" w:hAnsi="Times New Roman" w:cs="Times New Roman"/>
                <w:noProof/>
                <w:color w:val="000000"/>
                <w:lang w:val="sq-AL" w:eastAsia="sq-AL"/>
              </w:rPr>
              <w:t xml:space="preserve"> p</w:t>
            </w:r>
            <w:r w:rsidR="00F31B20" w:rsidRPr="00A96A10">
              <w:rPr>
                <w:rFonts w:ascii="Times New Roman" w:eastAsia="Times New Roman" w:hAnsi="Times New Roman" w:cs="Times New Roman"/>
                <w:noProof/>
                <w:color w:val="000000"/>
                <w:lang w:val="sq-AL" w:eastAsia="sq-AL"/>
              </w:rPr>
              <w:t>ë</w:t>
            </w:r>
            <w:r w:rsidR="00552C40" w:rsidRPr="00A96A10">
              <w:rPr>
                <w:rFonts w:ascii="Times New Roman" w:eastAsia="Times New Roman" w:hAnsi="Times New Roman" w:cs="Times New Roman"/>
                <w:noProof/>
                <w:color w:val="000000"/>
                <w:lang w:val="sq-AL" w:eastAsia="sq-AL"/>
              </w:rPr>
              <w:t xml:space="preserve">rceptuara </w:t>
            </w:r>
            <w:r w:rsidR="00D53A82" w:rsidRPr="00A96A10">
              <w:rPr>
                <w:rFonts w:ascii="Times New Roman" w:eastAsia="Times New Roman" w:hAnsi="Times New Roman" w:cs="Times New Roman"/>
                <w:noProof/>
                <w:color w:val="000000"/>
                <w:lang w:val="sq-AL" w:eastAsia="sq-AL"/>
              </w:rPr>
              <w:t>n</w:t>
            </w:r>
            <w:r w:rsidR="00F31B20" w:rsidRPr="00A96A10">
              <w:rPr>
                <w:rFonts w:ascii="Times New Roman" w:eastAsia="Times New Roman" w:hAnsi="Times New Roman" w:cs="Times New Roman"/>
                <w:noProof/>
                <w:color w:val="000000"/>
                <w:lang w:val="sq-AL" w:eastAsia="sq-AL"/>
              </w:rPr>
              <w:t>ë</w:t>
            </w:r>
            <w:r w:rsidR="00D53A82" w:rsidRPr="00A96A10">
              <w:rPr>
                <w:rFonts w:ascii="Times New Roman" w:eastAsia="Times New Roman" w:hAnsi="Times New Roman" w:cs="Times New Roman"/>
                <w:noProof/>
                <w:color w:val="000000"/>
                <w:lang w:val="sq-AL" w:eastAsia="sq-AL"/>
              </w:rPr>
              <w:t xml:space="preserve"> </w:t>
            </w:r>
            <w:r w:rsidR="00552C40" w:rsidRPr="00A96A10">
              <w:rPr>
                <w:rFonts w:ascii="Times New Roman" w:eastAsia="Times New Roman" w:hAnsi="Times New Roman" w:cs="Times New Roman"/>
                <w:noProof/>
                <w:color w:val="000000"/>
                <w:lang w:val="sq-AL" w:eastAsia="sq-AL"/>
              </w:rPr>
              <w:t>koh</w:t>
            </w:r>
            <w:r w:rsidR="00F31B20" w:rsidRPr="00A96A10">
              <w:rPr>
                <w:rFonts w:ascii="Times New Roman" w:eastAsia="Times New Roman" w:hAnsi="Times New Roman" w:cs="Times New Roman"/>
                <w:noProof/>
                <w:color w:val="000000"/>
                <w:lang w:val="sq-AL" w:eastAsia="sq-AL"/>
              </w:rPr>
              <w:t>ë</w:t>
            </w:r>
            <w:r w:rsidR="00552C40" w:rsidRPr="00A96A10">
              <w:rPr>
                <w:rFonts w:ascii="Times New Roman" w:eastAsia="Times New Roman" w:hAnsi="Times New Roman" w:cs="Times New Roman"/>
                <w:noProof/>
                <w:color w:val="000000"/>
                <w:lang w:val="sq-AL" w:eastAsia="sq-AL"/>
              </w:rPr>
              <w:t xml:space="preserve"> shqyrtohen individualisht.</w:t>
            </w:r>
          </w:p>
        </w:tc>
      </w:tr>
      <w:tr w:rsidR="00F90DC9" w:rsidRPr="00A96A10" w14:paraId="6CF2C7B5" w14:textId="77777777" w:rsidTr="00F90DC9">
        <w:trPr>
          <w:trHeight w:val="567"/>
        </w:trPr>
        <w:tc>
          <w:tcPr>
            <w:tcW w:w="2457" w:type="dxa"/>
            <w:shd w:val="clear" w:color="auto" w:fill="FFFFCC"/>
            <w:noWrap/>
            <w:vAlign w:val="center"/>
            <w:hideMark/>
          </w:tcPr>
          <w:p w14:paraId="6C7CBBD5"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lastRenderedPageBreak/>
              <w:t>15.3. Koherenca e ndërthurjes së fushave</w:t>
            </w:r>
          </w:p>
        </w:tc>
        <w:tc>
          <w:tcPr>
            <w:tcW w:w="7970" w:type="dxa"/>
            <w:noWrap/>
            <w:vAlign w:val="center"/>
            <w:hideMark/>
          </w:tcPr>
          <w:p w14:paraId="083ED15E" w14:textId="50B7B0A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hAnsi="Times New Roman" w:cs="Times New Roman"/>
              </w:rPr>
              <w:t>Duke qenë se konceptet e investimeve të d</w:t>
            </w:r>
            <w:r w:rsidR="00D53A82" w:rsidRPr="00A96A10">
              <w:rPr>
                <w:rFonts w:ascii="Times New Roman" w:hAnsi="Times New Roman" w:cs="Times New Roman"/>
              </w:rPr>
              <w:t>irekte</w:t>
            </w:r>
            <w:r w:rsidRPr="00A96A10">
              <w:rPr>
                <w:rFonts w:ascii="Times New Roman" w:hAnsi="Times New Roman" w:cs="Times New Roman"/>
              </w:rPr>
              <w:t>, bilancit të pagesave, pozicion</w:t>
            </w:r>
            <w:r w:rsidR="000A026D" w:rsidRPr="00A96A10">
              <w:rPr>
                <w:rFonts w:ascii="Times New Roman" w:hAnsi="Times New Roman" w:cs="Times New Roman"/>
              </w:rPr>
              <w:t>it</w:t>
            </w:r>
            <w:r w:rsidRPr="00A96A10">
              <w:rPr>
                <w:rFonts w:ascii="Times New Roman" w:hAnsi="Times New Roman" w:cs="Times New Roman"/>
              </w:rPr>
              <w:t xml:space="preserve"> të investimeve ndërkombëtare dhe llogarive kombëtare janë tani metodologjikisht konsistente me njëra-tjetrën, </w:t>
            </w:r>
            <w:r w:rsidR="000A026D" w:rsidRPr="00A96A10">
              <w:rPr>
                <w:rFonts w:ascii="Times New Roman" w:eastAsia="Arial" w:hAnsi="Times New Roman" w:cs="Times New Roman"/>
              </w:rPr>
              <w:t xml:space="preserve">ky vlerësim synon të tregojë sa të konsoliduar janë këto fusha statistikore. </w:t>
            </w:r>
          </w:p>
        </w:tc>
      </w:tr>
      <w:tr w:rsidR="00F90DC9" w:rsidRPr="00A96A10" w14:paraId="0B74FAB3" w14:textId="77777777" w:rsidTr="00F90DC9">
        <w:trPr>
          <w:trHeight w:val="567"/>
        </w:trPr>
        <w:tc>
          <w:tcPr>
            <w:tcW w:w="2457" w:type="dxa"/>
            <w:shd w:val="clear" w:color="auto" w:fill="FFFFCC"/>
            <w:noWrap/>
            <w:vAlign w:val="center"/>
            <w:hideMark/>
          </w:tcPr>
          <w:p w14:paraId="38E44C50"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 xml:space="preserve">15.4. Koherenca e brendshme </w:t>
            </w:r>
          </w:p>
        </w:tc>
        <w:tc>
          <w:tcPr>
            <w:tcW w:w="7970" w:type="dxa"/>
            <w:vAlign w:val="center"/>
          </w:tcPr>
          <w:p w14:paraId="29505FB9" w14:textId="3DDB37C3" w:rsidR="00F90DC9" w:rsidRPr="00A96A10" w:rsidRDefault="000A026D"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Konsistenca e brendshme matet edhe duke vlerësuar respektimin e rregullave të integritetit dhe koherencën ndërmjet të dhënave tremujore dhe vjetore. Të dhënat mbi pozicioni e investimeve ndërkombëtare janë konsistente dhe gjithmonë rakordohen, për sa i përket variacioneve nga transaksionet, me transaksionet e llogarisë financiare në BOP, si dhe me të dhënat e borxhit të jashtëm.</w:t>
            </w:r>
            <w:r w:rsidR="009763DF" w:rsidRPr="00A96A10">
              <w:rPr>
                <w:rFonts w:ascii="Times New Roman" w:eastAsia="Times New Roman" w:hAnsi="Times New Roman" w:cs="Times New Roman"/>
                <w:noProof/>
                <w:color w:val="000000"/>
                <w:lang w:eastAsia="sq-AL"/>
              </w:rPr>
              <w:t xml:space="preserve"> Rregullat e integritetit kërkojnë që shuma e komponentëve të jetë e barabartë me agregatët. Ato përcaktohen nga një sërë ekuacionesh, të cilat duhet te respektohen në grupet e të dhënave të transmetuara në Eurostat.</w:t>
            </w:r>
          </w:p>
        </w:tc>
      </w:tr>
      <w:tr w:rsidR="00F90DC9" w:rsidRPr="00A96A10" w14:paraId="3A98BE34" w14:textId="77777777" w:rsidTr="00F2159C">
        <w:trPr>
          <w:trHeight w:val="567"/>
        </w:trPr>
        <w:tc>
          <w:tcPr>
            <w:tcW w:w="10427" w:type="dxa"/>
            <w:gridSpan w:val="2"/>
            <w:shd w:val="clear" w:color="auto" w:fill="C5E0B3" w:themeFill="accent6" w:themeFillTint="66"/>
            <w:vAlign w:val="center"/>
            <w:hideMark/>
          </w:tcPr>
          <w:p w14:paraId="21C26B3D"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15" w:name="_Toc228888981"/>
            <w:r w:rsidRPr="00A96A10">
              <w:rPr>
                <w:rFonts w:ascii="Times New Roman" w:eastAsia="Times New Roman" w:hAnsi="Times New Roman" w:cs="Times New Roman"/>
                <w:bCs w:val="0"/>
                <w:noProof/>
                <w:color w:val="000000"/>
                <w:sz w:val="22"/>
                <w:szCs w:val="22"/>
                <w:lang w:val="sq-AL" w:eastAsia="sq-AL"/>
              </w:rPr>
              <w:t>16.</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Kostoja dhe ngarkesa</w:t>
            </w:r>
            <w:bookmarkEnd w:id="15"/>
          </w:p>
        </w:tc>
      </w:tr>
      <w:tr w:rsidR="00F90DC9" w:rsidRPr="00A96A10" w14:paraId="434CC943" w14:textId="77777777" w:rsidTr="00F90DC9">
        <w:trPr>
          <w:trHeight w:val="567"/>
        </w:trPr>
        <w:tc>
          <w:tcPr>
            <w:tcW w:w="2457" w:type="dxa"/>
            <w:shd w:val="clear" w:color="auto" w:fill="FFFFCC"/>
            <w:vAlign w:val="center"/>
          </w:tcPr>
          <w:p w14:paraId="10C5AFD4" w14:textId="77777777" w:rsidR="00F90DC9" w:rsidRPr="00A96A10" w:rsidRDefault="00F90DC9" w:rsidP="00506308">
            <w:pPr>
              <w:jc w:val="both"/>
              <w:rPr>
                <w:rFonts w:ascii="Times New Roman" w:hAnsi="Times New Roman" w:cs="Times New Roman"/>
                <w:b/>
                <w:bCs/>
                <w:noProof/>
                <w:lang w:val="sq-AL" w:eastAsia="sq-AL"/>
              </w:rPr>
            </w:pPr>
            <w:r w:rsidRPr="00A96A10">
              <w:rPr>
                <w:rFonts w:ascii="Times New Roman" w:hAnsi="Times New Roman" w:cs="Times New Roman"/>
                <w:noProof/>
                <w:lang w:val="sq-AL" w:eastAsia="sq-AL"/>
              </w:rPr>
              <w:t>16.1 Kostoja dhe ngarkesa</w:t>
            </w:r>
          </w:p>
        </w:tc>
        <w:tc>
          <w:tcPr>
            <w:tcW w:w="7970" w:type="dxa"/>
            <w:vAlign w:val="center"/>
          </w:tcPr>
          <w:p w14:paraId="0AF710D1" w14:textId="037F3BEB" w:rsidR="003572B0" w:rsidRPr="00A96A10" w:rsidRDefault="00094187" w:rsidP="00506308">
            <w:pPr>
              <w:jc w:val="both"/>
              <w:rPr>
                <w:rFonts w:ascii="Times New Roman" w:hAnsi="Times New Roman" w:cs="Times New Roman"/>
                <w:noProof/>
                <w:lang w:eastAsia="sq-AL"/>
              </w:rPr>
            </w:pPr>
            <w:r w:rsidRPr="00A96A10">
              <w:rPr>
                <w:rFonts w:ascii="Times New Roman" w:hAnsi="Times New Roman" w:cs="Times New Roman"/>
                <w:noProof/>
                <w:lang w:eastAsia="sq-AL"/>
              </w:rPr>
              <w:t>Punonj</w:t>
            </w:r>
            <w:r w:rsidR="00484CC0" w:rsidRPr="00A96A10">
              <w:rPr>
                <w:rFonts w:ascii="Times New Roman" w:eastAsia="Arial" w:hAnsi="Times New Roman" w:cs="Times New Roman"/>
              </w:rPr>
              <w:t>ë</w:t>
            </w:r>
            <w:r w:rsidRPr="00A96A10">
              <w:rPr>
                <w:rFonts w:ascii="Times New Roman" w:hAnsi="Times New Roman" w:cs="Times New Roman"/>
                <w:noProof/>
                <w:lang w:eastAsia="sq-AL"/>
              </w:rPr>
              <w:t xml:space="preserve">sit </w:t>
            </w:r>
            <w:r w:rsidR="003572B0" w:rsidRPr="00A96A10">
              <w:rPr>
                <w:rFonts w:ascii="Times New Roman" w:hAnsi="Times New Roman" w:cs="Times New Roman"/>
                <w:noProof/>
                <w:lang w:eastAsia="sq-AL"/>
              </w:rPr>
              <w:t>e</w:t>
            </w:r>
            <w:r w:rsidRPr="00A96A10">
              <w:rPr>
                <w:rFonts w:ascii="Times New Roman" w:hAnsi="Times New Roman" w:cs="Times New Roman"/>
                <w:noProof/>
                <w:lang w:eastAsia="sq-AL"/>
              </w:rPr>
              <w:t xml:space="preserve"> angazhuar me IHD jan</w:t>
            </w:r>
            <w:r w:rsidR="003572B0" w:rsidRPr="00A96A10">
              <w:rPr>
                <w:rFonts w:ascii="Times New Roman" w:hAnsi="Times New Roman" w:cs="Times New Roman"/>
                <w:noProof/>
                <w:lang w:eastAsia="sq-AL"/>
              </w:rPr>
              <w:t>ë</w:t>
            </w:r>
            <w:r w:rsidRPr="00A96A10">
              <w:rPr>
                <w:rFonts w:ascii="Times New Roman" w:hAnsi="Times New Roman" w:cs="Times New Roman"/>
                <w:noProof/>
                <w:lang w:eastAsia="sq-AL"/>
              </w:rPr>
              <w:t xml:space="preserve"> pjes</w:t>
            </w:r>
            <w:r w:rsidR="003572B0" w:rsidRPr="00A96A10">
              <w:rPr>
                <w:rFonts w:ascii="Times New Roman" w:hAnsi="Times New Roman" w:cs="Times New Roman"/>
                <w:noProof/>
                <w:lang w:eastAsia="sq-AL"/>
              </w:rPr>
              <w:t>ë e strukturës së</w:t>
            </w:r>
            <w:r w:rsidRPr="00A96A10">
              <w:rPr>
                <w:rFonts w:ascii="Times New Roman" w:hAnsi="Times New Roman" w:cs="Times New Roman"/>
                <w:noProof/>
                <w:lang w:eastAsia="sq-AL"/>
              </w:rPr>
              <w:t xml:space="preserve"> zyr</w:t>
            </w:r>
            <w:r w:rsidR="00484CC0" w:rsidRPr="00A96A10">
              <w:rPr>
                <w:rFonts w:ascii="Times New Roman" w:eastAsia="Arial" w:hAnsi="Times New Roman" w:cs="Times New Roman"/>
              </w:rPr>
              <w:t>ë</w:t>
            </w:r>
            <w:r w:rsidRPr="00A96A10">
              <w:rPr>
                <w:rFonts w:ascii="Times New Roman" w:hAnsi="Times New Roman" w:cs="Times New Roman"/>
                <w:noProof/>
                <w:lang w:eastAsia="sq-AL"/>
              </w:rPr>
              <w:t>s s</w:t>
            </w:r>
            <w:r w:rsidR="00484CC0" w:rsidRPr="00A96A10">
              <w:rPr>
                <w:rFonts w:ascii="Times New Roman" w:eastAsia="Arial" w:hAnsi="Times New Roman" w:cs="Times New Roman"/>
              </w:rPr>
              <w:t>ë</w:t>
            </w:r>
            <w:r w:rsidRPr="00A96A10">
              <w:rPr>
                <w:rFonts w:ascii="Times New Roman" w:hAnsi="Times New Roman" w:cs="Times New Roman"/>
                <w:noProof/>
                <w:lang w:eastAsia="sq-AL"/>
              </w:rPr>
              <w:t xml:space="preserve"> </w:t>
            </w:r>
            <w:r w:rsidR="003572B0" w:rsidRPr="00A96A10">
              <w:rPr>
                <w:rFonts w:ascii="Times New Roman" w:hAnsi="Times New Roman" w:cs="Times New Roman"/>
                <w:noProof/>
                <w:lang w:eastAsia="sq-AL"/>
              </w:rPr>
              <w:t>p</w:t>
            </w:r>
            <w:r w:rsidRPr="00A96A10">
              <w:rPr>
                <w:rFonts w:ascii="Times New Roman" w:hAnsi="Times New Roman" w:cs="Times New Roman"/>
                <w:noProof/>
                <w:lang w:eastAsia="sq-AL"/>
              </w:rPr>
              <w:t>ozicionit t</w:t>
            </w:r>
            <w:r w:rsidR="003572B0" w:rsidRPr="00A96A10">
              <w:rPr>
                <w:rFonts w:ascii="Times New Roman" w:hAnsi="Times New Roman" w:cs="Times New Roman"/>
                <w:noProof/>
                <w:lang w:eastAsia="sq-AL"/>
              </w:rPr>
              <w:t>ë</w:t>
            </w:r>
            <w:r w:rsidRPr="00A96A10">
              <w:rPr>
                <w:rFonts w:ascii="Times New Roman" w:hAnsi="Times New Roman" w:cs="Times New Roman"/>
                <w:noProof/>
                <w:lang w:eastAsia="sq-AL"/>
              </w:rPr>
              <w:t xml:space="preserve"> </w:t>
            </w:r>
            <w:r w:rsidR="003572B0" w:rsidRPr="00A96A10">
              <w:rPr>
                <w:rFonts w:ascii="Times New Roman" w:hAnsi="Times New Roman" w:cs="Times New Roman"/>
                <w:noProof/>
                <w:lang w:eastAsia="sq-AL"/>
              </w:rPr>
              <w:t>i</w:t>
            </w:r>
            <w:r w:rsidRPr="00A96A10">
              <w:rPr>
                <w:rFonts w:ascii="Times New Roman" w:hAnsi="Times New Roman" w:cs="Times New Roman"/>
                <w:noProof/>
                <w:lang w:eastAsia="sq-AL"/>
              </w:rPr>
              <w:t xml:space="preserve">nvestimeve </w:t>
            </w:r>
            <w:r w:rsidR="003572B0" w:rsidRPr="00A96A10">
              <w:rPr>
                <w:rFonts w:ascii="Times New Roman" w:hAnsi="Times New Roman" w:cs="Times New Roman"/>
                <w:noProof/>
                <w:lang w:eastAsia="sq-AL"/>
              </w:rPr>
              <w:t>n</w:t>
            </w:r>
            <w:r w:rsidRPr="00A96A10">
              <w:rPr>
                <w:rFonts w:ascii="Times New Roman" w:hAnsi="Times New Roman" w:cs="Times New Roman"/>
                <w:noProof/>
                <w:lang w:eastAsia="sq-AL"/>
              </w:rPr>
              <w:t>d</w:t>
            </w:r>
            <w:r w:rsidR="00484CC0" w:rsidRPr="00A96A10">
              <w:rPr>
                <w:rFonts w:ascii="Times New Roman" w:eastAsia="Arial" w:hAnsi="Times New Roman" w:cs="Times New Roman"/>
              </w:rPr>
              <w:t>ë</w:t>
            </w:r>
            <w:r w:rsidRPr="00A96A10">
              <w:rPr>
                <w:rFonts w:ascii="Times New Roman" w:hAnsi="Times New Roman" w:cs="Times New Roman"/>
                <w:noProof/>
                <w:lang w:eastAsia="sq-AL"/>
              </w:rPr>
              <w:t>rkomb</w:t>
            </w:r>
            <w:r w:rsidR="00484CC0" w:rsidRPr="00A96A10">
              <w:rPr>
                <w:rFonts w:ascii="Times New Roman" w:eastAsia="Arial" w:hAnsi="Times New Roman" w:cs="Times New Roman"/>
              </w:rPr>
              <w:t>ë</w:t>
            </w:r>
            <w:r w:rsidRPr="00A96A10">
              <w:rPr>
                <w:rFonts w:ascii="Times New Roman" w:hAnsi="Times New Roman" w:cs="Times New Roman"/>
                <w:noProof/>
                <w:lang w:eastAsia="sq-AL"/>
              </w:rPr>
              <w:t xml:space="preserve">tare dhe </w:t>
            </w:r>
            <w:r w:rsidR="003572B0" w:rsidRPr="00A96A10">
              <w:rPr>
                <w:rFonts w:ascii="Times New Roman" w:hAnsi="Times New Roman" w:cs="Times New Roman"/>
                <w:noProof/>
                <w:lang w:eastAsia="sq-AL"/>
              </w:rPr>
              <w:t>v</w:t>
            </w:r>
            <w:r w:rsidRPr="00A96A10">
              <w:rPr>
                <w:rFonts w:ascii="Times New Roman" w:hAnsi="Times New Roman" w:cs="Times New Roman"/>
                <w:noProof/>
                <w:lang w:eastAsia="sq-AL"/>
              </w:rPr>
              <w:t>rojtimeve</w:t>
            </w:r>
            <w:r w:rsidR="003572B0" w:rsidRPr="00A96A10">
              <w:rPr>
                <w:rFonts w:ascii="Times New Roman" w:hAnsi="Times New Roman" w:cs="Times New Roman"/>
                <w:noProof/>
                <w:lang w:eastAsia="sq-AL"/>
              </w:rPr>
              <w:t>.</w:t>
            </w:r>
          </w:p>
        </w:tc>
      </w:tr>
      <w:tr w:rsidR="00F90DC9" w:rsidRPr="00A96A10" w14:paraId="58FF2375" w14:textId="77777777" w:rsidTr="00F2159C">
        <w:trPr>
          <w:trHeight w:val="567"/>
        </w:trPr>
        <w:tc>
          <w:tcPr>
            <w:tcW w:w="10427" w:type="dxa"/>
            <w:gridSpan w:val="2"/>
            <w:shd w:val="clear" w:color="auto" w:fill="C5E0B3" w:themeFill="accent6" w:themeFillTint="66"/>
            <w:vAlign w:val="center"/>
            <w:hideMark/>
          </w:tcPr>
          <w:p w14:paraId="73D1F70A" w14:textId="77777777" w:rsidR="00F90DC9" w:rsidRPr="00A96A10" w:rsidRDefault="00F90DC9" w:rsidP="00506308">
            <w:pPr>
              <w:pStyle w:val="Heading1"/>
              <w:spacing w:before="0"/>
              <w:jc w:val="both"/>
              <w:rPr>
                <w:rFonts w:ascii="Times New Roman" w:eastAsia="Times New Roman" w:hAnsi="Times New Roman" w:cs="Times New Roman"/>
                <w:noProof/>
                <w:color w:val="000000"/>
                <w:sz w:val="22"/>
                <w:szCs w:val="22"/>
                <w:lang w:val="sq-AL" w:eastAsia="sq-AL"/>
              </w:rPr>
            </w:pPr>
            <w:bookmarkStart w:id="16" w:name="_Toc228888982"/>
            <w:r w:rsidRPr="00A96A10">
              <w:rPr>
                <w:rFonts w:ascii="Times New Roman" w:eastAsia="Times New Roman" w:hAnsi="Times New Roman" w:cs="Times New Roman"/>
                <w:bCs w:val="0"/>
                <w:noProof/>
                <w:color w:val="000000"/>
                <w:sz w:val="22"/>
                <w:szCs w:val="22"/>
                <w:lang w:val="sq-AL" w:eastAsia="sq-AL"/>
              </w:rPr>
              <w:t>17.</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Rishikimi i të dhënave</w:t>
            </w:r>
            <w:bookmarkEnd w:id="16"/>
            <w:r w:rsidRPr="00A96A10">
              <w:rPr>
                <w:rFonts w:ascii="Times New Roman" w:eastAsia="Times New Roman" w:hAnsi="Times New Roman" w:cs="Times New Roman"/>
                <w:noProof/>
                <w:color w:val="000000"/>
                <w:sz w:val="22"/>
                <w:szCs w:val="22"/>
                <w:lang w:val="sq-AL" w:eastAsia="sq-AL"/>
              </w:rPr>
              <w:t> </w:t>
            </w:r>
          </w:p>
        </w:tc>
      </w:tr>
      <w:tr w:rsidR="00F90DC9" w:rsidRPr="00A96A10" w14:paraId="68C73C68" w14:textId="77777777" w:rsidTr="00F90DC9">
        <w:trPr>
          <w:trHeight w:val="567"/>
        </w:trPr>
        <w:tc>
          <w:tcPr>
            <w:tcW w:w="2457" w:type="dxa"/>
            <w:shd w:val="clear" w:color="auto" w:fill="FFFFCC"/>
            <w:noWrap/>
            <w:vAlign w:val="center"/>
            <w:hideMark/>
          </w:tcPr>
          <w:p w14:paraId="4F001DD7"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17.1. Politika e rishikimit</w:t>
            </w:r>
          </w:p>
        </w:tc>
        <w:tc>
          <w:tcPr>
            <w:tcW w:w="7970" w:type="dxa"/>
            <w:vAlign w:val="center"/>
          </w:tcPr>
          <w:p w14:paraId="6296899C" w14:textId="77777777" w:rsidR="00D47D8A" w:rsidRPr="00A96A10" w:rsidRDefault="00D47D8A" w:rsidP="00506308">
            <w:pPr>
              <w:spacing w:after="60" w:line="240" w:lineRule="auto"/>
              <w:jc w:val="both"/>
              <w:rPr>
                <w:rFonts w:ascii="Times New Roman" w:eastAsia="Times New Roman" w:hAnsi="Times New Roman" w:cs="Times New Roman"/>
                <w:lang w:val="en-US"/>
              </w:rPr>
            </w:pPr>
            <w:r w:rsidRPr="00A96A10">
              <w:rPr>
                <w:rFonts w:ascii="Times New Roman" w:eastAsia="Arial" w:hAnsi="Times New Roman" w:cs="Times New Roman"/>
                <w:lang w:val="en-US"/>
              </w:rPr>
              <w:t>Procedura e rishikimit është e paracaktuar, konsistente në kohë dhe e disponueshme për publikun. Politika e rishikimit e Bankës së Shqipërisë ndjek një kalendar publikimi konsistent dhe transparent, ku cikli i rishikimeve është i paracaktuar dhe i disponueshëm për publikun. Parimet kryesore:</w:t>
            </w:r>
          </w:p>
          <w:p w14:paraId="442A207B" w14:textId="77777777" w:rsidR="00D47D8A" w:rsidRPr="00A96A10" w:rsidRDefault="00D47D8A" w:rsidP="00506308">
            <w:pPr>
              <w:spacing w:after="60" w:line="240" w:lineRule="auto"/>
              <w:jc w:val="both"/>
              <w:rPr>
                <w:rFonts w:ascii="Times New Roman" w:eastAsia="Times New Roman" w:hAnsi="Times New Roman" w:cs="Times New Roman"/>
                <w:lang w:val="en-US"/>
              </w:rPr>
            </w:pPr>
            <w:r w:rsidRPr="00A96A10">
              <w:rPr>
                <w:rFonts w:ascii="Times New Roman" w:eastAsia="Arial" w:hAnsi="Times New Roman" w:cs="Times New Roman"/>
                <w:lang w:val="en-US"/>
              </w:rPr>
              <w:t>• Rishikimet ndjekin një procedurë racionale — kufizuar vetëm në rastet kur ka ndryshime në ndryshojnë statistikat.</w:t>
            </w:r>
          </w:p>
          <w:p w14:paraId="1F2CDD5C" w14:textId="77777777" w:rsidR="00D47D8A" w:rsidRPr="00A96A10" w:rsidRDefault="00D47D8A" w:rsidP="00506308">
            <w:pPr>
              <w:spacing w:after="60" w:line="240" w:lineRule="auto"/>
              <w:jc w:val="both"/>
              <w:rPr>
                <w:rFonts w:ascii="Times New Roman" w:eastAsia="Times New Roman" w:hAnsi="Times New Roman" w:cs="Times New Roman"/>
                <w:lang w:val="en-US"/>
              </w:rPr>
            </w:pPr>
            <w:r w:rsidRPr="00A96A10">
              <w:rPr>
                <w:rFonts w:ascii="Times New Roman" w:eastAsia="Arial" w:hAnsi="Times New Roman" w:cs="Times New Roman"/>
                <w:lang w:val="en-US"/>
              </w:rPr>
              <w:t>• Rishikimet shoqërohen me shënime metodologjike — kur rishikimet janë madhore, statistikat e rishikuara shoqërohen me shënime metodologjike.</w:t>
            </w:r>
          </w:p>
          <w:p w14:paraId="1734E1A0" w14:textId="77777777" w:rsidR="00D47D8A" w:rsidRPr="00A96A10" w:rsidRDefault="00D47D8A" w:rsidP="00506308">
            <w:pPr>
              <w:spacing w:after="60" w:line="240" w:lineRule="auto"/>
              <w:jc w:val="both"/>
              <w:rPr>
                <w:rFonts w:ascii="Times New Roman" w:eastAsia="Arial" w:hAnsi="Times New Roman" w:cs="Times New Roman"/>
                <w:lang w:val="en-US"/>
              </w:rPr>
            </w:pPr>
            <w:r w:rsidRPr="00A96A10">
              <w:rPr>
                <w:rFonts w:ascii="Times New Roman" w:eastAsia="Arial" w:hAnsi="Times New Roman" w:cs="Times New Roman"/>
                <w:lang w:val="en-US"/>
              </w:rPr>
              <w:t>• Rishikimet janë të planifikuara — statistikat rishikohen sipas kalendarit të publikimit të shpallur në fillim të çdo viti kalendarik.</w:t>
            </w:r>
          </w:p>
          <w:p w14:paraId="171C113A" w14:textId="1478324B" w:rsidR="001A0F29" w:rsidRPr="00A96A10" w:rsidRDefault="00D47D8A" w:rsidP="00506308">
            <w:pPr>
              <w:spacing w:after="60"/>
              <w:jc w:val="both"/>
              <w:rPr>
                <w:rFonts w:ascii="Times New Roman" w:eastAsia="Arial" w:hAnsi="Times New Roman" w:cs="Times New Roman"/>
              </w:rPr>
            </w:pPr>
            <w:r w:rsidRPr="00A96A10">
              <w:rPr>
                <w:rFonts w:ascii="Times New Roman" w:eastAsia="Arial" w:hAnsi="Times New Roman" w:cs="Times New Roman"/>
              </w:rPr>
              <w:t>Procedura që ndiqet është përmbledhur në tabelën më poshtë:</w:t>
            </w:r>
          </w:p>
          <w:p w14:paraId="56F74DDA" w14:textId="77777777" w:rsidR="00484CC0" w:rsidRPr="00A96A10" w:rsidRDefault="00484CC0" w:rsidP="00506308">
            <w:pPr>
              <w:spacing w:after="60"/>
              <w:jc w:val="both"/>
              <w:rPr>
                <w:rFonts w:ascii="Times New Roman" w:eastAsia="Arial" w:hAnsi="Times New Roman" w:cs="Times New Roman"/>
              </w:rPr>
            </w:pPr>
          </w:p>
          <w:p w14:paraId="0D2E7BDD" w14:textId="77777777" w:rsidR="00484CC0" w:rsidRPr="00A96A10" w:rsidRDefault="00484CC0" w:rsidP="00506308">
            <w:pPr>
              <w:spacing w:after="60"/>
              <w:jc w:val="both"/>
              <w:rPr>
                <w:rFonts w:ascii="Times New Roman" w:eastAsia="Arial" w:hAnsi="Times New Roman" w:cs="Times New Roman"/>
              </w:rPr>
            </w:pPr>
          </w:p>
          <w:p w14:paraId="39E2CAD4" w14:textId="77777777" w:rsidR="00484CC0" w:rsidRPr="00A96A10" w:rsidRDefault="00484CC0" w:rsidP="00506308">
            <w:pPr>
              <w:spacing w:after="60"/>
              <w:jc w:val="both"/>
              <w:rPr>
                <w:rFonts w:ascii="Times New Roman" w:eastAsia="Arial" w:hAnsi="Times New Roman" w:cs="Times New Roman"/>
              </w:rPr>
            </w:pPr>
          </w:p>
          <w:p w14:paraId="3023D916" w14:textId="77777777" w:rsidR="00484CC0" w:rsidRPr="00A96A10" w:rsidRDefault="00484CC0" w:rsidP="00506308">
            <w:pPr>
              <w:spacing w:after="60"/>
              <w:jc w:val="both"/>
              <w:rPr>
                <w:rFonts w:ascii="Times New Roman" w:eastAsia="Arial" w:hAnsi="Times New Roman" w:cs="Times New Roman"/>
              </w:rPr>
            </w:pPr>
          </w:p>
          <w:p w14:paraId="00B4659D" w14:textId="77777777" w:rsidR="00484CC0" w:rsidRPr="00A96A10" w:rsidRDefault="00484CC0" w:rsidP="00506308">
            <w:pPr>
              <w:spacing w:after="60"/>
              <w:jc w:val="both"/>
              <w:rPr>
                <w:rFonts w:ascii="Times New Roman" w:eastAsia="Arial" w:hAnsi="Times New Roman" w:cs="Times New Roman"/>
              </w:rPr>
            </w:pPr>
          </w:p>
          <w:p w14:paraId="6FF16890" w14:textId="77777777" w:rsidR="00484CC0" w:rsidRPr="00A96A10" w:rsidRDefault="00484CC0" w:rsidP="00506308">
            <w:pPr>
              <w:spacing w:after="60"/>
              <w:jc w:val="both"/>
              <w:rPr>
                <w:rFonts w:ascii="Times New Roman" w:eastAsia="Arial" w:hAnsi="Times New Roman" w:cs="Times New Roman"/>
              </w:rPr>
            </w:pPr>
          </w:p>
          <w:p w14:paraId="4A8FE88D" w14:textId="77777777" w:rsidR="00484CC0" w:rsidRPr="00A96A10" w:rsidRDefault="00484CC0" w:rsidP="00506308">
            <w:pPr>
              <w:spacing w:after="60"/>
              <w:jc w:val="both"/>
              <w:rPr>
                <w:rFonts w:ascii="Times New Roman" w:eastAsia="Arial" w:hAnsi="Times New Roman" w:cs="Times New Roman"/>
              </w:rPr>
            </w:pPr>
          </w:p>
          <w:p w14:paraId="64F11755" w14:textId="77777777" w:rsidR="00484CC0" w:rsidRPr="00A96A10" w:rsidRDefault="00484CC0" w:rsidP="00506308">
            <w:pPr>
              <w:spacing w:after="60"/>
              <w:jc w:val="both"/>
              <w:rPr>
                <w:rFonts w:ascii="Times New Roman" w:eastAsia="Arial" w:hAnsi="Times New Roman" w:cs="Times New Roman"/>
              </w:rPr>
            </w:pPr>
          </w:p>
          <w:p w14:paraId="2C5C1F36" w14:textId="77777777" w:rsidR="00484CC0" w:rsidRPr="00A96A10" w:rsidRDefault="00484CC0" w:rsidP="00506308">
            <w:pPr>
              <w:spacing w:after="60"/>
              <w:jc w:val="both"/>
              <w:rPr>
                <w:rFonts w:ascii="Times New Roman" w:eastAsia="Arial" w:hAnsi="Times New Roman" w:cs="Times New Roman"/>
              </w:rPr>
            </w:pPr>
          </w:p>
          <w:p w14:paraId="011F9313" w14:textId="77777777" w:rsidR="00484CC0" w:rsidRPr="00A96A10" w:rsidRDefault="00484CC0" w:rsidP="00506308">
            <w:pPr>
              <w:spacing w:after="60"/>
              <w:jc w:val="both"/>
              <w:rPr>
                <w:rFonts w:ascii="Times New Roman" w:eastAsia="Arial" w:hAnsi="Times New Roman" w:cs="Times New Roman"/>
              </w:rPr>
            </w:pPr>
          </w:p>
          <w:p w14:paraId="1C6A86F5" w14:textId="77777777" w:rsidR="00484CC0" w:rsidRPr="00A96A10" w:rsidRDefault="00484CC0" w:rsidP="00506308">
            <w:pPr>
              <w:spacing w:after="60"/>
              <w:jc w:val="both"/>
              <w:rPr>
                <w:rFonts w:ascii="Times New Roman" w:eastAsia="Arial" w:hAnsi="Times New Roman" w:cs="Times New Roman"/>
              </w:rPr>
            </w:pPr>
          </w:p>
          <w:p w14:paraId="431EC8BC" w14:textId="77777777" w:rsidR="00484CC0" w:rsidRPr="00A96A10" w:rsidRDefault="00484CC0" w:rsidP="00506308">
            <w:pPr>
              <w:spacing w:after="60"/>
              <w:jc w:val="both"/>
              <w:rPr>
                <w:rFonts w:ascii="Times New Roman" w:eastAsia="Arial" w:hAnsi="Times New Roman" w:cs="Times New Roman"/>
              </w:rPr>
            </w:pPr>
          </w:p>
          <w:p w14:paraId="35FAD784" w14:textId="77777777" w:rsidR="00484CC0" w:rsidRPr="00A96A10" w:rsidRDefault="00484CC0" w:rsidP="00506308">
            <w:pPr>
              <w:spacing w:after="60"/>
              <w:jc w:val="both"/>
              <w:rPr>
                <w:rFonts w:ascii="Times New Roman" w:eastAsia="Arial" w:hAnsi="Times New Roman" w:cs="Times New Roman"/>
              </w:rPr>
            </w:pPr>
          </w:p>
          <w:p w14:paraId="4780019A" w14:textId="77777777" w:rsidR="00484CC0" w:rsidRPr="00A96A10" w:rsidRDefault="00484CC0" w:rsidP="00506308">
            <w:pPr>
              <w:spacing w:after="60"/>
              <w:jc w:val="both"/>
              <w:rPr>
                <w:rFonts w:ascii="Times New Roman" w:eastAsia="Times New Roman" w:hAnsi="Times New Roman" w:cs="Times New Roman"/>
                <w:noProof/>
                <w:color w:val="000000"/>
                <w:lang w:eastAsia="sq-AL"/>
              </w:rPr>
            </w:pPr>
          </w:p>
          <w:tbl>
            <w:tblPr>
              <w:tblW w:w="7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43"/>
              <w:gridCol w:w="1295"/>
              <w:gridCol w:w="1792"/>
              <w:gridCol w:w="1552"/>
            </w:tblGrid>
            <w:tr w:rsidR="00D65FAF" w:rsidRPr="00A96A10" w14:paraId="14BEE2AB" w14:textId="77777777" w:rsidTr="00484CC0">
              <w:trPr>
                <w:trHeight w:val="37"/>
              </w:trPr>
              <w:tc>
                <w:tcPr>
                  <w:tcW w:w="1543" w:type="dxa"/>
                </w:tcPr>
                <w:p w14:paraId="184CD8FC" w14:textId="48EF800D" w:rsidR="00D65FAF" w:rsidRPr="00A96A10" w:rsidRDefault="00D65FAF" w:rsidP="00506308">
                  <w:pPr>
                    <w:ind w:left="420"/>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lastRenderedPageBreak/>
                    <w:t>Statistikat</w:t>
                  </w:r>
                </w:p>
              </w:tc>
              <w:tc>
                <w:tcPr>
                  <w:tcW w:w="1543" w:type="dxa"/>
                </w:tcPr>
                <w:p w14:paraId="572D0CB1" w14:textId="523E55CC"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Periodicitet</w:t>
                  </w:r>
                </w:p>
              </w:tc>
              <w:tc>
                <w:tcPr>
                  <w:tcW w:w="1295" w:type="dxa"/>
                </w:tcPr>
                <w:p w14:paraId="764CD7A3" w14:textId="3016CD85"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Data</w:t>
                  </w:r>
                  <w:r w:rsidR="00484CC0" w:rsidRPr="00A96A10">
                    <w:rPr>
                      <w:rFonts w:ascii="Times New Roman" w:eastAsia="Times New Roman" w:hAnsi="Times New Roman" w:cs="Times New Roman"/>
                      <w:noProof/>
                      <w:color w:val="000000"/>
                      <w:lang w:eastAsia="sq-AL"/>
                    </w:rPr>
                    <w:t xml:space="preserve"> </w:t>
                  </w:r>
                  <w:r w:rsidRPr="00A96A10">
                    <w:rPr>
                      <w:rFonts w:ascii="Times New Roman" w:eastAsia="Times New Roman" w:hAnsi="Times New Roman" w:cs="Times New Roman"/>
                      <w:noProof/>
                      <w:color w:val="000000"/>
                      <w:lang w:eastAsia="sq-AL"/>
                    </w:rPr>
                    <w:t>e publikimit</w:t>
                  </w:r>
                </w:p>
              </w:tc>
              <w:tc>
                <w:tcPr>
                  <w:tcW w:w="1792" w:type="dxa"/>
                </w:tcPr>
                <w:p w14:paraId="7CF97349" w14:textId="7AAB2BAA"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Periudha referuese</w:t>
                  </w:r>
                  <w:r w:rsidR="00D47D8A" w:rsidRPr="00A96A10">
                    <w:rPr>
                      <w:rFonts w:ascii="Times New Roman" w:eastAsia="Times New Roman" w:hAnsi="Times New Roman" w:cs="Times New Roman"/>
                      <w:noProof/>
                      <w:color w:val="000000"/>
                      <w:lang w:eastAsia="sq-AL"/>
                    </w:rPr>
                    <w:t>*</w:t>
                  </w:r>
                </w:p>
              </w:tc>
              <w:tc>
                <w:tcPr>
                  <w:tcW w:w="1552" w:type="dxa"/>
                </w:tcPr>
                <w:p w14:paraId="08C8A717" w14:textId="2963ADB3"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Rishikimet</w:t>
                  </w:r>
                </w:p>
              </w:tc>
            </w:tr>
            <w:tr w:rsidR="00D65FAF" w:rsidRPr="00A96A10" w14:paraId="69CE3E5E" w14:textId="77777777" w:rsidTr="00484CC0">
              <w:trPr>
                <w:trHeight w:val="174"/>
              </w:trPr>
              <w:tc>
                <w:tcPr>
                  <w:tcW w:w="1543" w:type="dxa"/>
                  <w:vMerge w:val="restart"/>
                </w:tcPr>
                <w:p w14:paraId="7A0A6E45" w14:textId="77777777" w:rsidR="00D65FAF" w:rsidRPr="00A96A10" w:rsidRDefault="00D65FAF" w:rsidP="00506308">
                  <w:pPr>
                    <w:jc w:val="both"/>
                    <w:rPr>
                      <w:rFonts w:ascii="Times New Roman" w:hAnsi="Times New Roman" w:cs="Times New Roman"/>
                      <w:color w:val="2E74B5" w:themeColor="accent5" w:themeShade="BF"/>
                    </w:rPr>
                  </w:pPr>
                </w:p>
                <w:p w14:paraId="7D353716" w14:textId="77777777" w:rsidR="00D65FAF" w:rsidRPr="00A96A10" w:rsidRDefault="00D65FAF" w:rsidP="00506308">
                  <w:pPr>
                    <w:jc w:val="both"/>
                    <w:rPr>
                      <w:rFonts w:ascii="Times New Roman" w:hAnsi="Times New Roman" w:cs="Times New Roman"/>
                      <w:color w:val="2E74B5" w:themeColor="accent5" w:themeShade="BF"/>
                    </w:rPr>
                  </w:pPr>
                </w:p>
                <w:p w14:paraId="7D8F4817" w14:textId="77777777" w:rsidR="00D65FAF" w:rsidRPr="00A96A10" w:rsidRDefault="00D65FAF" w:rsidP="00506308">
                  <w:pPr>
                    <w:jc w:val="both"/>
                    <w:rPr>
                      <w:rFonts w:ascii="Times New Roman" w:hAnsi="Times New Roman" w:cs="Times New Roman"/>
                      <w:color w:val="2E74B5" w:themeColor="accent5" w:themeShade="BF"/>
                    </w:rPr>
                  </w:pPr>
                </w:p>
                <w:p w14:paraId="7CCD995B" w14:textId="77777777" w:rsidR="00D65FAF" w:rsidRPr="00A96A10" w:rsidRDefault="00D65FAF" w:rsidP="00506308">
                  <w:pPr>
                    <w:jc w:val="both"/>
                    <w:rPr>
                      <w:rFonts w:ascii="Times New Roman" w:hAnsi="Times New Roman" w:cs="Times New Roman"/>
                      <w:color w:val="2E74B5" w:themeColor="accent5" w:themeShade="BF"/>
                    </w:rPr>
                  </w:pPr>
                </w:p>
                <w:p w14:paraId="768133C3" w14:textId="77777777" w:rsidR="00D65FAF" w:rsidRPr="00A96A10" w:rsidRDefault="00D65FAF" w:rsidP="00506308">
                  <w:pPr>
                    <w:jc w:val="both"/>
                    <w:rPr>
                      <w:rFonts w:ascii="Times New Roman" w:hAnsi="Times New Roman" w:cs="Times New Roman"/>
                      <w:color w:val="2E74B5" w:themeColor="accent5" w:themeShade="BF"/>
                    </w:rPr>
                  </w:pPr>
                </w:p>
                <w:p w14:paraId="55ABBBD8" w14:textId="09315328" w:rsidR="00D65FAF" w:rsidRPr="00A96A10" w:rsidRDefault="00D47D8A"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Fluksi</w:t>
                  </w:r>
                  <w:r w:rsidR="0035511F" w:rsidRPr="00A96A10">
                    <w:rPr>
                      <w:rFonts w:ascii="Times New Roman" w:eastAsia="Times New Roman" w:hAnsi="Times New Roman" w:cs="Times New Roman"/>
                      <w:noProof/>
                      <w:color w:val="000000"/>
                      <w:lang w:eastAsia="sq-AL"/>
                    </w:rPr>
                    <w:t xml:space="preserve"> dhe </w:t>
                  </w:r>
                  <w:r w:rsidRPr="00A96A10">
                    <w:rPr>
                      <w:rFonts w:ascii="Times New Roman" w:eastAsia="Times New Roman" w:hAnsi="Times New Roman" w:cs="Times New Roman"/>
                      <w:noProof/>
                      <w:color w:val="000000"/>
                      <w:lang w:eastAsia="sq-AL"/>
                    </w:rPr>
                    <w:t>stoku</w:t>
                  </w:r>
                  <w:r w:rsidR="0035511F" w:rsidRPr="00A96A10">
                    <w:rPr>
                      <w:rFonts w:ascii="Times New Roman" w:eastAsia="Times New Roman" w:hAnsi="Times New Roman" w:cs="Times New Roman"/>
                      <w:noProof/>
                      <w:color w:val="000000"/>
                      <w:lang w:eastAsia="sq-AL"/>
                    </w:rPr>
                    <w:t xml:space="preserve"> </w:t>
                  </w:r>
                  <w:r w:rsidRPr="00A96A10">
                    <w:rPr>
                      <w:rFonts w:ascii="Times New Roman" w:eastAsia="Times New Roman" w:hAnsi="Times New Roman" w:cs="Times New Roman"/>
                      <w:noProof/>
                      <w:color w:val="000000"/>
                      <w:lang w:eastAsia="sq-AL"/>
                    </w:rPr>
                    <w:t>i</w:t>
                  </w:r>
                  <w:r w:rsidR="0035511F" w:rsidRPr="00A96A10">
                    <w:rPr>
                      <w:rFonts w:ascii="Times New Roman" w:eastAsia="Times New Roman" w:hAnsi="Times New Roman" w:cs="Times New Roman"/>
                      <w:noProof/>
                      <w:color w:val="000000"/>
                      <w:lang w:eastAsia="sq-AL"/>
                    </w:rPr>
                    <w:t xml:space="preserve"> IHD-ve</w:t>
                  </w:r>
                </w:p>
              </w:tc>
              <w:tc>
                <w:tcPr>
                  <w:tcW w:w="1543" w:type="dxa"/>
                  <w:vMerge w:val="restart"/>
                </w:tcPr>
                <w:p w14:paraId="38523EFC" w14:textId="77777777" w:rsidR="00D65FAF" w:rsidRPr="00A96A10" w:rsidRDefault="00D65FAF" w:rsidP="00506308">
                  <w:pPr>
                    <w:jc w:val="both"/>
                    <w:rPr>
                      <w:rFonts w:ascii="Times New Roman" w:hAnsi="Times New Roman" w:cs="Times New Roman"/>
                      <w:color w:val="2E74B5" w:themeColor="accent5" w:themeShade="BF"/>
                    </w:rPr>
                  </w:pPr>
                </w:p>
                <w:p w14:paraId="46472A81" w14:textId="77777777" w:rsidR="00D65FAF" w:rsidRPr="00A96A10" w:rsidRDefault="00D65FAF" w:rsidP="00506308">
                  <w:pPr>
                    <w:jc w:val="both"/>
                    <w:rPr>
                      <w:rFonts w:ascii="Times New Roman" w:hAnsi="Times New Roman" w:cs="Times New Roman"/>
                      <w:color w:val="2E74B5" w:themeColor="accent5" w:themeShade="BF"/>
                    </w:rPr>
                  </w:pPr>
                </w:p>
                <w:p w14:paraId="3336725A" w14:textId="77777777" w:rsidR="00D65FAF" w:rsidRPr="00A96A10" w:rsidRDefault="00D65FAF" w:rsidP="00506308">
                  <w:pPr>
                    <w:jc w:val="both"/>
                    <w:rPr>
                      <w:rFonts w:ascii="Times New Roman" w:hAnsi="Times New Roman" w:cs="Times New Roman"/>
                      <w:color w:val="2E74B5" w:themeColor="accent5" w:themeShade="BF"/>
                    </w:rPr>
                  </w:pPr>
                </w:p>
                <w:p w14:paraId="4ACDB838" w14:textId="77777777" w:rsidR="00D65FAF" w:rsidRPr="00A96A10" w:rsidRDefault="00D65FAF" w:rsidP="00506308">
                  <w:pPr>
                    <w:jc w:val="both"/>
                    <w:rPr>
                      <w:rFonts w:ascii="Times New Roman" w:hAnsi="Times New Roman" w:cs="Times New Roman"/>
                      <w:color w:val="2E74B5" w:themeColor="accent5" w:themeShade="BF"/>
                    </w:rPr>
                  </w:pPr>
                </w:p>
                <w:p w14:paraId="512107CC" w14:textId="77777777" w:rsidR="00D65FAF" w:rsidRPr="00A96A10" w:rsidRDefault="00D65FAF" w:rsidP="00506308">
                  <w:pPr>
                    <w:jc w:val="both"/>
                    <w:rPr>
                      <w:rFonts w:ascii="Times New Roman" w:hAnsi="Times New Roman" w:cs="Times New Roman"/>
                      <w:color w:val="2E74B5" w:themeColor="accent5" w:themeShade="BF"/>
                    </w:rPr>
                  </w:pPr>
                </w:p>
                <w:p w14:paraId="7B34F393" w14:textId="760361A8"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Tremujor</w:t>
                  </w:r>
                </w:p>
              </w:tc>
              <w:tc>
                <w:tcPr>
                  <w:tcW w:w="1295" w:type="dxa"/>
                </w:tcPr>
                <w:p w14:paraId="39713FC5" w14:textId="443A9413"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Mars</w:t>
                  </w:r>
                </w:p>
              </w:tc>
              <w:tc>
                <w:tcPr>
                  <w:tcW w:w="1792" w:type="dxa"/>
                </w:tcPr>
                <w:p w14:paraId="48A83BA9" w14:textId="0664B6F5" w:rsidR="00D65FAF" w:rsidRPr="00A96A10" w:rsidRDefault="00D47D8A" w:rsidP="00506308">
                  <w:pPr>
                    <w:jc w:val="both"/>
                    <w:rPr>
                      <w:rFonts w:ascii="Times New Roman" w:hAnsi="Times New Roman" w:cs="Times New Roman"/>
                      <w:color w:val="2E74B5" w:themeColor="accent5" w:themeShade="BF"/>
                    </w:rPr>
                  </w:pPr>
                  <w:r w:rsidRPr="00A96A10">
                    <w:rPr>
                      <w:rFonts w:ascii="Times New Roman" w:hAnsi="Times New Roman" w:cs="Times New Roman"/>
                      <w:color w:val="000000" w:themeColor="text1"/>
                    </w:rPr>
                    <w:t>T</w:t>
                  </w:r>
                  <w:r w:rsidR="00D65FAF" w:rsidRPr="00A96A10">
                    <w:rPr>
                      <w:rFonts w:ascii="Times New Roman" w:hAnsi="Times New Roman" w:cs="Times New Roman"/>
                      <w:color w:val="000000" w:themeColor="text1"/>
                    </w:rPr>
                    <w:t>4 (</w:t>
                  </w:r>
                  <w:r w:rsidRPr="00A96A10">
                    <w:rPr>
                      <w:rFonts w:ascii="Times New Roman" w:hAnsi="Times New Roman" w:cs="Times New Roman"/>
                      <w:color w:val="000000" w:themeColor="text1"/>
                    </w:rPr>
                    <w:t>V</w:t>
                  </w:r>
                  <w:r w:rsidR="00D65FAF" w:rsidRPr="00A96A10">
                    <w:rPr>
                      <w:rFonts w:ascii="Times New Roman" w:hAnsi="Times New Roman" w:cs="Times New Roman"/>
                      <w:color w:val="000000" w:themeColor="text1"/>
                    </w:rPr>
                    <w:t>-1)</w:t>
                  </w:r>
                </w:p>
              </w:tc>
              <w:tc>
                <w:tcPr>
                  <w:tcW w:w="1552" w:type="dxa"/>
                </w:tcPr>
                <w:p w14:paraId="7C46AAC6" w14:textId="2ABA20C9" w:rsidR="0035511F" w:rsidRPr="00A96A10" w:rsidRDefault="00D47D8A" w:rsidP="00506308">
                  <w:pPr>
                    <w:spacing w:after="0"/>
                    <w:jc w:val="both"/>
                    <w:rPr>
                      <w:rFonts w:ascii="Times New Roman" w:eastAsia="Times New Roman" w:hAnsi="Times New Roman" w:cs="Times New Roman"/>
                      <w:noProof/>
                      <w:color w:val="000000"/>
                      <w:lang w:eastAsia="sq-AL"/>
                    </w:rPr>
                  </w:pPr>
                  <w:r w:rsidRPr="00A96A10">
                    <w:rPr>
                      <w:rFonts w:ascii="Times New Roman" w:hAnsi="Times New Roman" w:cs="Times New Roman"/>
                    </w:rPr>
                    <w:t>T</w:t>
                  </w:r>
                  <w:r w:rsidR="00D65FAF" w:rsidRPr="00A96A10">
                    <w:rPr>
                      <w:rFonts w:ascii="Times New Roman" w:hAnsi="Times New Roman" w:cs="Times New Roman"/>
                    </w:rPr>
                    <w:t xml:space="preserve">1, </w:t>
                  </w:r>
                  <w:r w:rsidRPr="00A96A10">
                    <w:rPr>
                      <w:rFonts w:ascii="Times New Roman" w:hAnsi="Times New Roman" w:cs="Times New Roman"/>
                    </w:rPr>
                    <w:t>T</w:t>
                  </w:r>
                  <w:r w:rsidR="00D65FAF" w:rsidRPr="00A96A10">
                    <w:rPr>
                      <w:rFonts w:ascii="Times New Roman" w:hAnsi="Times New Roman" w:cs="Times New Roman"/>
                    </w:rPr>
                    <w:t xml:space="preserve">2 </w:t>
                  </w:r>
                  <w:r w:rsidR="0035511F" w:rsidRPr="00A96A10">
                    <w:rPr>
                      <w:rFonts w:ascii="Times New Roman" w:hAnsi="Times New Roman" w:cs="Times New Roman"/>
                    </w:rPr>
                    <w:t>dhe</w:t>
                  </w:r>
                  <w:r w:rsidR="00D65FAF" w:rsidRPr="00A96A10">
                    <w:rPr>
                      <w:rFonts w:ascii="Times New Roman" w:hAnsi="Times New Roman" w:cs="Times New Roman"/>
                    </w:rPr>
                    <w:t xml:space="preserve"> </w:t>
                  </w:r>
                  <w:r w:rsidRPr="00A96A10">
                    <w:rPr>
                      <w:rFonts w:ascii="Times New Roman" w:hAnsi="Times New Roman" w:cs="Times New Roman"/>
                    </w:rPr>
                    <w:t>T</w:t>
                  </w:r>
                  <w:r w:rsidR="00D65FAF" w:rsidRPr="00A96A10">
                    <w:rPr>
                      <w:rFonts w:ascii="Times New Roman" w:hAnsi="Times New Roman" w:cs="Times New Roman"/>
                    </w:rPr>
                    <w:t xml:space="preserve">3 </w:t>
                  </w:r>
                  <w:r w:rsidR="0035511F" w:rsidRPr="00A96A10">
                    <w:rPr>
                      <w:rFonts w:ascii="Times New Roman" w:eastAsia="Times New Roman" w:hAnsi="Times New Roman" w:cs="Times New Roman"/>
                      <w:noProof/>
                      <w:color w:val="000000"/>
                      <w:lang w:eastAsia="sq-AL"/>
                    </w:rPr>
                    <w:t>të vitit paraardhës</w:t>
                  </w:r>
                </w:p>
                <w:p w14:paraId="7905AD17" w14:textId="58E71D47"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hAnsi="Times New Roman" w:cs="Times New Roman"/>
                    </w:rPr>
                    <w:t xml:space="preserve">Dhe </w:t>
                  </w:r>
                  <w:r w:rsidR="00D47D8A" w:rsidRPr="00A96A10">
                    <w:rPr>
                      <w:rFonts w:ascii="Times New Roman" w:hAnsi="Times New Roman" w:cs="Times New Roman"/>
                    </w:rPr>
                    <w:t>ç</w:t>
                  </w:r>
                  <w:r w:rsidRPr="00A96A10">
                    <w:rPr>
                      <w:rFonts w:ascii="Times New Roman" w:hAnsi="Times New Roman" w:cs="Times New Roman"/>
                    </w:rPr>
                    <w:t>do tremujor t</w:t>
                  </w:r>
                  <w:r w:rsidR="00D47D8A" w:rsidRPr="00A96A10">
                    <w:rPr>
                      <w:rFonts w:ascii="Times New Roman" w:hAnsi="Times New Roman" w:cs="Times New Roman"/>
                    </w:rPr>
                    <w:t>ë</w:t>
                  </w:r>
                  <w:r w:rsidRPr="00A96A10">
                    <w:rPr>
                      <w:rFonts w:ascii="Times New Roman" w:hAnsi="Times New Roman" w:cs="Times New Roman"/>
                    </w:rPr>
                    <w:t xml:space="preserve"> viteve t</w:t>
                  </w:r>
                  <w:r w:rsidR="00D47D8A" w:rsidRPr="00A96A10">
                    <w:rPr>
                      <w:rFonts w:ascii="Times New Roman" w:hAnsi="Times New Roman" w:cs="Times New Roman"/>
                    </w:rPr>
                    <w:t>ë</w:t>
                  </w:r>
                  <w:r w:rsidRPr="00A96A10">
                    <w:rPr>
                      <w:rFonts w:ascii="Times New Roman" w:hAnsi="Times New Roman" w:cs="Times New Roman"/>
                    </w:rPr>
                    <w:t xml:space="preserve"> references </w:t>
                  </w:r>
                  <w:r w:rsidR="00D47D8A" w:rsidRPr="00A96A10">
                    <w:rPr>
                      <w:rFonts w:ascii="Times New Roman" w:hAnsi="Times New Roman" w:cs="Times New Roman"/>
                    </w:rPr>
                    <w:t>V</w:t>
                  </w:r>
                  <w:r w:rsidR="00D65FAF" w:rsidRPr="00A96A10">
                    <w:rPr>
                      <w:rFonts w:ascii="Times New Roman" w:hAnsi="Times New Roman" w:cs="Times New Roman"/>
                    </w:rPr>
                    <w:t xml:space="preserve">-2, </w:t>
                  </w:r>
                  <w:r w:rsidR="00D47D8A" w:rsidRPr="00A96A10">
                    <w:rPr>
                      <w:rFonts w:ascii="Times New Roman" w:hAnsi="Times New Roman" w:cs="Times New Roman"/>
                    </w:rPr>
                    <w:t>V</w:t>
                  </w:r>
                  <w:r w:rsidR="00D65FAF" w:rsidRPr="00A96A10">
                    <w:rPr>
                      <w:rFonts w:ascii="Times New Roman" w:hAnsi="Times New Roman" w:cs="Times New Roman"/>
                    </w:rPr>
                    <w:t xml:space="preserve">-3 </w:t>
                  </w:r>
                  <w:r w:rsidRPr="00A96A10">
                    <w:rPr>
                      <w:rFonts w:ascii="Times New Roman" w:hAnsi="Times New Roman" w:cs="Times New Roman"/>
                    </w:rPr>
                    <w:t xml:space="preserve">dhe </w:t>
                  </w:r>
                  <w:r w:rsidR="00D47D8A" w:rsidRPr="00A96A10">
                    <w:rPr>
                      <w:rFonts w:ascii="Times New Roman" w:hAnsi="Times New Roman" w:cs="Times New Roman"/>
                    </w:rPr>
                    <w:t>V</w:t>
                  </w:r>
                  <w:r w:rsidR="00D65FAF" w:rsidRPr="00A96A10">
                    <w:rPr>
                      <w:rFonts w:ascii="Times New Roman" w:hAnsi="Times New Roman" w:cs="Times New Roman"/>
                    </w:rPr>
                    <w:t>-4.</w:t>
                  </w:r>
                </w:p>
              </w:tc>
            </w:tr>
            <w:tr w:rsidR="00D65FAF" w:rsidRPr="00A96A10" w14:paraId="7DC9C0EE" w14:textId="77777777" w:rsidTr="00484CC0">
              <w:trPr>
                <w:trHeight w:val="119"/>
              </w:trPr>
              <w:tc>
                <w:tcPr>
                  <w:tcW w:w="1543" w:type="dxa"/>
                  <w:vMerge/>
                </w:tcPr>
                <w:p w14:paraId="283B9576" w14:textId="77777777" w:rsidR="00D65FAF" w:rsidRPr="00A96A10" w:rsidRDefault="00D65FAF" w:rsidP="00506308">
                  <w:pPr>
                    <w:jc w:val="both"/>
                    <w:rPr>
                      <w:rFonts w:ascii="Times New Roman" w:hAnsi="Times New Roman" w:cs="Times New Roman"/>
                      <w:color w:val="2E74B5" w:themeColor="accent5" w:themeShade="BF"/>
                    </w:rPr>
                  </w:pPr>
                </w:p>
              </w:tc>
              <w:tc>
                <w:tcPr>
                  <w:tcW w:w="1543" w:type="dxa"/>
                  <w:vMerge/>
                </w:tcPr>
                <w:p w14:paraId="10E18645" w14:textId="77777777" w:rsidR="00D65FAF" w:rsidRPr="00A96A10" w:rsidRDefault="00D65FAF" w:rsidP="00506308">
                  <w:pPr>
                    <w:jc w:val="both"/>
                    <w:rPr>
                      <w:rFonts w:ascii="Times New Roman" w:hAnsi="Times New Roman" w:cs="Times New Roman"/>
                      <w:color w:val="2E74B5" w:themeColor="accent5" w:themeShade="BF"/>
                    </w:rPr>
                  </w:pPr>
                </w:p>
              </w:tc>
              <w:tc>
                <w:tcPr>
                  <w:tcW w:w="1295" w:type="dxa"/>
                </w:tcPr>
                <w:p w14:paraId="36E8B399" w14:textId="31218F28" w:rsidR="00D65FAF" w:rsidRPr="00A96A10" w:rsidRDefault="0035511F" w:rsidP="00506308">
                  <w:pPr>
                    <w:jc w:val="both"/>
                    <w:rPr>
                      <w:rFonts w:ascii="Times New Roman" w:hAnsi="Times New Roman" w:cs="Times New Roman"/>
                      <w:color w:val="2E74B5" w:themeColor="accent5" w:themeShade="BF"/>
                    </w:rPr>
                  </w:pPr>
                  <w:r w:rsidRPr="00A96A10">
                    <w:rPr>
                      <w:rFonts w:ascii="Times New Roman" w:eastAsia="Times New Roman" w:hAnsi="Times New Roman" w:cs="Times New Roman"/>
                      <w:noProof/>
                      <w:color w:val="000000"/>
                      <w:lang w:eastAsia="sq-AL"/>
                    </w:rPr>
                    <w:t>Qershor</w:t>
                  </w:r>
                </w:p>
              </w:tc>
              <w:tc>
                <w:tcPr>
                  <w:tcW w:w="1792" w:type="dxa"/>
                </w:tcPr>
                <w:p w14:paraId="183EC6B5" w14:textId="7BE940B9" w:rsidR="00D65FAF" w:rsidRPr="00A96A10" w:rsidRDefault="00D47D8A" w:rsidP="00506308">
                  <w:pPr>
                    <w:jc w:val="both"/>
                    <w:rPr>
                      <w:rFonts w:ascii="Times New Roman" w:hAnsi="Times New Roman" w:cs="Times New Roman"/>
                      <w:color w:val="2E74B5" w:themeColor="accent5" w:themeShade="BF"/>
                    </w:rPr>
                  </w:pPr>
                  <w:r w:rsidRPr="00A96A10">
                    <w:rPr>
                      <w:rFonts w:ascii="Times New Roman" w:hAnsi="Times New Roman" w:cs="Times New Roman"/>
                    </w:rPr>
                    <w:t>T</w:t>
                  </w:r>
                  <w:r w:rsidR="00D65FAF" w:rsidRPr="00A96A10">
                    <w:rPr>
                      <w:rFonts w:ascii="Times New Roman" w:hAnsi="Times New Roman" w:cs="Times New Roman"/>
                    </w:rPr>
                    <w:t>1 (</w:t>
                  </w:r>
                  <w:r w:rsidRPr="00A96A10">
                    <w:rPr>
                      <w:rFonts w:ascii="Times New Roman" w:hAnsi="Times New Roman" w:cs="Times New Roman"/>
                    </w:rPr>
                    <w:t>V</w:t>
                  </w:r>
                  <w:r w:rsidR="00D65FAF" w:rsidRPr="00A96A10">
                    <w:rPr>
                      <w:rFonts w:ascii="Times New Roman" w:hAnsi="Times New Roman" w:cs="Times New Roman"/>
                    </w:rPr>
                    <w:t>)</w:t>
                  </w:r>
                </w:p>
              </w:tc>
              <w:tc>
                <w:tcPr>
                  <w:tcW w:w="1552" w:type="dxa"/>
                </w:tcPr>
                <w:p w14:paraId="3B59C43A" w14:textId="45441B39" w:rsidR="00D65FAF" w:rsidRPr="00A96A10" w:rsidRDefault="00D47D8A" w:rsidP="00506308">
                  <w:pPr>
                    <w:jc w:val="both"/>
                    <w:rPr>
                      <w:rFonts w:ascii="Times New Roman" w:hAnsi="Times New Roman" w:cs="Times New Roman"/>
                      <w:color w:val="2E74B5" w:themeColor="accent5" w:themeShade="BF"/>
                    </w:rPr>
                  </w:pPr>
                  <w:r w:rsidRPr="00A96A10">
                    <w:rPr>
                      <w:rFonts w:ascii="Times New Roman" w:hAnsi="Times New Roman" w:cs="Times New Roman"/>
                    </w:rPr>
                    <w:t>T</w:t>
                  </w:r>
                  <w:r w:rsidR="00D65FAF" w:rsidRPr="00A96A10">
                    <w:rPr>
                      <w:rFonts w:ascii="Times New Roman" w:hAnsi="Times New Roman" w:cs="Times New Roman"/>
                    </w:rPr>
                    <w:t xml:space="preserve">1, </w:t>
                  </w:r>
                  <w:r w:rsidRPr="00A96A10">
                    <w:rPr>
                      <w:rFonts w:ascii="Times New Roman" w:hAnsi="Times New Roman" w:cs="Times New Roman"/>
                    </w:rPr>
                    <w:t>T</w:t>
                  </w:r>
                  <w:r w:rsidR="00D65FAF" w:rsidRPr="00A96A10">
                    <w:rPr>
                      <w:rFonts w:ascii="Times New Roman" w:hAnsi="Times New Roman" w:cs="Times New Roman"/>
                    </w:rPr>
                    <w:t xml:space="preserve">2, </w:t>
                  </w:r>
                  <w:r w:rsidRPr="00A96A10">
                    <w:rPr>
                      <w:rFonts w:ascii="Times New Roman" w:hAnsi="Times New Roman" w:cs="Times New Roman"/>
                    </w:rPr>
                    <w:t>T</w:t>
                  </w:r>
                  <w:r w:rsidR="00D65FAF" w:rsidRPr="00A96A10">
                    <w:rPr>
                      <w:rFonts w:ascii="Times New Roman" w:hAnsi="Times New Roman" w:cs="Times New Roman"/>
                    </w:rPr>
                    <w:t xml:space="preserve">3 </w:t>
                  </w:r>
                  <w:r w:rsidR="0035511F" w:rsidRPr="00A96A10">
                    <w:rPr>
                      <w:rFonts w:ascii="Times New Roman" w:hAnsi="Times New Roman" w:cs="Times New Roman"/>
                    </w:rPr>
                    <w:t xml:space="preserve">dhe </w:t>
                  </w:r>
                  <w:r w:rsidRPr="00A96A10">
                    <w:rPr>
                      <w:rFonts w:ascii="Times New Roman" w:hAnsi="Times New Roman" w:cs="Times New Roman"/>
                    </w:rPr>
                    <w:t>T</w:t>
                  </w:r>
                  <w:r w:rsidR="00D65FAF" w:rsidRPr="00A96A10">
                    <w:rPr>
                      <w:rFonts w:ascii="Times New Roman" w:hAnsi="Times New Roman" w:cs="Times New Roman"/>
                    </w:rPr>
                    <w:t xml:space="preserve">4 </w:t>
                  </w:r>
                  <w:r w:rsidR="0035511F" w:rsidRPr="00A96A10">
                    <w:rPr>
                      <w:rFonts w:ascii="Times New Roman" w:eastAsia="Times New Roman" w:hAnsi="Times New Roman" w:cs="Times New Roman"/>
                      <w:noProof/>
                      <w:color w:val="000000"/>
                      <w:lang w:eastAsia="sq-AL"/>
                    </w:rPr>
                    <w:t>të vitit paraardhës</w:t>
                  </w:r>
                  <w:r w:rsidR="0035511F" w:rsidRPr="00A96A10">
                    <w:rPr>
                      <w:rFonts w:ascii="Times New Roman" w:hAnsi="Times New Roman" w:cs="Times New Roman"/>
                    </w:rPr>
                    <w:t xml:space="preserve"> </w:t>
                  </w:r>
                  <w:r w:rsidRPr="00A96A10">
                    <w:rPr>
                      <w:rFonts w:ascii="Times New Roman" w:hAnsi="Times New Roman" w:cs="Times New Roman"/>
                    </w:rPr>
                    <w:t>V</w:t>
                  </w:r>
                  <w:r w:rsidR="00D65FAF" w:rsidRPr="00A96A10">
                    <w:rPr>
                      <w:rFonts w:ascii="Times New Roman" w:hAnsi="Times New Roman" w:cs="Times New Roman"/>
                    </w:rPr>
                    <w:t>-1</w:t>
                  </w:r>
                </w:p>
              </w:tc>
            </w:tr>
            <w:tr w:rsidR="00D65FAF" w:rsidRPr="00A96A10" w14:paraId="3C82188A" w14:textId="77777777" w:rsidTr="00484CC0">
              <w:trPr>
                <w:trHeight w:val="148"/>
              </w:trPr>
              <w:tc>
                <w:tcPr>
                  <w:tcW w:w="1543" w:type="dxa"/>
                  <w:vMerge/>
                </w:tcPr>
                <w:p w14:paraId="3FFB5ED3" w14:textId="77777777" w:rsidR="00D65FAF" w:rsidRPr="00A96A10" w:rsidRDefault="00D65FAF" w:rsidP="00506308">
                  <w:pPr>
                    <w:jc w:val="both"/>
                    <w:rPr>
                      <w:rFonts w:ascii="Times New Roman" w:hAnsi="Times New Roman" w:cs="Times New Roman"/>
                      <w:color w:val="2E74B5" w:themeColor="accent5" w:themeShade="BF"/>
                    </w:rPr>
                  </w:pPr>
                </w:p>
              </w:tc>
              <w:tc>
                <w:tcPr>
                  <w:tcW w:w="1543" w:type="dxa"/>
                  <w:vMerge/>
                </w:tcPr>
                <w:p w14:paraId="2971A1F1" w14:textId="77777777" w:rsidR="00D65FAF" w:rsidRPr="00A96A10" w:rsidRDefault="00D65FAF" w:rsidP="00506308">
                  <w:pPr>
                    <w:jc w:val="both"/>
                    <w:rPr>
                      <w:rFonts w:ascii="Times New Roman" w:hAnsi="Times New Roman" w:cs="Times New Roman"/>
                      <w:color w:val="2E74B5" w:themeColor="accent5" w:themeShade="BF"/>
                    </w:rPr>
                  </w:pPr>
                </w:p>
              </w:tc>
              <w:tc>
                <w:tcPr>
                  <w:tcW w:w="1295" w:type="dxa"/>
                </w:tcPr>
                <w:p w14:paraId="075E5380" w14:textId="46B5136A" w:rsidR="00D65FAF" w:rsidRPr="00A96A10" w:rsidRDefault="0035511F" w:rsidP="00506308">
                  <w:pPr>
                    <w:jc w:val="both"/>
                    <w:rPr>
                      <w:rFonts w:ascii="Times New Roman" w:hAnsi="Times New Roman" w:cs="Times New Roman"/>
                    </w:rPr>
                  </w:pPr>
                  <w:r w:rsidRPr="00A96A10">
                    <w:rPr>
                      <w:rFonts w:ascii="Times New Roman" w:eastAsia="Times New Roman" w:hAnsi="Times New Roman" w:cs="Times New Roman"/>
                      <w:noProof/>
                      <w:color w:val="000000"/>
                      <w:lang w:eastAsia="sq-AL"/>
                    </w:rPr>
                    <w:t>Shtator</w:t>
                  </w:r>
                </w:p>
              </w:tc>
              <w:tc>
                <w:tcPr>
                  <w:tcW w:w="1792" w:type="dxa"/>
                </w:tcPr>
                <w:p w14:paraId="48B60AC6" w14:textId="40BE79F7" w:rsidR="00D65FAF" w:rsidRPr="00A96A10" w:rsidRDefault="00D47D8A" w:rsidP="00506308">
                  <w:pPr>
                    <w:jc w:val="both"/>
                    <w:rPr>
                      <w:rFonts w:ascii="Times New Roman" w:hAnsi="Times New Roman" w:cs="Times New Roman"/>
                      <w:color w:val="2E74B5" w:themeColor="accent5" w:themeShade="BF"/>
                    </w:rPr>
                  </w:pPr>
                  <w:r w:rsidRPr="00A96A10">
                    <w:rPr>
                      <w:rFonts w:ascii="Times New Roman" w:hAnsi="Times New Roman" w:cs="Times New Roman"/>
                    </w:rPr>
                    <w:t>T</w:t>
                  </w:r>
                  <w:r w:rsidR="00D65FAF" w:rsidRPr="00A96A10">
                    <w:rPr>
                      <w:rFonts w:ascii="Times New Roman" w:hAnsi="Times New Roman" w:cs="Times New Roman"/>
                    </w:rPr>
                    <w:t>2 (</w:t>
                  </w:r>
                  <w:r w:rsidRPr="00A96A10">
                    <w:rPr>
                      <w:rFonts w:ascii="Times New Roman" w:hAnsi="Times New Roman" w:cs="Times New Roman"/>
                    </w:rPr>
                    <w:t>V</w:t>
                  </w:r>
                  <w:r w:rsidR="00D65FAF" w:rsidRPr="00A96A10">
                    <w:rPr>
                      <w:rFonts w:ascii="Times New Roman" w:hAnsi="Times New Roman" w:cs="Times New Roman"/>
                    </w:rPr>
                    <w:t>)</w:t>
                  </w:r>
                </w:p>
              </w:tc>
              <w:tc>
                <w:tcPr>
                  <w:tcW w:w="1552" w:type="dxa"/>
                </w:tcPr>
                <w:p w14:paraId="0AC82D64" w14:textId="6DDCFA5A" w:rsidR="00D65FAF" w:rsidRPr="00A96A10" w:rsidRDefault="00D47D8A" w:rsidP="00506308">
                  <w:pPr>
                    <w:jc w:val="both"/>
                    <w:rPr>
                      <w:rFonts w:ascii="Times New Roman" w:hAnsi="Times New Roman" w:cs="Times New Roman"/>
                      <w:color w:val="2E74B5" w:themeColor="accent5" w:themeShade="BF"/>
                    </w:rPr>
                  </w:pPr>
                  <w:r w:rsidRPr="00A96A10">
                    <w:rPr>
                      <w:rFonts w:ascii="Times New Roman" w:hAnsi="Times New Roman" w:cs="Times New Roman"/>
                      <w:color w:val="000000" w:themeColor="text1"/>
                    </w:rPr>
                    <w:t>T</w:t>
                  </w:r>
                  <w:r w:rsidR="00D65FAF" w:rsidRPr="00A96A10">
                    <w:rPr>
                      <w:rFonts w:ascii="Times New Roman" w:hAnsi="Times New Roman" w:cs="Times New Roman"/>
                      <w:color w:val="000000" w:themeColor="text1"/>
                    </w:rPr>
                    <w:t xml:space="preserve">1 </w:t>
                  </w:r>
                  <w:r w:rsidR="0035511F" w:rsidRPr="00A96A10">
                    <w:rPr>
                      <w:rFonts w:ascii="Times New Roman" w:hAnsi="Times New Roman" w:cs="Times New Roman"/>
                      <w:color w:val="000000" w:themeColor="text1"/>
                    </w:rPr>
                    <w:t xml:space="preserve">i vitit </w:t>
                  </w:r>
                  <w:r w:rsidRPr="00A96A10">
                    <w:rPr>
                      <w:rFonts w:ascii="Times New Roman" w:hAnsi="Times New Roman" w:cs="Times New Roman"/>
                      <w:color w:val="000000" w:themeColor="text1"/>
                    </w:rPr>
                    <w:t>V</w:t>
                  </w:r>
                  <w:r w:rsidR="00D65FAF" w:rsidRPr="00A96A10">
                    <w:rPr>
                      <w:rFonts w:ascii="Times New Roman" w:hAnsi="Times New Roman" w:cs="Times New Roman"/>
                      <w:color w:val="000000" w:themeColor="text1"/>
                    </w:rPr>
                    <w:t xml:space="preserve">-1 </w:t>
                  </w:r>
                  <w:r w:rsidR="0035511F" w:rsidRPr="00A96A10">
                    <w:rPr>
                      <w:rFonts w:ascii="Times New Roman" w:eastAsia="Times New Roman" w:hAnsi="Times New Roman" w:cs="Times New Roman"/>
                      <w:noProof/>
                      <w:color w:val="000000"/>
                      <w:lang w:eastAsia="sq-AL"/>
                    </w:rPr>
                    <w:t xml:space="preserve">dhe çdo tremujor për </w:t>
                  </w:r>
                  <w:r w:rsidRPr="00A96A10">
                    <w:rPr>
                      <w:rFonts w:ascii="Times New Roman" w:hAnsi="Times New Roman" w:cs="Times New Roman"/>
                      <w:color w:val="000000" w:themeColor="text1"/>
                    </w:rPr>
                    <w:t>V</w:t>
                  </w:r>
                  <w:r w:rsidR="00D65FAF" w:rsidRPr="00A96A10">
                    <w:rPr>
                      <w:rFonts w:ascii="Times New Roman" w:hAnsi="Times New Roman" w:cs="Times New Roman"/>
                      <w:color w:val="000000" w:themeColor="text1"/>
                    </w:rPr>
                    <w:t xml:space="preserve">-2, </w:t>
                  </w:r>
                  <w:r w:rsidRPr="00A96A10">
                    <w:rPr>
                      <w:rFonts w:ascii="Times New Roman" w:hAnsi="Times New Roman" w:cs="Times New Roman"/>
                      <w:color w:val="000000" w:themeColor="text1"/>
                    </w:rPr>
                    <w:t>V</w:t>
                  </w:r>
                  <w:r w:rsidR="00D65FAF" w:rsidRPr="00A96A10">
                    <w:rPr>
                      <w:rFonts w:ascii="Times New Roman" w:hAnsi="Times New Roman" w:cs="Times New Roman"/>
                      <w:color w:val="000000" w:themeColor="text1"/>
                    </w:rPr>
                    <w:t xml:space="preserve">-3 </w:t>
                  </w:r>
                  <w:r w:rsidR="0035511F" w:rsidRPr="00A96A10">
                    <w:rPr>
                      <w:rFonts w:ascii="Times New Roman" w:hAnsi="Times New Roman" w:cs="Times New Roman"/>
                      <w:color w:val="000000" w:themeColor="text1"/>
                    </w:rPr>
                    <w:t>dhe</w:t>
                  </w:r>
                  <w:r w:rsidR="00D65FAF" w:rsidRPr="00A96A10">
                    <w:rPr>
                      <w:rFonts w:ascii="Times New Roman" w:hAnsi="Times New Roman" w:cs="Times New Roman"/>
                      <w:color w:val="000000" w:themeColor="text1"/>
                    </w:rPr>
                    <w:t xml:space="preserve"> </w:t>
                  </w:r>
                  <w:r w:rsidRPr="00A96A10">
                    <w:rPr>
                      <w:rFonts w:ascii="Times New Roman" w:hAnsi="Times New Roman" w:cs="Times New Roman"/>
                      <w:color w:val="000000" w:themeColor="text1"/>
                    </w:rPr>
                    <w:t>V</w:t>
                  </w:r>
                  <w:r w:rsidR="00D65FAF" w:rsidRPr="00A96A10">
                    <w:rPr>
                      <w:rFonts w:ascii="Times New Roman" w:hAnsi="Times New Roman" w:cs="Times New Roman"/>
                      <w:color w:val="000000" w:themeColor="text1"/>
                    </w:rPr>
                    <w:t>-4.</w:t>
                  </w:r>
                </w:p>
              </w:tc>
            </w:tr>
            <w:tr w:rsidR="00D65FAF" w:rsidRPr="00A96A10" w14:paraId="6DB8E4CC" w14:textId="77777777" w:rsidTr="00484CC0">
              <w:trPr>
                <w:trHeight w:val="1152"/>
              </w:trPr>
              <w:tc>
                <w:tcPr>
                  <w:tcW w:w="1543" w:type="dxa"/>
                  <w:vMerge/>
                </w:tcPr>
                <w:p w14:paraId="65F43D59" w14:textId="77777777" w:rsidR="00D65FAF" w:rsidRPr="00A96A10" w:rsidRDefault="00D65FAF" w:rsidP="00506308">
                  <w:pPr>
                    <w:jc w:val="both"/>
                    <w:rPr>
                      <w:rFonts w:ascii="Times New Roman" w:hAnsi="Times New Roman" w:cs="Times New Roman"/>
                      <w:color w:val="2E74B5" w:themeColor="accent5" w:themeShade="BF"/>
                    </w:rPr>
                  </w:pPr>
                </w:p>
              </w:tc>
              <w:tc>
                <w:tcPr>
                  <w:tcW w:w="1543" w:type="dxa"/>
                  <w:vMerge/>
                </w:tcPr>
                <w:p w14:paraId="65E269A7" w14:textId="77777777" w:rsidR="00D65FAF" w:rsidRPr="00A96A10" w:rsidRDefault="00D65FAF" w:rsidP="00506308">
                  <w:pPr>
                    <w:jc w:val="both"/>
                    <w:rPr>
                      <w:rFonts w:ascii="Times New Roman" w:hAnsi="Times New Roman" w:cs="Times New Roman"/>
                      <w:color w:val="2E74B5" w:themeColor="accent5" w:themeShade="BF"/>
                    </w:rPr>
                  </w:pPr>
                </w:p>
              </w:tc>
              <w:tc>
                <w:tcPr>
                  <w:tcW w:w="1295" w:type="dxa"/>
                </w:tcPr>
                <w:p w14:paraId="39FC2235" w14:textId="2C3614B5" w:rsidR="00D65FAF" w:rsidRPr="00A96A10" w:rsidRDefault="0035511F" w:rsidP="00506308">
                  <w:pPr>
                    <w:jc w:val="both"/>
                    <w:rPr>
                      <w:rFonts w:ascii="Times New Roman" w:hAnsi="Times New Roman" w:cs="Times New Roman"/>
                    </w:rPr>
                  </w:pPr>
                  <w:r w:rsidRPr="00A96A10">
                    <w:rPr>
                      <w:rFonts w:ascii="Times New Roman" w:eastAsia="Times New Roman" w:hAnsi="Times New Roman" w:cs="Times New Roman"/>
                      <w:noProof/>
                      <w:color w:val="000000"/>
                      <w:lang w:eastAsia="sq-AL"/>
                    </w:rPr>
                    <w:t>Dhjetor</w:t>
                  </w:r>
                </w:p>
              </w:tc>
              <w:tc>
                <w:tcPr>
                  <w:tcW w:w="1792" w:type="dxa"/>
                </w:tcPr>
                <w:p w14:paraId="18B90C5F" w14:textId="7FFB72E3" w:rsidR="00D65FAF" w:rsidRPr="00A96A10" w:rsidRDefault="00317138" w:rsidP="00506308">
                  <w:pPr>
                    <w:jc w:val="both"/>
                    <w:rPr>
                      <w:rFonts w:ascii="Times New Roman" w:hAnsi="Times New Roman" w:cs="Times New Roman"/>
                    </w:rPr>
                  </w:pPr>
                  <w:r w:rsidRPr="00A96A10">
                    <w:rPr>
                      <w:rFonts w:ascii="Times New Roman" w:hAnsi="Times New Roman" w:cs="Times New Roman"/>
                    </w:rPr>
                    <w:t>T</w:t>
                  </w:r>
                  <w:r w:rsidR="00D65FAF" w:rsidRPr="00A96A10">
                    <w:rPr>
                      <w:rFonts w:ascii="Times New Roman" w:hAnsi="Times New Roman" w:cs="Times New Roman"/>
                    </w:rPr>
                    <w:t>3 (</w:t>
                  </w:r>
                  <w:r w:rsidRPr="00A96A10">
                    <w:rPr>
                      <w:rFonts w:ascii="Times New Roman" w:hAnsi="Times New Roman" w:cs="Times New Roman"/>
                    </w:rPr>
                    <w:t>V</w:t>
                  </w:r>
                  <w:r w:rsidR="00D65FAF" w:rsidRPr="00A96A10">
                    <w:rPr>
                      <w:rFonts w:ascii="Times New Roman" w:hAnsi="Times New Roman" w:cs="Times New Roman"/>
                    </w:rPr>
                    <w:t>)</w:t>
                  </w:r>
                </w:p>
              </w:tc>
              <w:tc>
                <w:tcPr>
                  <w:tcW w:w="1552" w:type="dxa"/>
                </w:tcPr>
                <w:p w14:paraId="0E1C4612" w14:textId="6138A5D8" w:rsidR="00D65FAF" w:rsidRPr="00A96A10" w:rsidRDefault="00D47D8A" w:rsidP="00506308">
                  <w:pPr>
                    <w:jc w:val="both"/>
                    <w:rPr>
                      <w:rFonts w:ascii="Times New Roman" w:hAnsi="Times New Roman" w:cs="Times New Roman"/>
                      <w:color w:val="2E74B5" w:themeColor="accent5" w:themeShade="BF"/>
                    </w:rPr>
                  </w:pPr>
                  <w:r w:rsidRPr="00A96A10">
                    <w:rPr>
                      <w:rFonts w:ascii="Times New Roman" w:hAnsi="Times New Roman" w:cs="Times New Roman"/>
                    </w:rPr>
                    <w:t>T</w:t>
                  </w:r>
                  <w:r w:rsidR="00D65FAF" w:rsidRPr="00A96A10">
                    <w:rPr>
                      <w:rFonts w:ascii="Times New Roman" w:hAnsi="Times New Roman" w:cs="Times New Roman"/>
                    </w:rPr>
                    <w:t xml:space="preserve">1 </w:t>
                  </w:r>
                  <w:r w:rsidR="0035511F" w:rsidRPr="00A96A10">
                    <w:rPr>
                      <w:rFonts w:ascii="Times New Roman" w:hAnsi="Times New Roman" w:cs="Times New Roman"/>
                    </w:rPr>
                    <w:t>dhe</w:t>
                  </w:r>
                  <w:r w:rsidR="00D65FAF" w:rsidRPr="00A96A10">
                    <w:rPr>
                      <w:rFonts w:ascii="Times New Roman" w:hAnsi="Times New Roman" w:cs="Times New Roman"/>
                    </w:rPr>
                    <w:t xml:space="preserve"> </w:t>
                  </w:r>
                  <w:r w:rsidRPr="00A96A10">
                    <w:rPr>
                      <w:rFonts w:ascii="Times New Roman" w:hAnsi="Times New Roman" w:cs="Times New Roman"/>
                    </w:rPr>
                    <w:t>T</w:t>
                  </w:r>
                  <w:r w:rsidR="00D65FAF" w:rsidRPr="00A96A10">
                    <w:rPr>
                      <w:rFonts w:ascii="Times New Roman" w:hAnsi="Times New Roman" w:cs="Times New Roman"/>
                    </w:rPr>
                    <w:t xml:space="preserve">2 </w:t>
                  </w:r>
                  <w:r w:rsidR="0035511F" w:rsidRPr="00A96A10">
                    <w:rPr>
                      <w:rFonts w:ascii="Times New Roman" w:eastAsia="Times New Roman" w:hAnsi="Times New Roman" w:cs="Times New Roman"/>
                      <w:noProof/>
                      <w:color w:val="000000"/>
                      <w:lang w:eastAsia="sq-AL"/>
                    </w:rPr>
                    <w:t xml:space="preserve">të vitit aktual dhe çdo tremujor për </w:t>
                  </w:r>
                  <w:r w:rsidRPr="00A96A10">
                    <w:rPr>
                      <w:rFonts w:ascii="Times New Roman" w:hAnsi="Times New Roman" w:cs="Times New Roman"/>
                    </w:rPr>
                    <w:t>V</w:t>
                  </w:r>
                  <w:r w:rsidR="00D65FAF" w:rsidRPr="00A96A10">
                    <w:rPr>
                      <w:rFonts w:ascii="Times New Roman" w:hAnsi="Times New Roman" w:cs="Times New Roman"/>
                    </w:rPr>
                    <w:t>-1.</w:t>
                  </w:r>
                </w:p>
              </w:tc>
            </w:tr>
          </w:tbl>
          <w:p w14:paraId="52858EE1" w14:textId="23C5E9E8" w:rsidR="00F90DC9" w:rsidRPr="00A96A10" w:rsidRDefault="001A0F2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Shënim: "T" qëndron për tremujor, "</w:t>
            </w:r>
            <w:r w:rsidR="00D47D8A" w:rsidRPr="00A96A10">
              <w:rPr>
                <w:rFonts w:ascii="Times New Roman" w:eastAsia="Times New Roman" w:hAnsi="Times New Roman" w:cs="Times New Roman"/>
                <w:noProof/>
                <w:color w:val="000000"/>
                <w:lang w:eastAsia="sq-AL"/>
              </w:rPr>
              <w:t>V</w:t>
            </w:r>
            <w:r w:rsidRPr="00A96A10">
              <w:rPr>
                <w:rFonts w:ascii="Times New Roman" w:eastAsia="Times New Roman" w:hAnsi="Times New Roman" w:cs="Times New Roman"/>
                <w:noProof/>
                <w:color w:val="000000"/>
                <w:lang w:eastAsia="sq-AL"/>
              </w:rPr>
              <w:t>" për vitin aktual dhe "</w:t>
            </w:r>
            <w:r w:rsidR="00D47D8A" w:rsidRPr="00A96A10">
              <w:rPr>
                <w:rFonts w:ascii="Times New Roman" w:eastAsia="Times New Roman" w:hAnsi="Times New Roman" w:cs="Times New Roman"/>
                <w:noProof/>
                <w:color w:val="000000"/>
                <w:lang w:eastAsia="sq-AL"/>
              </w:rPr>
              <w:t>V</w:t>
            </w:r>
            <w:r w:rsidRPr="00A96A10">
              <w:rPr>
                <w:rFonts w:ascii="Times New Roman" w:eastAsia="Times New Roman" w:hAnsi="Times New Roman" w:cs="Times New Roman"/>
                <w:noProof/>
                <w:color w:val="000000"/>
                <w:lang w:eastAsia="sq-AL"/>
              </w:rPr>
              <w:t>-1" për vitin paraardhës.</w:t>
            </w:r>
          </w:p>
        </w:tc>
      </w:tr>
      <w:tr w:rsidR="00F90DC9" w:rsidRPr="00A96A10" w14:paraId="1CD7B9DD" w14:textId="77777777" w:rsidTr="00F90DC9">
        <w:trPr>
          <w:trHeight w:val="567"/>
        </w:trPr>
        <w:tc>
          <w:tcPr>
            <w:tcW w:w="2457" w:type="dxa"/>
            <w:shd w:val="clear" w:color="auto" w:fill="FFFFCC"/>
            <w:noWrap/>
            <w:vAlign w:val="center"/>
            <w:hideMark/>
          </w:tcPr>
          <w:p w14:paraId="3E65467C"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lastRenderedPageBreak/>
              <w:t xml:space="preserve">17.2. Praktika e rishikimit  </w:t>
            </w:r>
          </w:p>
        </w:tc>
        <w:tc>
          <w:tcPr>
            <w:tcW w:w="7970" w:type="dxa"/>
            <w:vAlign w:val="center"/>
          </w:tcPr>
          <w:p w14:paraId="06F26DBD" w14:textId="77777777" w:rsidR="00D72EA8" w:rsidRPr="00A96A10" w:rsidRDefault="00D72EA8" w:rsidP="00506308">
            <w:pPr>
              <w:spacing w:after="60"/>
              <w:jc w:val="both"/>
              <w:rPr>
                <w:rFonts w:ascii="Times New Roman" w:eastAsia="Arial" w:hAnsi="Times New Roman" w:cs="Times New Roman"/>
              </w:rPr>
            </w:pPr>
            <w:r w:rsidRPr="00A96A10">
              <w:rPr>
                <w:rFonts w:ascii="Times New Roman" w:eastAsia="Arial" w:hAnsi="Times New Roman" w:cs="Times New Roman"/>
              </w:rPr>
              <w:t>Rishikimet kryhen si rezultat i informacioneve të reja dhe kryhen në momente fikse publikimi. Në rast ndryshimesh metodologjike, publikohet një dokument shoqërues i shkurtër.</w:t>
            </w:r>
          </w:p>
          <w:p w14:paraId="1D68B039" w14:textId="05FDA0D4" w:rsidR="00D72EA8" w:rsidRPr="00A96A10" w:rsidRDefault="00D72EA8" w:rsidP="00506308">
            <w:pPr>
              <w:spacing w:after="60"/>
              <w:jc w:val="both"/>
              <w:rPr>
                <w:rFonts w:ascii="Times New Roman" w:eastAsia="Arial" w:hAnsi="Times New Roman" w:cs="Times New Roman"/>
              </w:rPr>
            </w:pPr>
            <w:r w:rsidRPr="00A96A10">
              <w:rPr>
                <w:rFonts w:ascii="Times New Roman" w:eastAsia="Arial" w:hAnsi="Times New Roman" w:cs="Times New Roman"/>
              </w:rPr>
              <w:t xml:space="preserve">Rishikimet rutinë: burojnë nga mbërritja me vonesë e raportimeve ose nga korrigjimi i gabimeve, si dhe nga përfshirja e të dhënave të disponueshme vetëm në bazë gjashtëmujore ose vjetore. </w:t>
            </w:r>
            <w:r w:rsidRPr="00A96A10">
              <w:rPr>
                <w:rFonts w:ascii="Times New Roman" w:hAnsi="Times New Roman" w:cs="Times New Roman"/>
              </w:rPr>
              <w:t>Një herë në vit, rishikohen të dhënat e flukseve dhe stokut të IHD-ve për tre vitet e fundit.</w:t>
            </w:r>
          </w:p>
          <w:p w14:paraId="4E4DE1AE" w14:textId="4F5846C1" w:rsidR="00F90DC9" w:rsidRPr="00A96A10" w:rsidRDefault="00D72EA8" w:rsidP="00506308">
            <w:pPr>
              <w:spacing w:after="60"/>
              <w:jc w:val="both"/>
              <w:rPr>
                <w:rFonts w:ascii="Times New Roman" w:eastAsia="Times New Roman" w:hAnsi="Times New Roman" w:cs="Times New Roman"/>
                <w:noProof/>
                <w:color w:val="000000"/>
                <w:lang w:val="sq-AL" w:eastAsia="sq-AL"/>
              </w:rPr>
            </w:pPr>
            <w:r w:rsidRPr="00A96A10">
              <w:rPr>
                <w:rFonts w:ascii="Times New Roman" w:eastAsia="Arial" w:hAnsi="Times New Roman" w:cs="Times New Roman"/>
              </w:rPr>
              <w:t>Rishikimet madhore: lidhen me rishikimet e metodologjisë ndërkombëtare (MBP6), ndryshimet në përkufizime, metoda dhe klasifikime, si dhe me zgjerimin e burimeve të të dhënave.</w:t>
            </w:r>
          </w:p>
        </w:tc>
      </w:tr>
      <w:tr w:rsidR="00F90DC9" w:rsidRPr="00A96A10" w14:paraId="3870F103" w14:textId="77777777" w:rsidTr="00F2159C">
        <w:trPr>
          <w:trHeight w:val="567"/>
        </w:trPr>
        <w:tc>
          <w:tcPr>
            <w:tcW w:w="10427" w:type="dxa"/>
            <w:gridSpan w:val="2"/>
            <w:shd w:val="clear" w:color="auto" w:fill="C5E0B3" w:themeFill="accent6" w:themeFillTint="66"/>
            <w:vAlign w:val="center"/>
            <w:hideMark/>
          </w:tcPr>
          <w:p w14:paraId="1B020B1C" w14:textId="77777777" w:rsidR="00F90DC9" w:rsidRPr="00A96A10" w:rsidRDefault="00F90DC9" w:rsidP="00506308">
            <w:pPr>
              <w:pStyle w:val="Heading1"/>
              <w:spacing w:before="0"/>
              <w:jc w:val="both"/>
              <w:rPr>
                <w:rFonts w:ascii="Times New Roman" w:eastAsia="Times New Roman" w:hAnsi="Times New Roman" w:cs="Times New Roman"/>
                <w:noProof/>
                <w:color w:val="000000"/>
                <w:sz w:val="22"/>
                <w:szCs w:val="22"/>
                <w:lang w:val="sq-AL" w:eastAsia="sq-AL"/>
              </w:rPr>
            </w:pPr>
            <w:bookmarkStart w:id="17" w:name="_Toc228888983"/>
            <w:r w:rsidRPr="00A96A10">
              <w:rPr>
                <w:rFonts w:ascii="Times New Roman" w:eastAsia="Times New Roman" w:hAnsi="Times New Roman" w:cs="Times New Roman"/>
                <w:bCs w:val="0"/>
                <w:noProof/>
                <w:color w:val="000000"/>
                <w:sz w:val="22"/>
                <w:szCs w:val="22"/>
                <w:lang w:val="sq-AL" w:eastAsia="sq-AL"/>
              </w:rPr>
              <w:t>18.</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Përpunimi statistikor</w:t>
            </w:r>
            <w:bookmarkEnd w:id="17"/>
            <w:r w:rsidRPr="00A96A10">
              <w:rPr>
                <w:rFonts w:ascii="Times New Roman" w:eastAsia="Times New Roman" w:hAnsi="Times New Roman" w:cs="Times New Roman"/>
                <w:noProof/>
                <w:color w:val="000000"/>
                <w:sz w:val="22"/>
                <w:szCs w:val="22"/>
                <w:lang w:val="sq-AL" w:eastAsia="sq-AL"/>
              </w:rPr>
              <w:t> </w:t>
            </w:r>
          </w:p>
        </w:tc>
      </w:tr>
      <w:tr w:rsidR="00F90DC9" w:rsidRPr="00A96A10" w14:paraId="0005144E" w14:textId="77777777" w:rsidTr="00F90DC9">
        <w:trPr>
          <w:trHeight w:val="567"/>
        </w:trPr>
        <w:tc>
          <w:tcPr>
            <w:tcW w:w="2457" w:type="dxa"/>
            <w:shd w:val="clear" w:color="auto" w:fill="FFFFCC"/>
            <w:vAlign w:val="center"/>
            <w:hideMark/>
          </w:tcPr>
          <w:p w14:paraId="5FDAD0A3"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18.1. Burimi i të dhënave </w:t>
            </w:r>
          </w:p>
        </w:tc>
        <w:tc>
          <w:tcPr>
            <w:tcW w:w="7970" w:type="dxa"/>
            <w:vAlign w:val="center"/>
          </w:tcPr>
          <w:p w14:paraId="589DB860" w14:textId="18F293A6"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Raport</w:t>
            </w:r>
            <w:r w:rsidR="00DA6BA0" w:rsidRPr="00A96A10">
              <w:rPr>
                <w:rFonts w:ascii="Times New Roman" w:eastAsia="Times New Roman" w:hAnsi="Times New Roman" w:cs="Times New Roman"/>
                <w:noProof/>
                <w:color w:val="000000"/>
                <w:lang w:eastAsia="sq-AL"/>
              </w:rPr>
              <w:t>imet direkte</w:t>
            </w:r>
            <w:r w:rsidRPr="00A96A10">
              <w:rPr>
                <w:rFonts w:ascii="Times New Roman" w:eastAsia="Times New Roman" w:hAnsi="Times New Roman" w:cs="Times New Roman"/>
                <w:noProof/>
                <w:color w:val="000000"/>
                <w:lang w:eastAsia="sq-AL"/>
              </w:rPr>
              <w:t xml:space="preserve"> (IHD) janë kompani me </w:t>
            </w:r>
            <w:r w:rsidR="00DA6BA0" w:rsidRPr="00A96A10">
              <w:rPr>
                <w:rFonts w:ascii="Times New Roman" w:eastAsia="Times New Roman" w:hAnsi="Times New Roman" w:cs="Times New Roman"/>
                <w:noProof/>
                <w:color w:val="000000"/>
                <w:lang w:eastAsia="sq-AL"/>
              </w:rPr>
              <w:t>volum</w:t>
            </w:r>
            <w:r w:rsidRPr="00A96A10">
              <w:rPr>
                <w:rFonts w:ascii="Times New Roman" w:eastAsia="Times New Roman" w:hAnsi="Times New Roman" w:cs="Times New Roman"/>
                <w:noProof/>
                <w:color w:val="000000"/>
                <w:lang w:eastAsia="sq-AL"/>
              </w:rPr>
              <w:t xml:space="preserve"> të lartë transaksionesh ndërk</w:t>
            </w:r>
            <w:r w:rsidR="00DA6BA0" w:rsidRPr="00A96A10">
              <w:rPr>
                <w:rFonts w:ascii="Times New Roman" w:eastAsia="Times New Roman" w:hAnsi="Times New Roman" w:cs="Times New Roman"/>
                <w:noProof/>
                <w:color w:val="000000"/>
                <w:lang w:eastAsia="sq-AL"/>
              </w:rPr>
              <w:t>ombëtare</w:t>
            </w:r>
            <w:r w:rsidRPr="00A96A10">
              <w:rPr>
                <w:rFonts w:ascii="Times New Roman" w:eastAsia="Times New Roman" w:hAnsi="Times New Roman" w:cs="Times New Roman"/>
                <w:noProof/>
                <w:color w:val="000000"/>
                <w:lang w:eastAsia="sq-AL"/>
              </w:rPr>
              <w:t xml:space="preserve"> dhe </w:t>
            </w:r>
            <w:r w:rsidR="00DA6BA0" w:rsidRPr="00A96A10">
              <w:rPr>
                <w:rFonts w:ascii="Times New Roman" w:eastAsia="Times New Roman" w:hAnsi="Times New Roman" w:cs="Times New Roman"/>
                <w:noProof/>
                <w:color w:val="000000"/>
                <w:lang w:eastAsia="sq-AL"/>
              </w:rPr>
              <w:t>stok</w:t>
            </w:r>
            <w:r w:rsidRPr="00A96A10">
              <w:rPr>
                <w:rFonts w:ascii="Times New Roman" w:eastAsia="Times New Roman" w:hAnsi="Times New Roman" w:cs="Times New Roman"/>
                <w:noProof/>
                <w:color w:val="000000"/>
                <w:lang w:eastAsia="sq-AL"/>
              </w:rPr>
              <w:t xml:space="preserve"> të lartë në investimet d</w:t>
            </w:r>
            <w:r w:rsidR="005A399C" w:rsidRPr="00A96A10">
              <w:rPr>
                <w:rFonts w:ascii="Times New Roman" w:eastAsia="Times New Roman" w:hAnsi="Times New Roman" w:cs="Times New Roman"/>
                <w:noProof/>
                <w:color w:val="000000"/>
                <w:lang w:eastAsia="sq-AL"/>
              </w:rPr>
              <w:t>irekte.</w:t>
            </w:r>
            <w:r w:rsidRPr="00A96A10">
              <w:rPr>
                <w:rFonts w:ascii="Times New Roman" w:eastAsia="Times New Roman" w:hAnsi="Times New Roman" w:cs="Times New Roman"/>
                <w:noProof/>
                <w:color w:val="000000"/>
                <w:lang w:eastAsia="sq-AL"/>
              </w:rPr>
              <w:t xml:space="preserve"> </w:t>
            </w:r>
            <w:r w:rsidR="005A399C" w:rsidRPr="00A96A10">
              <w:rPr>
                <w:rFonts w:ascii="Times New Roman" w:eastAsia="Times New Roman" w:hAnsi="Times New Roman" w:cs="Times New Roman"/>
                <w:noProof/>
                <w:color w:val="000000"/>
                <w:lang w:eastAsia="sq-AL"/>
              </w:rPr>
              <w:t xml:space="preserve">Raportuesit </w:t>
            </w:r>
            <w:r w:rsidR="00DA6BA0" w:rsidRPr="00A96A10">
              <w:rPr>
                <w:rFonts w:ascii="Times New Roman" w:eastAsia="Times New Roman" w:hAnsi="Times New Roman" w:cs="Times New Roman"/>
                <w:noProof/>
                <w:color w:val="000000"/>
                <w:lang w:eastAsia="sq-AL"/>
              </w:rPr>
              <w:t>direktë</w:t>
            </w:r>
            <w:r w:rsidR="005A399C" w:rsidRPr="00A96A10">
              <w:rPr>
                <w:rFonts w:ascii="Times New Roman" w:eastAsia="Times New Roman" w:hAnsi="Times New Roman" w:cs="Times New Roman"/>
                <w:noProof/>
                <w:color w:val="000000"/>
                <w:lang w:eastAsia="sq-AL"/>
              </w:rPr>
              <w:t xml:space="preserve"> jan</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 xml:space="preserve"> korporata industriale dhe tregtare p</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r t</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 xml:space="preserve"> gjith</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 xml:space="preserve"> sektor</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t, t</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 xml:space="preserve"> angazhuara n</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 xml:space="preserve"> investime t</w:t>
            </w:r>
            <w:r w:rsidR="00F31B20" w:rsidRPr="00A96A10">
              <w:rPr>
                <w:rFonts w:ascii="Times New Roman" w:eastAsia="Times New Roman" w:hAnsi="Times New Roman" w:cs="Times New Roman"/>
                <w:noProof/>
                <w:color w:val="000000"/>
                <w:lang w:eastAsia="sq-AL"/>
              </w:rPr>
              <w:t>ë</w:t>
            </w:r>
            <w:r w:rsidR="005A399C" w:rsidRPr="00A96A10">
              <w:rPr>
                <w:rFonts w:ascii="Times New Roman" w:eastAsia="Times New Roman" w:hAnsi="Times New Roman" w:cs="Times New Roman"/>
                <w:noProof/>
                <w:color w:val="000000"/>
                <w:lang w:eastAsia="sq-AL"/>
              </w:rPr>
              <w:t xml:space="preserve"> </w:t>
            </w:r>
            <w:r w:rsidR="00DA6BA0" w:rsidRPr="00A96A10">
              <w:rPr>
                <w:rFonts w:ascii="Times New Roman" w:eastAsia="Times New Roman" w:hAnsi="Times New Roman" w:cs="Times New Roman"/>
                <w:noProof/>
                <w:color w:val="000000"/>
                <w:lang w:eastAsia="sq-AL"/>
              </w:rPr>
              <w:t>huaja direkte</w:t>
            </w:r>
            <w:r w:rsidR="005A399C" w:rsidRPr="00A96A10">
              <w:rPr>
                <w:rFonts w:ascii="Times New Roman" w:eastAsia="Times New Roman" w:hAnsi="Times New Roman" w:cs="Times New Roman"/>
                <w:noProof/>
                <w:color w:val="000000"/>
                <w:lang w:eastAsia="sq-AL"/>
              </w:rPr>
              <w:t xml:space="preserve">. </w:t>
            </w:r>
            <w:r w:rsidRPr="00A96A10">
              <w:rPr>
                <w:rFonts w:ascii="Times New Roman" w:eastAsia="Times New Roman" w:hAnsi="Times New Roman" w:cs="Times New Roman"/>
                <w:noProof/>
                <w:color w:val="000000"/>
                <w:lang w:eastAsia="sq-AL"/>
              </w:rPr>
              <w:t>Këto kompani raportojnë të dhëna tremujore në lidhje me transaksionet e tyre të huadhënies/huamarrjes me jorezidentët:</w:t>
            </w:r>
            <w:r w:rsidR="00DA6BA0" w:rsidRPr="00A96A10">
              <w:rPr>
                <w:rFonts w:ascii="Times New Roman" w:eastAsia="Times New Roman" w:hAnsi="Times New Roman" w:cs="Times New Roman"/>
                <w:noProof/>
                <w:color w:val="000000"/>
                <w:lang w:eastAsia="sq-AL"/>
              </w:rPr>
              <w:t xml:space="preserve"> </w:t>
            </w:r>
            <w:r w:rsidRPr="00A96A10">
              <w:rPr>
                <w:rFonts w:ascii="Times New Roman" w:eastAsia="Times New Roman" w:hAnsi="Times New Roman" w:cs="Times New Roman"/>
                <w:noProof/>
                <w:color w:val="000000"/>
                <w:lang w:eastAsia="sq-AL"/>
              </w:rPr>
              <w:t>(1)</w:t>
            </w:r>
            <w:r w:rsidR="00DA6BA0" w:rsidRPr="00A96A10">
              <w:rPr>
                <w:rFonts w:ascii="Times New Roman" w:eastAsia="Times New Roman" w:hAnsi="Times New Roman" w:cs="Times New Roman"/>
                <w:noProof/>
                <w:color w:val="000000"/>
                <w:lang w:eastAsia="sq-AL"/>
              </w:rPr>
              <w:t xml:space="preserve"> </w:t>
            </w:r>
            <w:r w:rsidR="00DA6BA0" w:rsidRPr="00A96A10">
              <w:rPr>
                <w:rFonts w:ascii="Times New Roman" w:eastAsia="Arial" w:hAnsi="Times New Roman" w:cs="Times New Roman"/>
              </w:rPr>
              <w:t>transaksionet me kompanitë jorezidente që janë të lidhura (ndërkompani) jorezidente</w:t>
            </w:r>
            <w:r w:rsidR="005A399C" w:rsidRPr="00A96A10">
              <w:rPr>
                <w:rFonts w:ascii="Times New Roman" w:eastAsia="Times New Roman" w:hAnsi="Times New Roman" w:cs="Times New Roman"/>
                <w:noProof/>
                <w:color w:val="000000"/>
                <w:lang w:eastAsia="sq-AL"/>
              </w:rPr>
              <w:t xml:space="preserve">; </w:t>
            </w:r>
            <w:r w:rsidRPr="00A96A10">
              <w:rPr>
                <w:rFonts w:ascii="Times New Roman" w:eastAsia="Times New Roman" w:hAnsi="Times New Roman" w:cs="Times New Roman"/>
                <w:noProof/>
                <w:color w:val="000000"/>
                <w:lang w:eastAsia="sq-AL"/>
              </w:rPr>
              <w:t xml:space="preserve">(2) </w:t>
            </w:r>
            <w:r w:rsidR="00DA6BA0" w:rsidRPr="00A96A10">
              <w:rPr>
                <w:rFonts w:ascii="Times New Roman" w:eastAsia="Times New Roman" w:hAnsi="Times New Roman" w:cs="Times New Roman"/>
                <w:noProof/>
                <w:color w:val="000000"/>
                <w:lang w:eastAsia="sq-AL"/>
              </w:rPr>
              <w:t>stokun</w:t>
            </w:r>
            <w:r w:rsidR="005A399C" w:rsidRPr="00A96A10">
              <w:rPr>
                <w:rFonts w:ascii="Times New Roman" w:eastAsia="Times New Roman" w:hAnsi="Times New Roman" w:cs="Times New Roman"/>
                <w:noProof/>
                <w:color w:val="000000"/>
                <w:lang w:eastAsia="sq-AL"/>
              </w:rPr>
              <w:t xml:space="preserve"> dhe </w:t>
            </w:r>
            <w:r w:rsidRPr="00A96A10">
              <w:rPr>
                <w:rFonts w:ascii="Times New Roman" w:eastAsia="Times New Roman" w:hAnsi="Times New Roman" w:cs="Times New Roman"/>
                <w:noProof/>
                <w:color w:val="000000"/>
                <w:lang w:eastAsia="sq-AL"/>
              </w:rPr>
              <w:t xml:space="preserve">(3) </w:t>
            </w:r>
            <w:r w:rsidR="005A399C" w:rsidRPr="00A96A10">
              <w:rPr>
                <w:rFonts w:ascii="Times New Roman" w:eastAsia="Times New Roman" w:hAnsi="Times New Roman" w:cs="Times New Roman"/>
                <w:noProof/>
                <w:color w:val="000000"/>
                <w:lang w:eastAsia="sq-AL"/>
              </w:rPr>
              <w:t>t</w:t>
            </w:r>
            <w:r w:rsidRPr="00A96A10">
              <w:rPr>
                <w:rFonts w:ascii="Times New Roman" w:eastAsia="Times New Roman" w:hAnsi="Times New Roman" w:cs="Times New Roman"/>
                <w:noProof/>
                <w:color w:val="000000"/>
                <w:lang w:eastAsia="sq-AL"/>
              </w:rPr>
              <w:t>ransaksione jo-cash</w:t>
            </w:r>
            <w:r w:rsidR="005A399C" w:rsidRPr="00A96A10">
              <w:rPr>
                <w:rFonts w:ascii="Times New Roman" w:eastAsia="Times New Roman" w:hAnsi="Times New Roman" w:cs="Times New Roman"/>
                <w:noProof/>
                <w:color w:val="000000"/>
                <w:lang w:eastAsia="sq-AL"/>
              </w:rPr>
              <w:t>.</w:t>
            </w:r>
          </w:p>
          <w:p w14:paraId="4F3D38A3" w14:textId="478A00DE"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Agjencia Kombëtare e Burimeve Natyrore (AKBN) raporton të dhëna mbi ndërmarrjet e </w:t>
            </w:r>
            <w:r w:rsidR="00DA6BA0" w:rsidRPr="00A96A10">
              <w:rPr>
                <w:rFonts w:ascii="Times New Roman" w:eastAsia="Times New Roman" w:hAnsi="Times New Roman" w:cs="Times New Roman"/>
                <w:noProof/>
                <w:color w:val="000000"/>
                <w:lang w:eastAsia="sq-AL"/>
              </w:rPr>
              <w:t>hidrokarbureve që janë</w:t>
            </w:r>
            <w:r w:rsidRPr="00A96A10">
              <w:rPr>
                <w:rFonts w:ascii="Times New Roman" w:eastAsia="Times New Roman" w:hAnsi="Times New Roman" w:cs="Times New Roman"/>
                <w:noProof/>
                <w:color w:val="000000"/>
                <w:lang w:eastAsia="sq-AL"/>
              </w:rPr>
              <w:t xml:space="preserve"> aktive në Shqipëri.</w:t>
            </w:r>
          </w:p>
          <w:p w14:paraId="7A292F16" w14:textId="39FF124D" w:rsidR="00100A5D" w:rsidRPr="00A96A10" w:rsidRDefault="005A399C"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lastRenderedPageBreak/>
              <w:t xml:space="preserve">Sistemi i raportimit të transaksioneve ndërkombëtare (ITRS) </w:t>
            </w:r>
            <w:r w:rsidR="00F31B20" w:rsidRPr="00A96A10">
              <w:rPr>
                <w:rFonts w:ascii="Times New Roman" w:eastAsia="Times New Roman" w:hAnsi="Times New Roman" w:cs="Times New Roman"/>
                <w:noProof/>
                <w:color w:val="000000"/>
                <w:lang w:eastAsia="sq-AL"/>
              </w:rPr>
              <w:t>ë</w:t>
            </w:r>
            <w:r w:rsidRPr="00A96A10">
              <w:rPr>
                <w:rFonts w:ascii="Times New Roman" w:eastAsia="Times New Roman" w:hAnsi="Times New Roman" w:cs="Times New Roman"/>
                <w:noProof/>
                <w:color w:val="000000"/>
                <w:lang w:eastAsia="sq-AL"/>
              </w:rPr>
              <w:t>sht</w:t>
            </w:r>
            <w:r w:rsidR="00F31B20" w:rsidRPr="00A96A10">
              <w:rPr>
                <w:rFonts w:ascii="Times New Roman" w:eastAsia="Times New Roman" w:hAnsi="Times New Roman" w:cs="Times New Roman"/>
                <w:noProof/>
                <w:color w:val="000000"/>
                <w:lang w:eastAsia="sq-AL"/>
              </w:rPr>
              <w:t>ë</w:t>
            </w:r>
            <w:r w:rsidRPr="00A96A10">
              <w:rPr>
                <w:rFonts w:ascii="Times New Roman" w:eastAsia="Times New Roman" w:hAnsi="Times New Roman" w:cs="Times New Roman"/>
                <w:noProof/>
                <w:color w:val="000000"/>
                <w:lang w:eastAsia="sq-AL"/>
              </w:rPr>
              <w:t xml:space="preserve"> </w:t>
            </w:r>
            <w:r w:rsidR="003C6D70" w:rsidRPr="00A96A10">
              <w:rPr>
                <w:rFonts w:ascii="Times New Roman" w:eastAsia="Times New Roman" w:hAnsi="Times New Roman" w:cs="Times New Roman"/>
                <w:noProof/>
                <w:color w:val="000000"/>
                <w:lang w:eastAsia="sq-AL"/>
              </w:rPr>
              <w:t xml:space="preserve">sistem gjithëpërfshirës në </w:t>
            </w:r>
            <w:r w:rsidRPr="00A96A10">
              <w:rPr>
                <w:rFonts w:ascii="Times New Roman" w:eastAsia="Times New Roman" w:hAnsi="Times New Roman" w:cs="Times New Roman"/>
                <w:noProof/>
                <w:color w:val="000000"/>
                <w:lang w:eastAsia="sq-AL"/>
              </w:rPr>
              <w:t>mbledhje</w:t>
            </w:r>
            <w:r w:rsidR="003C6D70" w:rsidRPr="00A96A10">
              <w:rPr>
                <w:rFonts w:ascii="Times New Roman" w:eastAsia="Times New Roman" w:hAnsi="Times New Roman" w:cs="Times New Roman"/>
                <w:noProof/>
                <w:color w:val="000000"/>
                <w:lang w:eastAsia="sq-AL"/>
              </w:rPr>
              <w:t>n</w:t>
            </w:r>
            <w:r w:rsidRPr="00A96A10">
              <w:rPr>
                <w:rFonts w:ascii="Times New Roman" w:eastAsia="Times New Roman" w:hAnsi="Times New Roman" w:cs="Times New Roman"/>
                <w:noProof/>
                <w:color w:val="000000"/>
                <w:lang w:eastAsia="sq-AL"/>
              </w:rPr>
              <w:t xml:space="preserve"> </w:t>
            </w:r>
            <w:r w:rsidR="003C6D70" w:rsidRPr="00A96A10">
              <w:rPr>
                <w:rFonts w:ascii="Times New Roman" w:eastAsia="Times New Roman" w:hAnsi="Times New Roman" w:cs="Times New Roman"/>
                <w:noProof/>
                <w:color w:val="000000"/>
                <w:lang w:eastAsia="sq-AL"/>
              </w:rPr>
              <w:t>e</w:t>
            </w:r>
            <w:r w:rsidRPr="00A96A10">
              <w:rPr>
                <w:rFonts w:ascii="Times New Roman" w:eastAsia="Times New Roman" w:hAnsi="Times New Roman" w:cs="Times New Roman"/>
                <w:noProof/>
                <w:color w:val="000000"/>
                <w:lang w:eastAsia="sq-AL"/>
              </w:rPr>
              <w:t xml:space="preserve"> t</w:t>
            </w:r>
            <w:r w:rsidR="00F31B20" w:rsidRPr="00A96A10">
              <w:rPr>
                <w:rFonts w:ascii="Times New Roman" w:eastAsia="Times New Roman" w:hAnsi="Times New Roman" w:cs="Times New Roman"/>
                <w:noProof/>
                <w:color w:val="000000"/>
                <w:lang w:eastAsia="sq-AL"/>
              </w:rPr>
              <w:t>ë</w:t>
            </w:r>
            <w:r w:rsidRPr="00A96A10">
              <w:rPr>
                <w:rFonts w:ascii="Times New Roman" w:eastAsia="Times New Roman" w:hAnsi="Times New Roman" w:cs="Times New Roman"/>
                <w:noProof/>
                <w:color w:val="000000"/>
                <w:lang w:eastAsia="sq-AL"/>
              </w:rPr>
              <w:t xml:space="preserve"> dh</w:t>
            </w:r>
            <w:r w:rsidR="00F31B20" w:rsidRPr="00A96A10">
              <w:rPr>
                <w:rFonts w:ascii="Times New Roman" w:eastAsia="Times New Roman" w:hAnsi="Times New Roman" w:cs="Times New Roman"/>
                <w:noProof/>
                <w:color w:val="000000"/>
                <w:lang w:eastAsia="sq-AL"/>
              </w:rPr>
              <w:t>ë</w:t>
            </w:r>
            <w:r w:rsidRPr="00A96A10">
              <w:rPr>
                <w:rFonts w:ascii="Times New Roman" w:eastAsia="Times New Roman" w:hAnsi="Times New Roman" w:cs="Times New Roman"/>
                <w:noProof/>
                <w:color w:val="000000"/>
                <w:lang w:eastAsia="sq-AL"/>
              </w:rPr>
              <w:t>nave</w:t>
            </w:r>
            <w:r w:rsidR="003C6D70" w:rsidRPr="00A96A10">
              <w:rPr>
                <w:rFonts w:ascii="Times New Roman" w:eastAsia="Times New Roman" w:hAnsi="Times New Roman" w:cs="Times New Roman"/>
                <w:noProof/>
                <w:color w:val="000000"/>
                <w:lang w:eastAsia="sq-AL"/>
              </w:rPr>
              <w:t>.</w:t>
            </w:r>
            <w:r w:rsidR="00257344" w:rsidRPr="00A96A10">
              <w:rPr>
                <w:rFonts w:ascii="Times New Roman" w:eastAsia="Times New Roman" w:hAnsi="Times New Roman" w:cs="Times New Roman"/>
                <w:noProof/>
                <w:color w:val="000000"/>
                <w:lang w:eastAsia="sq-AL"/>
              </w:rPr>
              <w:t xml:space="preserve"> </w:t>
            </w:r>
            <w:r w:rsidR="001A0F29" w:rsidRPr="00A96A10">
              <w:rPr>
                <w:rFonts w:ascii="Times New Roman" w:eastAsia="Times New Roman" w:hAnsi="Times New Roman" w:cs="Times New Roman"/>
                <w:noProof/>
                <w:color w:val="000000"/>
                <w:lang w:eastAsia="sq-AL"/>
              </w:rPr>
              <w:t xml:space="preserve">Sistemi i raportimit të transaksioneve ndërkombëtare (ITRS) </w:t>
            </w:r>
            <w:r w:rsidR="00257344" w:rsidRPr="00A96A10">
              <w:rPr>
                <w:rFonts w:ascii="Times New Roman" w:eastAsia="Times New Roman" w:hAnsi="Times New Roman" w:cs="Times New Roman"/>
                <w:noProof/>
                <w:color w:val="000000"/>
                <w:lang w:eastAsia="sq-AL"/>
              </w:rPr>
              <w:t>siguron</w:t>
            </w:r>
            <w:r w:rsidR="001A0F29" w:rsidRPr="00A96A10">
              <w:rPr>
                <w:rFonts w:ascii="Times New Roman" w:eastAsia="Times New Roman" w:hAnsi="Times New Roman" w:cs="Times New Roman"/>
                <w:noProof/>
                <w:color w:val="000000"/>
                <w:lang w:eastAsia="sq-AL"/>
              </w:rPr>
              <w:t xml:space="preserve"> çdo muaj:(1) </w:t>
            </w:r>
            <w:r w:rsidR="00100A5D" w:rsidRPr="00A96A10">
              <w:rPr>
                <w:rFonts w:ascii="Times New Roman" w:eastAsia="Times New Roman" w:hAnsi="Times New Roman" w:cs="Times New Roman"/>
                <w:noProof/>
                <w:color w:val="000000"/>
                <w:lang w:eastAsia="sq-AL"/>
              </w:rPr>
              <w:t>t</w:t>
            </w:r>
            <w:r w:rsidR="001A0F29" w:rsidRPr="00A96A10">
              <w:rPr>
                <w:rFonts w:ascii="Times New Roman" w:eastAsia="Times New Roman" w:hAnsi="Times New Roman" w:cs="Times New Roman"/>
                <w:noProof/>
                <w:color w:val="000000"/>
                <w:lang w:eastAsia="sq-AL"/>
              </w:rPr>
              <w:t>ransaksionet cash me jorezidentët nëpërmjet bankave vendase</w:t>
            </w:r>
            <w:r w:rsidR="00100A5D" w:rsidRPr="00A96A10">
              <w:rPr>
                <w:rFonts w:ascii="Times New Roman" w:eastAsia="Times New Roman" w:hAnsi="Times New Roman" w:cs="Times New Roman"/>
                <w:noProof/>
                <w:color w:val="000000"/>
                <w:lang w:eastAsia="sq-AL"/>
              </w:rPr>
              <w:t xml:space="preserve"> </w:t>
            </w:r>
            <w:r w:rsidR="001A0F29" w:rsidRPr="00A96A10">
              <w:rPr>
                <w:rFonts w:ascii="Times New Roman" w:eastAsia="Times New Roman" w:hAnsi="Times New Roman" w:cs="Times New Roman"/>
                <w:noProof/>
                <w:color w:val="000000"/>
                <w:lang w:eastAsia="sq-AL"/>
              </w:rPr>
              <w:t xml:space="preserve">(2) </w:t>
            </w:r>
            <w:r w:rsidR="00100A5D" w:rsidRPr="00A96A10">
              <w:rPr>
                <w:rFonts w:ascii="Times New Roman" w:eastAsia="Times New Roman" w:hAnsi="Times New Roman" w:cs="Times New Roman"/>
                <w:noProof/>
                <w:color w:val="000000"/>
                <w:lang w:eastAsia="sq-AL"/>
              </w:rPr>
              <w:t>t</w:t>
            </w:r>
            <w:r w:rsidR="001A0F29" w:rsidRPr="00A96A10">
              <w:rPr>
                <w:rFonts w:ascii="Times New Roman" w:eastAsia="Times New Roman" w:hAnsi="Times New Roman" w:cs="Times New Roman"/>
                <w:noProof/>
                <w:color w:val="000000"/>
                <w:lang w:eastAsia="sq-AL"/>
              </w:rPr>
              <w:t>ransaksionet cash nëpërmjet llogarive të ndërmarrjeve me bankat jashtë vendit</w:t>
            </w:r>
            <w:r w:rsidR="00257344" w:rsidRPr="00A96A10">
              <w:rPr>
                <w:rFonts w:ascii="Times New Roman" w:eastAsia="Times New Roman" w:hAnsi="Times New Roman" w:cs="Times New Roman"/>
                <w:noProof/>
                <w:color w:val="000000"/>
                <w:lang w:eastAsia="sq-AL"/>
              </w:rPr>
              <w:t xml:space="preserve"> dhe</w:t>
            </w:r>
            <w:r w:rsidR="00100A5D" w:rsidRPr="00A96A10">
              <w:rPr>
                <w:rFonts w:ascii="Times New Roman" w:eastAsia="Times New Roman" w:hAnsi="Times New Roman" w:cs="Times New Roman"/>
                <w:noProof/>
                <w:color w:val="000000"/>
                <w:lang w:eastAsia="sq-AL"/>
              </w:rPr>
              <w:t xml:space="preserve"> </w:t>
            </w:r>
            <w:r w:rsidR="001A0F29" w:rsidRPr="00A96A10">
              <w:rPr>
                <w:rFonts w:ascii="Times New Roman" w:eastAsia="Times New Roman" w:hAnsi="Times New Roman" w:cs="Times New Roman"/>
                <w:noProof/>
                <w:color w:val="000000"/>
                <w:lang w:eastAsia="sq-AL"/>
              </w:rPr>
              <w:t xml:space="preserve">(3) </w:t>
            </w:r>
            <w:r w:rsidR="00100A5D" w:rsidRPr="00A96A10">
              <w:rPr>
                <w:rFonts w:ascii="Times New Roman" w:eastAsia="Times New Roman" w:hAnsi="Times New Roman" w:cs="Times New Roman"/>
                <w:noProof/>
                <w:color w:val="000000"/>
                <w:lang w:eastAsia="sq-AL"/>
              </w:rPr>
              <w:t>t</w:t>
            </w:r>
            <w:r w:rsidR="001A0F29" w:rsidRPr="00A96A10">
              <w:rPr>
                <w:rFonts w:ascii="Times New Roman" w:eastAsia="Times New Roman" w:hAnsi="Times New Roman" w:cs="Times New Roman"/>
                <w:noProof/>
                <w:color w:val="000000"/>
                <w:lang w:eastAsia="sq-AL"/>
              </w:rPr>
              <w:t>ransaksionet në llogaritë ndër-kompani me kompani jorezidente</w:t>
            </w:r>
            <w:r w:rsidR="00100A5D" w:rsidRPr="00A96A10">
              <w:rPr>
                <w:rFonts w:ascii="Times New Roman" w:eastAsia="Times New Roman" w:hAnsi="Times New Roman" w:cs="Times New Roman"/>
                <w:noProof/>
                <w:color w:val="000000"/>
                <w:lang w:eastAsia="sq-AL"/>
              </w:rPr>
              <w:t xml:space="preserve">. </w:t>
            </w:r>
          </w:p>
          <w:p w14:paraId="40784F63" w14:textId="77777777" w:rsidR="006E1B04"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Për vlerësimin e fitimeve të riinvestuara përdoren të dhënat mujore nga Drejtoria e Përgjithshme e Tatimeve. </w:t>
            </w:r>
          </w:p>
          <w:p w14:paraId="61C9ECC5" w14:textId="77777777" w:rsidR="00257344" w:rsidRPr="00A96A10" w:rsidRDefault="00257344" w:rsidP="00506308">
            <w:pPr>
              <w:spacing w:after="60"/>
              <w:jc w:val="both"/>
              <w:rPr>
                <w:rFonts w:ascii="Times New Roman" w:hAnsi="Times New Roman" w:cs="Times New Roman"/>
              </w:rPr>
            </w:pPr>
            <w:r w:rsidRPr="00A96A10">
              <w:rPr>
                <w:rFonts w:ascii="Times New Roman" w:eastAsia="Arial" w:hAnsi="Times New Roman" w:cs="Times New Roman"/>
              </w:rPr>
              <w:t>Sistemi i Unifikuar i Raportimit Financiar për të dhënat e mbledhura nga sistemi bankar është përcaktuar nga Departamenti i Statistikave Financiare për qëllime statistikore dhe Departamenti i Mbikëqyrjes Bankare për qëllime të mbikqyrjes bankare.</w:t>
            </w:r>
          </w:p>
          <w:p w14:paraId="07EEC18C" w14:textId="7420130C"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BSH mbledh të dhënat mujore nga bankat dhe degët e bankave të huaja dhe çdo tremujor nga institucionet financiare jo-bankare</w:t>
            </w:r>
            <w:r w:rsidR="00257344" w:rsidRPr="00A96A10">
              <w:rPr>
                <w:rFonts w:ascii="Times New Roman" w:eastAsia="Arial" w:hAnsi="Times New Roman" w:cs="Times New Roman"/>
              </w:rPr>
              <w:t xml:space="preserve"> për të regjistruar mjetet dhe detyrimet e tyre me jorezidentët. Të dhënat përdoren gjithashtu për të vlerësuar dhe kontrolluar portofolin e letrave me vlerë që zotërojnë bankat, bashkë me investimin e huaj direkt që kanë</w:t>
            </w:r>
            <w:r w:rsidR="00277CD2" w:rsidRPr="00A96A10">
              <w:rPr>
                <w:rFonts w:ascii="Times New Roman" w:eastAsia="Times New Roman" w:hAnsi="Times New Roman" w:cs="Times New Roman"/>
                <w:noProof/>
                <w:color w:val="000000"/>
                <w:lang w:eastAsia="sq-AL"/>
              </w:rPr>
              <w:t>.</w:t>
            </w:r>
            <w:r w:rsidRPr="00A96A10">
              <w:rPr>
                <w:rFonts w:ascii="Times New Roman" w:eastAsia="Times New Roman" w:hAnsi="Times New Roman" w:cs="Times New Roman"/>
                <w:noProof/>
                <w:color w:val="000000"/>
                <w:lang w:eastAsia="sq-AL"/>
              </w:rPr>
              <w:t xml:space="preserve"> Çdo tremujor, BSH përdor gjithashtu të dhëna bilaterale (të dhëna pasqyrë) me vendet fqinjë mbi investimet e drejtpërdrejta.</w:t>
            </w:r>
            <w:r w:rsidR="00A774E0" w:rsidRPr="00A96A10">
              <w:rPr>
                <w:rFonts w:ascii="Times New Roman" w:eastAsia="Times New Roman" w:hAnsi="Times New Roman" w:cs="Times New Roman"/>
                <w:noProof/>
                <w:color w:val="000000"/>
                <w:lang w:eastAsia="sq-AL"/>
              </w:rPr>
              <w:t xml:space="preserve"> </w:t>
            </w:r>
            <w:r w:rsidR="00257344" w:rsidRPr="00A96A10">
              <w:rPr>
                <w:rFonts w:ascii="Times New Roman" w:eastAsia="Arial" w:hAnsi="Times New Roman" w:cs="Times New Roman"/>
              </w:rPr>
              <w:t>Çdo tremujor, BSH përdor gjithashtu të dhëna bilaterale (të dhëna pasqyrë) me vendet fqinjë mbi investimet e huaja direkte. Këto të dhëna përdoren për të përcaktuar stokun e investimeve direkte të huaja.</w:t>
            </w:r>
          </w:p>
          <w:p w14:paraId="6882E12B" w14:textId="44C72696" w:rsidR="00F90DC9" w:rsidRPr="00A96A10" w:rsidRDefault="001A0F2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Qendra Kombëtare e </w:t>
            </w:r>
            <w:r w:rsidR="00257344" w:rsidRPr="00A96A10">
              <w:rPr>
                <w:rFonts w:ascii="Times New Roman" w:eastAsia="Times New Roman" w:hAnsi="Times New Roman" w:cs="Times New Roman"/>
                <w:noProof/>
                <w:color w:val="000000"/>
                <w:lang w:eastAsia="sq-AL"/>
              </w:rPr>
              <w:t>Biznesit</w:t>
            </w:r>
            <w:r w:rsidRPr="00A96A10">
              <w:rPr>
                <w:rFonts w:ascii="Times New Roman" w:eastAsia="Times New Roman" w:hAnsi="Times New Roman" w:cs="Times New Roman"/>
                <w:noProof/>
                <w:color w:val="000000"/>
                <w:lang w:eastAsia="sq-AL"/>
              </w:rPr>
              <w:t xml:space="preserve"> administron bazën e të dhënave të kompanive dhe përmban informacion mbi të gjitha subjektet</w:t>
            </w:r>
            <w:r w:rsidR="00257344" w:rsidRPr="00A96A10">
              <w:rPr>
                <w:rFonts w:ascii="Times New Roman" w:eastAsia="Times New Roman" w:hAnsi="Times New Roman" w:cs="Times New Roman"/>
                <w:noProof/>
                <w:color w:val="000000"/>
                <w:lang w:eastAsia="sq-AL"/>
              </w:rPr>
              <w:t xml:space="preserve"> (</w:t>
            </w:r>
            <w:r w:rsidRPr="00A96A10">
              <w:rPr>
                <w:rFonts w:ascii="Times New Roman" w:eastAsia="Times New Roman" w:hAnsi="Times New Roman" w:cs="Times New Roman"/>
                <w:noProof/>
                <w:color w:val="000000"/>
                <w:lang w:eastAsia="sq-AL"/>
              </w:rPr>
              <w:t>20,000 bilance vjetore</w:t>
            </w:r>
            <w:r w:rsidR="00257344" w:rsidRPr="00A96A10">
              <w:rPr>
                <w:rFonts w:ascii="Times New Roman" w:eastAsia="Times New Roman" w:hAnsi="Times New Roman" w:cs="Times New Roman"/>
                <w:noProof/>
                <w:color w:val="000000"/>
                <w:lang w:eastAsia="sq-AL"/>
              </w:rPr>
              <w:t>)</w:t>
            </w:r>
            <w:r w:rsidRPr="00A96A10">
              <w:rPr>
                <w:rFonts w:ascii="Times New Roman" w:eastAsia="Times New Roman" w:hAnsi="Times New Roman" w:cs="Times New Roman"/>
                <w:noProof/>
                <w:color w:val="000000"/>
                <w:lang w:eastAsia="sq-AL"/>
              </w:rPr>
              <w:t>.</w:t>
            </w:r>
            <w:r w:rsidR="00A774E0" w:rsidRPr="00A96A10">
              <w:rPr>
                <w:rFonts w:ascii="Times New Roman" w:eastAsia="Times New Roman" w:hAnsi="Times New Roman" w:cs="Times New Roman"/>
                <w:noProof/>
                <w:color w:val="000000"/>
                <w:lang w:eastAsia="sq-AL"/>
              </w:rPr>
              <w:t xml:space="preserve"> Ky burim t</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 xml:space="preserve"> dh</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nash p</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rdoret p</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r t</w:t>
            </w:r>
            <w:r w:rsidR="00F31B20" w:rsidRPr="00A96A10">
              <w:rPr>
                <w:rFonts w:ascii="Times New Roman" w:eastAsia="Times New Roman" w:hAnsi="Times New Roman" w:cs="Times New Roman"/>
                <w:noProof/>
                <w:color w:val="000000"/>
                <w:lang w:eastAsia="sq-AL"/>
              </w:rPr>
              <w:t>ë</w:t>
            </w:r>
            <w:r w:rsidR="00257344" w:rsidRPr="00A96A10">
              <w:rPr>
                <w:rFonts w:ascii="Times New Roman" w:eastAsia="Times New Roman" w:hAnsi="Times New Roman" w:cs="Times New Roman"/>
                <w:noProof/>
                <w:color w:val="000000"/>
                <w:lang w:eastAsia="sq-AL"/>
              </w:rPr>
              <w:t xml:space="preserve"> hartuar</w:t>
            </w:r>
            <w:r w:rsidR="00A774E0" w:rsidRPr="00A96A10">
              <w:rPr>
                <w:rFonts w:ascii="Times New Roman" w:eastAsia="Times New Roman" w:hAnsi="Times New Roman" w:cs="Times New Roman"/>
                <w:noProof/>
                <w:color w:val="000000"/>
                <w:lang w:eastAsia="sq-AL"/>
              </w:rPr>
              <w:t xml:space="preserve"> t</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 xml:space="preserve"> dh</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na mbi t</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 xml:space="preserve"> ardhurat dhe </w:t>
            </w:r>
            <w:r w:rsidR="00257344" w:rsidRPr="00A96A10">
              <w:rPr>
                <w:rFonts w:ascii="Times New Roman" w:eastAsia="Times New Roman" w:hAnsi="Times New Roman" w:cs="Times New Roman"/>
                <w:noProof/>
                <w:color w:val="000000"/>
                <w:lang w:eastAsia="sq-AL"/>
              </w:rPr>
              <w:t>stokun</w:t>
            </w:r>
            <w:r w:rsidR="00A774E0" w:rsidRPr="00A96A10">
              <w:rPr>
                <w:rFonts w:ascii="Times New Roman" w:eastAsia="Times New Roman" w:hAnsi="Times New Roman" w:cs="Times New Roman"/>
                <w:noProof/>
                <w:color w:val="000000"/>
                <w:lang w:eastAsia="sq-AL"/>
              </w:rPr>
              <w:t xml:space="preserve"> </w:t>
            </w:r>
            <w:r w:rsidR="00257344" w:rsidRPr="00A96A10">
              <w:rPr>
                <w:rFonts w:ascii="Times New Roman" w:eastAsia="Times New Roman" w:hAnsi="Times New Roman" w:cs="Times New Roman"/>
                <w:noProof/>
                <w:color w:val="000000"/>
                <w:lang w:eastAsia="sq-AL"/>
              </w:rPr>
              <w:t>e</w:t>
            </w:r>
            <w:r w:rsidR="00A774E0" w:rsidRPr="00A96A10">
              <w:rPr>
                <w:rFonts w:ascii="Times New Roman" w:eastAsia="Times New Roman" w:hAnsi="Times New Roman" w:cs="Times New Roman"/>
                <w:noProof/>
                <w:color w:val="000000"/>
                <w:lang w:eastAsia="sq-AL"/>
              </w:rPr>
              <w:t xml:space="preserve"> investime</w:t>
            </w:r>
            <w:r w:rsidR="00257344" w:rsidRPr="00A96A10">
              <w:rPr>
                <w:rFonts w:ascii="Times New Roman" w:eastAsia="Times New Roman" w:hAnsi="Times New Roman" w:cs="Times New Roman"/>
                <w:noProof/>
                <w:color w:val="000000"/>
                <w:lang w:eastAsia="sq-AL"/>
              </w:rPr>
              <w:t>ve të huaja</w:t>
            </w:r>
            <w:r w:rsidR="00A774E0" w:rsidRPr="00A96A10">
              <w:rPr>
                <w:rFonts w:ascii="Times New Roman" w:eastAsia="Times New Roman" w:hAnsi="Times New Roman" w:cs="Times New Roman"/>
                <w:noProof/>
                <w:color w:val="000000"/>
                <w:lang w:eastAsia="sq-AL"/>
              </w:rPr>
              <w:t xml:space="preserve"> direkte </w:t>
            </w:r>
            <w:r w:rsidR="00257344" w:rsidRPr="00A96A10">
              <w:rPr>
                <w:rFonts w:ascii="Times New Roman" w:eastAsia="Times New Roman" w:hAnsi="Times New Roman" w:cs="Times New Roman"/>
                <w:noProof/>
                <w:color w:val="000000"/>
                <w:lang w:eastAsia="sq-AL"/>
              </w:rPr>
              <w:t>në vend</w:t>
            </w:r>
            <w:r w:rsidR="00A774E0" w:rsidRPr="00A96A10">
              <w:rPr>
                <w:rFonts w:ascii="Times New Roman" w:eastAsia="Times New Roman" w:hAnsi="Times New Roman" w:cs="Times New Roman"/>
                <w:noProof/>
                <w:color w:val="000000"/>
                <w:lang w:eastAsia="sq-AL"/>
              </w:rPr>
              <w:t xml:space="preserve"> dhe </w:t>
            </w:r>
            <w:r w:rsidR="00257344" w:rsidRPr="00A96A10">
              <w:rPr>
                <w:rFonts w:ascii="Times New Roman" w:eastAsia="Times New Roman" w:hAnsi="Times New Roman" w:cs="Times New Roman"/>
                <w:noProof/>
                <w:color w:val="000000"/>
                <w:lang w:eastAsia="sq-AL"/>
              </w:rPr>
              <w:t>konsolidon</w:t>
            </w:r>
            <w:r w:rsidR="00A774E0" w:rsidRPr="00A96A10">
              <w:rPr>
                <w:rFonts w:ascii="Times New Roman" w:eastAsia="Times New Roman" w:hAnsi="Times New Roman" w:cs="Times New Roman"/>
                <w:noProof/>
                <w:color w:val="000000"/>
                <w:lang w:eastAsia="sq-AL"/>
              </w:rPr>
              <w:t xml:space="preserve"> t</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 xml:space="preserve"> dh</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nat vjetore dhe tremujore nj</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 xml:space="preserve"> her</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 xml:space="preserve"> n</w:t>
            </w:r>
            <w:r w:rsidR="00F31B20" w:rsidRPr="00A96A10">
              <w:rPr>
                <w:rFonts w:ascii="Times New Roman" w:eastAsia="Times New Roman" w:hAnsi="Times New Roman" w:cs="Times New Roman"/>
                <w:noProof/>
                <w:color w:val="000000"/>
                <w:lang w:eastAsia="sq-AL"/>
              </w:rPr>
              <w:t>ë</w:t>
            </w:r>
            <w:r w:rsidR="00A774E0" w:rsidRPr="00A96A10">
              <w:rPr>
                <w:rFonts w:ascii="Times New Roman" w:eastAsia="Times New Roman" w:hAnsi="Times New Roman" w:cs="Times New Roman"/>
                <w:noProof/>
                <w:color w:val="000000"/>
                <w:lang w:eastAsia="sq-AL"/>
              </w:rPr>
              <w:t xml:space="preserve"> vit,</w:t>
            </w:r>
            <w:r w:rsidR="00257344" w:rsidRPr="00A96A10">
              <w:rPr>
                <w:rFonts w:ascii="Times New Roman" w:eastAsia="Times New Roman" w:hAnsi="Times New Roman" w:cs="Times New Roman"/>
                <w:noProof/>
                <w:color w:val="000000"/>
                <w:lang w:eastAsia="sq-AL"/>
              </w:rPr>
              <w:t xml:space="preserve"> </w:t>
            </w:r>
            <w:r w:rsidR="00A774E0" w:rsidRPr="00A96A10">
              <w:rPr>
                <w:rFonts w:ascii="Times New Roman" w:eastAsia="Times New Roman" w:hAnsi="Times New Roman" w:cs="Times New Roman"/>
                <w:noProof/>
                <w:color w:val="000000"/>
                <w:lang w:eastAsia="sq-AL"/>
              </w:rPr>
              <w:t>n</w:t>
            </w:r>
            <w:r w:rsidR="00F31B20" w:rsidRPr="00A96A10">
              <w:rPr>
                <w:rFonts w:ascii="Times New Roman" w:eastAsia="Times New Roman" w:hAnsi="Times New Roman" w:cs="Times New Roman"/>
                <w:noProof/>
                <w:color w:val="000000"/>
                <w:lang w:eastAsia="sq-AL"/>
              </w:rPr>
              <w:t>ë</w:t>
            </w:r>
            <w:r w:rsidR="00257344" w:rsidRPr="00A96A10">
              <w:rPr>
                <w:rFonts w:ascii="Times New Roman" w:eastAsia="Times New Roman" w:hAnsi="Times New Roman" w:cs="Times New Roman"/>
                <w:noProof/>
                <w:color w:val="000000"/>
                <w:lang w:eastAsia="sq-AL"/>
              </w:rPr>
              <w:t xml:space="preserve"> muajin</w:t>
            </w:r>
            <w:r w:rsidR="00A774E0" w:rsidRPr="00A96A10">
              <w:rPr>
                <w:rFonts w:ascii="Times New Roman" w:eastAsia="Times New Roman" w:hAnsi="Times New Roman" w:cs="Times New Roman"/>
                <w:noProof/>
                <w:color w:val="000000"/>
                <w:lang w:eastAsia="sq-AL"/>
              </w:rPr>
              <w:t xml:space="preserve"> shtator.</w:t>
            </w:r>
          </w:p>
        </w:tc>
      </w:tr>
      <w:tr w:rsidR="00F90DC9" w:rsidRPr="00A96A10" w14:paraId="4F3E23CE" w14:textId="77777777" w:rsidTr="00F90DC9">
        <w:trPr>
          <w:trHeight w:val="567"/>
        </w:trPr>
        <w:tc>
          <w:tcPr>
            <w:tcW w:w="2457" w:type="dxa"/>
            <w:shd w:val="clear" w:color="auto" w:fill="FFFFCC"/>
            <w:vAlign w:val="center"/>
            <w:hideMark/>
          </w:tcPr>
          <w:p w14:paraId="5DE8941B"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lastRenderedPageBreak/>
              <w:t>18.2. Shpeshtësia e grumbullimit të të dhënave</w:t>
            </w:r>
          </w:p>
        </w:tc>
        <w:tc>
          <w:tcPr>
            <w:tcW w:w="7970" w:type="dxa"/>
            <w:noWrap/>
            <w:vAlign w:val="center"/>
            <w:hideMark/>
          </w:tcPr>
          <w:p w14:paraId="3E86AA40" w14:textId="56CAC767" w:rsidR="00F90DC9" w:rsidRPr="00A96A10" w:rsidRDefault="001A0F29" w:rsidP="00506308">
            <w:pPr>
              <w:spacing w:after="0" w:line="240" w:lineRule="auto"/>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Vjetore, tremujore dhe mujore.</w:t>
            </w:r>
          </w:p>
        </w:tc>
      </w:tr>
      <w:tr w:rsidR="00F90DC9" w:rsidRPr="00A96A10" w14:paraId="097349B0" w14:textId="77777777" w:rsidTr="00F90DC9">
        <w:trPr>
          <w:trHeight w:val="567"/>
        </w:trPr>
        <w:tc>
          <w:tcPr>
            <w:tcW w:w="2457" w:type="dxa"/>
            <w:shd w:val="clear" w:color="auto" w:fill="FFFFCC"/>
            <w:vAlign w:val="center"/>
            <w:hideMark/>
          </w:tcPr>
          <w:p w14:paraId="1DF0656A"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18.3. Grumbullimi i të dhënave</w:t>
            </w:r>
          </w:p>
        </w:tc>
        <w:tc>
          <w:tcPr>
            <w:tcW w:w="7970" w:type="dxa"/>
            <w:vAlign w:val="center"/>
          </w:tcPr>
          <w:p w14:paraId="7BC9BC87" w14:textId="77777777" w:rsidR="00C71583" w:rsidRPr="00A96A10" w:rsidRDefault="00C71583" w:rsidP="00506308">
            <w:pPr>
              <w:spacing w:after="60"/>
              <w:jc w:val="both"/>
              <w:rPr>
                <w:rFonts w:ascii="Times New Roman" w:hAnsi="Times New Roman" w:cs="Times New Roman"/>
              </w:rPr>
            </w:pPr>
            <w:r w:rsidRPr="00A96A10">
              <w:rPr>
                <w:rFonts w:ascii="Times New Roman" w:eastAsia="Arial" w:hAnsi="Times New Roman" w:cs="Times New Roman"/>
              </w:rPr>
              <w:t>Sistemi i Unifikuar i Raportimit Financiar për të dhënat e mbledhura nga sistemi bankar është përcaktuar nga Departamenti i Statistikave Financiare për qëllime statistikore dhe Departamenti i Mbikëqyrjes Bankare për qëllime të mbikqyrjes bankare.</w:t>
            </w:r>
          </w:p>
          <w:p w14:paraId="5D00683D" w14:textId="39D22A70" w:rsidR="001A0F29" w:rsidRPr="00A96A10" w:rsidRDefault="00C71583"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BSH mbledh të dhënat mujore nga bankat dhe degët e bankave të huaja dhe çdo tremujor nga institucionet financiare jo-bankare</w:t>
            </w:r>
            <w:r w:rsidRPr="00A96A10">
              <w:rPr>
                <w:rFonts w:ascii="Times New Roman" w:eastAsia="Arial" w:hAnsi="Times New Roman" w:cs="Times New Roman"/>
              </w:rPr>
              <w:t xml:space="preserve"> për të regjistruar mjetet dhe detyrimet e tyre me jorezidentët. Të dhënat përdoren gjithashtu për të vlerësuar dhe kontrolluar portofolin e letrave me vlerë që zotërojnë bankat, bashkë me investimin e huaj direkt që kanë</w:t>
            </w:r>
            <w:r w:rsidRPr="00A96A10">
              <w:rPr>
                <w:rFonts w:ascii="Times New Roman" w:eastAsia="Times New Roman" w:hAnsi="Times New Roman" w:cs="Times New Roman"/>
                <w:noProof/>
                <w:color w:val="000000"/>
                <w:lang w:eastAsia="sq-AL"/>
              </w:rPr>
              <w:t>.</w:t>
            </w:r>
          </w:p>
          <w:p w14:paraId="5910B85F" w14:textId="023A0BD0" w:rsidR="00C71583" w:rsidRPr="00A96A10" w:rsidRDefault="00C71583" w:rsidP="00506308">
            <w:pPr>
              <w:spacing w:after="6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Fluksi </w:t>
            </w:r>
            <w:r w:rsidR="001A0F29" w:rsidRPr="00A96A10">
              <w:rPr>
                <w:rFonts w:ascii="Times New Roman" w:eastAsia="Times New Roman" w:hAnsi="Times New Roman" w:cs="Times New Roman"/>
                <w:noProof/>
                <w:color w:val="000000"/>
                <w:lang w:eastAsia="sq-AL"/>
              </w:rPr>
              <w:t>dhe</w:t>
            </w:r>
            <w:r w:rsidRPr="00A96A10">
              <w:rPr>
                <w:rFonts w:ascii="Times New Roman" w:eastAsia="Times New Roman" w:hAnsi="Times New Roman" w:cs="Times New Roman"/>
                <w:noProof/>
                <w:color w:val="000000"/>
                <w:lang w:eastAsia="sq-AL"/>
              </w:rPr>
              <w:t xml:space="preserve"> stoku</w:t>
            </w:r>
            <w:r w:rsidR="001A0F29" w:rsidRPr="00A96A10">
              <w:rPr>
                <w:rFonts w:ascii="Times New Roman" w:eastAsia="Times New Roman" w:hAnsi="Times New Roman" w:cs="Times New Roman"/>
                <w:noProof/>
                <w:color w:val="000000"/>
                <w:lang w:eastAsia="sq-AL"/>
              </w:rPr>
              <w:t xml:space="preserve"> </w:t>
            </w:r>
            <w:r w:rsidRPr="00A96A10">
              <w:rPr>
                <w:rFonts w:ascii="Times New Roman" w:eastAsia="Times New Roman" w:hAnsi="Times New Roman" w:cs="Times New Roman"/>
                <w:noProof/>
                <w:color w:val="000000"/>
                <w:lang w:eastAsia="sq-AL"/>
              </w:rPr>
              <w:t>i</w:t>
            </w:r>
            <w:r w:rsidR="001A0F29" w:rsidRPr="00A96A10">
              <w:rPr>
                <w:rFonts w:ascii="Times New Roman" w:eastAsia="Times New Roman" w:hAnsi="Times New Roman" w:cs="Times New Roman"/>
                <w:noProof/>
                <w:color w:val="000000"/>
                <w:lang w:eastAsia="sq-AL"/>
              </w:rPr>
              <w:t xml:space="preserve"> kapitalit të investimeve të </w:t>
            </w:r>
            <w:r w:rsidRPr="00A96A10">
              <w:rPr>
                <w:rFonts w:ascii="Times New Roman" w:eastAsia="Times New Roman" w:hAnsi="Times New Roman" w:cs="Times New Roman"/>
                <w:noProof/>
                <w:color w:val="000000"/>
                <w:lang w:eastAsia="sq-AL"/>
              </w:rPr>
              <w:t>huaja direkte jashtë</w:t>
            </w:r>
            <w:r w:rsidR="001A0F29" w:rsidRPr="00A96A10">
              <w:rPr>
                <w:rFonts w:ascii="Times New Roman" w:eastAsia="Times New Roman" w:hAnsi="Times New Roman" w:cs="Times New Roman"/>
                <w:noProof/>
                <w:color w:val="000000"/>
                <w:lang w:eastAsia="sq-AL"/>
              </w:rPr>
              <w:t xml:space="preserve"> </w:t>
            </w:r>
            <w:r w:rsidRPr="00A96A10">
              <w:rPr>
                <w:rFonts w:ascii="Times New Roman" w:eastAsia="Arial" w:hAnsi="Times New Roman" w:cs="Times New Roman"/>
              </w:rPr>
              <w:t>hartohet pjesërisht nga raportimi dire</w:t>
            </w:r>
            <w:r w:rsidR="00694F17" w:rsidRPr="00A96A10">
              <w:rPr>
                <w:rFonts w:ascii="Times New Roman" w:eastAsia="Arial" w:hAnsi="Times New Roman" w:cs="Times New Roman"/>
              </w:rPr>
              <w:t>k</w:t>
            </w:r>
            <w:r w:rsidRPr="00A96A10">
              <w:rPr>
                <w:rFonts w:ascii="Times New Roman" w:eastAsia="Arial" w:hAnsi="Times New Roman" w:cs="Times New Roman"/>
              </w:rPr>
              <w:t>t (ITRS) dhe pjesërisht nga burime pasqyrë si Banka e Kosovës.</w:t>
            </w:r>
          </w:p>
          <w:p w14:paraId="69CE4480" w14:textId="1908C35B" w:rsidR="00C71583" w:rsidRPr="00A96A10" w:rsidRDefault="00C71583" w:rsidP="00506308">
            <w:pPr>
              <w:spacing w:after="60"/>
              <w:jc w:val="both"/>
              <w:rPr>
                <w:rFonts w:ascii="Times New Roman" w:hAnsi="Times New Roman" w:cs="Times New Roman"/>
              </w:rPr>
            </w:pPr>
            <w:r w:rsidRPr="00A96A10">
              <w:rPr>
                <w:rFonts w:ascii="Times New Roman" w:eastAsia="Arial" w:hAnsi="Times New Roman" w:cs="Times New Roman"/>
              </w:rPr>
              <w:t>Stoku i kapitalit të investimeve të huaja direkte në vend bazohen kryesisht në identifikimin e aksioneve të jorezidentëve mbi 10% të kapitalit të çdo ndërmarrjeje rezidente. Regjistri, gjithëpërfshirës dhe i përditësuar i kompanive DI është i disponueshëm me q</w:t>
            </w:r>
            <w:r w:rsidR="00694F17" w:rsidRPr="00A96A10">
              <w:rPr>
                <w:rFonts w:ascii="Times New Roman" w:eastAsia="Arial" w:hAnsi="Times New Roman" w:cs="Times New Roman"/>
              </w:rPr>
              <w:t>ë</w:t>
            </w:r>
            <w:r w:rsidRPr="00A96A10">
              <w:rPr>
                <w:rFonts w:ascii="Times New Roman" w:eastAsia="Arial" w:hAnsi="Times New Roman" w:cs="Times New Roman"/>
              </w:rPr>
              <w:t>llim identifikimin e kompanive m</w:t>
            </w:r>
            <w:r w:rsidR="00694F17" w:rsidRPr="00A96A10">
              <w:rPr>
                <w:rFonts w:ascii="Times New Roman" w:eastAsia="Arial" w:hAnsi="Times New Roman" w:cs="Times New Roman"/>
              </w:rPr>
              <w:t>ë</w:t>
            </w:r>
            <w:r w:rsidRPr="00A96A10">
              <w:rPr>
                <w:rFonts w:ascii="Times New Roman" w:eastAsia="Arial" w:hAnsi="Times New Roman" w:cs="Times New Roman"/>
              </w:rPr>
              <w:t xml:space="preserve"> të mëdha t</w:t>
            </w:r>
            <w:r w:rsidR="00694F17" w:rsidRPr="00A96A10">
              <w:rPr>
                <w:rFonts w:ascii="Times New Roman" w:eastAsia="Arial" w:hAnsi="Times New Roman" w:cs="Times New Roman"/>
              </w:rPr>
              <w:t>ë</w:t>
            </w:r>
            <w:r w:rsidRPr="00A96A10">
              <w:rPr>
                <w:rFonts w:ascii="Times New Roman" w:eastAsia="Arial" w:hAnsi="Times New Roman" w:cs="Times New Roman"/>
              </w:rPr>
              <w:t xml:space="preserve"> investimeve direkte dhe ofrohet nga Instituti i Statistikave. Raportimi direkt (DI) përfshin ato kompani që kanë një volum të lartë transaksionesh ndërkombëtare dhe stok të lartë të investimeve të huaja direkte. Stoku regjistrohet gjithashtu duke perdorur të dhënat kontabël të ndërmarrjeve të investimeve të huaja direkte. Burimet e të dhënave varen nga sektori ekonomik i ndërmarrjes me investim të huaj direkt.</w:t>
            </w:r>
          </w:p>
          <w:p w14:paraId="2926C422" w14:textId="77777777" w:rsidR="00C71583" w:rsidRPr="00A96A10" w:rsidRDefault="00C71583" w:rsidP="00506308">
            <w:pPr>
              <w:spacing w:after="60"/>
              <w:jc w:val="both"/>
              <w:rPr>
                <w:rFonts w:ascii="Times New Roman" w:hAnsi="Times New Roman" w:cs="Times New Roman"/>
              </w:rPr>
            </w:pPr>
            <w:r w:rsidRPr="00A96A10">
              <w:rPr>
                <w:rFonts w:ascii="Times New Roman" w:eastAsia="Arial" w:hAnsi="Times New Roman" w:cs="Times New Roman"/>
              </w:rPr>
              <w:t>• Sektori industrial dhe tregtar: raportim direkt i kompanive IHD, ITRS dhe Qendra Kombëtare e Biznesit QKB (të dhëna vjetore); AKBN raporton të dhëna tremujore mbi ndërmarrjet e hidrokarbureve.</w:t>
            </w:r>
          </w:p>
          <w:p w14:paraId="4F3F19D4" w14:textId="77777777" w:rsidR="00C71583" w:rsidRPr="00A96A10" w:rsidRDefault="00C71583" w:rsidP="00506308">
            <w:pPr>
              <w:spacing w:after="60"/>
              <w:jc w:val="both"/>
              <w:rPr>
                <w:rFonts w:ascii="Times New Roman" w:hAnsi="Times New Roman" w:cs="Times New Roman"/>
              </w:rPr>
            </w:pPr>
            <w:r w:rsidRPr="00A96A10">
              <w:rPr>
                <w:rFonts w:ascii="Times New Roman" w:eastAsia="Arial" w:hAnsi="Times New Roman" w:cs="Times New Roman"/>
              </w:rPr>
              <w:t>• Sektori i ndërmjetësimit financiar: raportim direkt.</w:t>
            </w:r>
          </w:p>
          <w:p w14:paraId="42CEACD0" w14:textId="77777777" w:rsidR="00C71583" w:rsidRPr="00A96A10" w:rsidRDefault="00C71583" w:rsidP="00506308">
            <w:pPr>
              <w:spacing w:after="60"/>
              <w:jc w:val="both"/>
              <w:rPr>
                <w:rFonts w:ascii="Times New Roman" w:hAnsi="Times New Roman" w:cs="Times New Roman"/>
              </w:rPr>
            </w:pPr>
            <w:r w:rsidRPr="00A96A10">
              <w:rPr>
                <w:rFonts w:ascii="Times New Roman" w:eastAsia="Arial" w:hAnsi="Times New Roman" w:cs="Times New Roman"/>
              </w:rPr>
              <w:t>• Sektori i sigurimeve: raportuesit e drejtpërdrejtë (IHD) dhe QKB (të dhëna vjetore).</w:t>
            </w:r>
          </w:p>
          <w:p w14:paraId="0DC87664" w14:textId="77777777" w:rsidR="00C71583" w:rsidRPr="00A96A10" w:rsidRDefault="00C71583" w:rsidP="00506308">
            <w:pPr>
              <w:spacing w:after="60"/>
              <w:jc w:val="both"/>
              <w:rPr>
                <w:rFonts w:ascii="Times New Roman" w:hAnsi="Times New Roman" w:cs="Times New Roman"/>
              </w:rPr>
            </w:pPr>
            <w:r w:rsidRPr="00A96A10">
              <w:rPr>
                <w:rFonts w:ascii="Times New Roman" w:eastAsia="Arial" w:hAnsi="Times New Roman" w:cs="Times New Roman"/>
              </w:rPr>
              <w:lastRenderedPageBreak/>
              <w:t>• Sektori i pasurive të paluajtshme: stoku llogaritet kumulativ i flukseve.</w:t>
            </w:r>
          </w:p>
          <w:p w14:paraId="63AF46D8" w14:textId="77777777" w:rsidR="004D6C9D" w:rsidRPr="00A96A10" w:rsidRDefault="00C71583" w:rsidP="00506308">
            <w:pPr>
              <w:spacing w:after="0"/>
              <w:jc w:val="both"/>
              <w:rPr>
                <w:rFonts w:ascii="Times New Roman" w:eastAsia="Arial" w:hAnsi="Times New Roman" w:cs="Times New Roman"/>
              </w:rPr>
            </w:pPr>
            <w:r w:rsidRPr="00A96A10">
              <w:rPr>
                <w:rFonts w:ascii="Times New Roman" w:eastAsia="Arial" w:hAnsi="Times New Roman" w:cs="Times New Roman"/>
              </w:rPr>
              <w:t xml:space="preserve">Informacion më të detajuar gjendet në linkun në vijim: </w:t>
            </w:r>
          </w:p>
          <w:p w14:paraId="2A6F433D" w14:textId="792CA3C6" w:rsidR="00F90DC9" w:rsidRPr="00A96A10" w:rsidRDefault="004D6C9D" w:rsidP="00506308">
            <w:pPr>
              <w:spacing w:after="0"/>
              <w:jc w:val="both"/>
              <w:rPr>
                <w:rFonts w:ascii="Times New Roman" w:eastAsia="Arial" w:hAnsi="Times New Roman" w:cs="Times New Roman"/>
              </w:rPr>
            </w:pPr>
            <w:hyperlink r:id="rId16" w:history="1">
              <w:r w:rsidRPr="00A96A10">
                <w:rPr>
                  <w:rStyle w:val="Hyperlink"/>
                  <w:rFonts w:ascii="Times New Roman" w:eastAsia="Arial" w:hAnsi="Times New Roman" w:cs="Times New Roman"/>
                </w:rPr>
                <w:t>https://www.bankofalbania.org/Statistikat/Statistikat_e_Sektorit_te_Jashtem/Investimet_e_huaja_direkte/</w:t>
              </w:r>
            </w:hyperlink>
          </w:p>
        </w:tc>
      </w:tr>
      <w:tr w:rsidR="00F90DC9" w:rsidRPr="00A96A10" w14:paraId="3CD295FC" w14:textId="77777777" w:rsidTr="00F90DC9">
        <w:trPr>
          <w:trHeight w:val="567"/>
        </w:trPr>
        <w:tc>
          <w:tcPr>
            <w:tcW w:w="2457" w:type="dxa"/>
            <w:shd w:val="clear" w:color="auto" w:fill="FFFFCC"/>
            <w:vAlign w:val="center"/>
            <w:hideMark/>
          </w:tcPr>
          <w:p w14:paraId="26DEA634"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lastRenderedPageBreak/>
              <w:t>18.4. Vlefshmëria e të dhënave</w:t>
            </w:r>
          </w:p>
        </w:tc>
        <w:tc>
          <w:tcPr>
            <w:tcW w:w="7970" w:type="dxa"/>
            <w:vAlign w:val="center"/>
          </w:tcPr>
          <w:p w14:paraId="1FAC253E" w14:textId="77777777" w:rsidR="00205873" w:rsidRPr="00A96A10" w:rsidRDefault="00205873" w:rsidP="00506308">
            <w:pPr>
              <w:spacing w:after="60"/>
              <w:jc w:val="both"/>
              <w:rPr>
                <w:rFonts w:ascii="Times New Roman" w:hAnsi="Times New Roman" w:cs="Times New Roman"/>
              </w:rPr>
            </w:pPr>
            <w:r w:rsidRPr="00A96A10">
              <w:rPr>
                <w:rFonts w:ascii="Times New Roman" w:eastAsia="Arial" w:hAnsi="Times New Roman" w:cs="Times New Roman"/>
              </w:rPr>
              <w:t>Validimi i të dhënave kryhet sipas disa niveleve:</w:t>
            </w:r>
          </w:p>
          <w:p w14:paraId="2A1D84BB" w14:textId="77777777" w:rsidR="00205873" w:rsidRPr="00A96A10" w:rsidRDefault="00205873" w:rsidP="00506308">
            <w:pPr>
              <w:spacing w:after="60" w:line="240" w:lineRule="auto"/>
              <w:jc w:val="both"/>
              <w:rPr>
                <w:rFonts w:ascii="Times New Roman" w:hAnsi="Times New Roman" w:cs="Times New Roman"/>
              </w:rPr>
            </w:pPr>
            <w:r w:rsidRPr="00A96A10">
              <w:rPr>
                <w:rFonts w:ascii="Times New Roman" w:eastAsia="Arial" w:hAnsi="Times New Roman" w:cs="Times New Roman"/>
              </w:rPr>
              <w:t>• Niveli 1 i validimit - kontrolle cilësie lidhur me informacionin në skedar</w:t>
            </w:r>
          </w:p>
          <w:p w14:paraId="4979BF2B" w14:textId="77777777" w:rsidR="00205873" w:rsidRPr="00A96A10" w:rsidRDefault="00205873" w:rsidP="00506308">
            <w:pPr>
              <w:spacing w:after="60" w:line="240" w:lineRule="auto"/>
              <w:jc w:val="both"/>
              <w:rPr>
                <w:rFonts w:ascii="Times New Roman" w:hAnsi="Times New Roman" w:cs="Times New Roman"/>
              </w:rPr>
            </w:pPr>
            <w:r w:rsidRPr="00A96A10">
              <w:rPr>
                <w:rFonts w:ascii="Times New Roman" w:eastAsia="Arial" w:hAnsi="Times New Roman" w:cs="Times New Roman"/>
              </w:rPr>
              <w:t>• Niveli 2 i validimit - kontrolle në kuadër të rishikimeve</w:t>
            </w:r>
          </w:p>
          <w:p w14:paraId="5EA7A82A" w14:textId="50C7FBD9" w:rsidR="00205873" w:rsidRPr="00A96A10" w:rsidRDefault="00205873" w:rsidP="00506308">
            <w:pPr>
              <w:spacing w:after="60" w:line="240" w:lineRule="auto"/>
              <w:jc w:val="both"/>
              <w:rPr>
                <w:rFonts w:ascii="Times New Roman" w:hAnsi="Times New Roman" w:cs="Times New Roman"/>
              </w:rPr>
            </w:pPr>
            <w:r w:rsidRPr="00A96A10">
              <w:rPr>
                <w:rFonts w:ascii="Times New Roman" w:eastAsia="Arial" w:hAnsi="Times New Roman" w:cs="Times New Roman"/>
              </w:rPr>
              <w:t>• Niveli 3 i validimit - kontrolle konsistence me të dhënat e llogarisë financiare të BOP-it</w:t>
            </w:r>
            <w:r w:rsidR="00C260C0" w:rsidRPr="00A96A10">
              <w:rPr>
                <w:rFonts w:ascii="Times New Roman" w:eastAsia="Arial" w:hAnsi="Times New Roman" w:cs="Times New Roman"/>
              </w:rPr>
              <w:t>.</w:t>
            </w:r>
          </w:p>
          <w:p w14:paraId="055AD2FE" w14:textId="0332D953" w:rsidR="001A0F29" w:rsidRPr="00A96A10" w:rsidRDefault="00205873" w:rsidP="00506308">
            <w:pPr>
              <w:jc w:val="both"/>
              <w:rPr>
                <w:rFonts w:ascii="Times New Roman" w:eastAsia="Times New Roman" w:hAnsi="Times New Roman" w:cs="Times New Roman"/>
                <w:noProof/>
                <w:color w:val="000000"/>
                <w:lang w:eastAsia="sq-AL"/>
              </w:rPr>
            </w:pPr>
            <w:r w:rsidRPr="00A96A10">
              <w:rPr>
                <w:rFonts w:ascii="Times New Roman" w:eastAsia="Arial" w:hAnsi="Times New Roman" w:cs="Times New Roman"/>
              </w:rPr>
              <w:t>Për çdo burim, kontrollohet koherenca e brendshme dhe e jashtme e të dhënave individuale në nivel ndërmarrje për transaksionet dhe stokun.</w:t>
            </w:r>
            <w:r w:rsidR="001A0F29" w:rsidRPr="00A96A10">
              <w:rPr>
                <w:rFonts w:ascii="Times New Roman" w:eastAsia="Times New Roman" w:hAnsi="Times New Roman" w:cs="Times New Roman"/>
                <w:noProof/>
                <w:color w:val="000000"/>
                <w:lang w:eastAsia="sq-AL"/>
              </w:rPr>
              <w:t xml:space="preserve">Vlera e IHD-ve në fund të vitit </w:t>
            </w:r>
            <w:r w:rsidRPr="00A96A10">
              <w:rPr>
                <w:rFonts w:ascii="Times New Roman" w:eastAsia="Times New Roman" w:hAnsi="Times New Roman" w:cs="Times New Roman"/>
                <w:noProof/>
                <w:color w:val="000000"/>
                <w:lang w:eastAsia="sq-AL"/>
              </w:rPr>
              <w:t>referencë</w:t>
            </w:r>
            <w:r w:rsidR="001A0F29" w:rsidRPr="00A96A10">
              <w:rPr>
                <w:rFonts w:ascii="Times New Roman" w:eastAsia="Times New Roman" w:hAnsi="Times New Roman" w:cs="Times New Roman"/>
                <w:noProof/>
                <w:color w:val="000000"/>
                <w:lang w:eastAsia="sq-AL"/>
              </w:rPr>
              <w:t xml:space="preserve"> duhet të jetë e barabartë me shumën e:</w:t>
            </w:r>
          </w:p>
          <w:p w14:paraId="085D1AA4" w14:textId="77777777"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IHD-ve në fund të vitit paraardhës</w:t>
            </w:r>
          </w:p>
          <w:p w14:paraId="76D3BA2D" w14:textId="02E2B389"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 Transaksioneve të llogarisë financiare të BOP-it gjatë vitit </w:t>
            </w:r>
            <w:r w:rsidR="00205873" w:rsidRPr="00A96A10">
              <w:rPr>
                <w:rFonts w:ascii="Times New Roman" w:eastAsia="Times New Roman" w:hAnsi="Times New Roman" w:cs="Times New Roman"/>
                <w:noProof/>
                <w:color w:val="000000"/>
                <w:lang w:eastAsia="sq-AL"/>
              </w:rPr>
              <w:t>referencë</w:t>
            </w:r>
          </w:p>
          <w:p w14:paraId="339A3DD2" w14:textId="77777777"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Rivlerësimeve nga ndryshimet e kursit të këmbimit</w:t>
            </w:r>
          </w:p>
          <w:p w14:paraId="3F42634D" w14:textId="77777777"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Rivlerësimeve nga ndryshimet e tjera të çmimit</w:t>
            </w:r>
          </w:p>
          <w:p w14:paraId="1D160D8E" w14:textId="258B4F85" w:rsidR="001A0F29" w:rsidRPr="00A96A10" w:rsidRDefault="001A0F29" w:rsidP="00506308">
            <w:pPr>
              <w:spacing w:after="0"/>
              <w:jc w:val="both"/>
              <w:rPr>
                <w:rFonts w:ascii="Times New Roman" w:eastAsia="Times New Roman" w:hAnsi="Times New Roman" w:cs="Times New Roman"/>
                <w:noProof/>
                <w:color w:val="000000"/>
                <w:lang w:eastAsia="sq-AL"/>
              </w:rPr>
            </w:pPr>
            <w:r w:rsidRPr="00A96A10">
              <w:rPr>
                <w:rFonts w:ascii="Times New Roman" w:eastAsia="Times New Roman" w:hAnsi="Times New Roman" w:cs="Times New Roman"/>
                <w:noProof/>
                <w:color w:val="000000"/>
                <w:lang w:eastAsia="sq-AL"/>
              </w:rPr>
              <w:t xml:space="preserve">• Ndryshimeve të tjera në vëllimin e </w:t>
            </w:r>
            <w:r w:rsidR="00C260C0" w:rsidRPr="00A96A10">
              <w:rPr>
                <w:rFonts w:ascii="Times New Roman" w:eastAsia="Times New Roman" w:hAnsi="Times New Roman" w:cs="Times New Roman"/>
                <w:noProof/>
                <w:color w:val="000000"/>
                <w:lang w:eastAsia="sq-AL"/>
              </w:rPr>
              <w:t>mjeteve</w:t>
            </w:r>
            <w:r w:rsidRPr="00A96A10">
              <w:rPr>
                <w:rFonts w:ascii="Times New Roman" w:eastAsia="Times New Roman" w:hAnsi="Times New Roman" w:cs="Times New Roman"/>
                <w:noProof/>
                <w:color w:val="000000"/>
                <w:lang w:eastAsia="sq-AL"/>
              </w:rPr>
              <w:t>/detyrimeve</w:t>
            </w:r>
          </w:p>
          <w:p w14:paraId="469AD462" w14:textId="0DC6D89B" w:rsidR="00F90DC9" w:rsidRPr="00A96A10" w:rsidRDefault="001A0F2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Treguesit e IHD-ve (transaksionet) </w:t>
            </w:r>
            <w:r w:rsidR="00C260C0" w:rsidRPr="00A96A10">
              <w:rPr>
                <w:rFonts w:ascii="Times New Roman" w:eastAsia="Times New Roman" w:hAnsi="Times New Roman" w:cs="Times New Roman"/>
                <w:noProof/>
                <w:color w:val="000000"/>
                <w:lang w:eastAsia="sq-AL"/>
              </w:rPr>
              <w:t>konsolidohen</w:t>
            </w:r>
            <w:r w:rsidRPr="00A96A10">
              <w:rPr>
                <w:rFonts w:ascii="Times New Roman" w:eastAsia="Times New Roman" w:hAnsi="Times New Roman" w:cs="Times New Roman"/>
                <w:noProof/>
                <w:color w:val="000000"/>
                <w:lang w:eastAsia="sq-AL"/>
              </w:rPr>
              <w:t xml:space="preserve"> me treguesit e Bilancit të Pagesave (Llogaria Financiare) dhe treguesit e Borxhit të Jashtëm</w:t>
            </w:r>
            <w:r w:rsidR="00955E80" w:rsidRPr="00A96A10">
              <w:rPr>
                <w:rFonts w:ascii="Times New Roman" w:eastAsia="Times New Roman" w:hAnsi="Times New Roman" w:cs="Times New Roman"/>
                <w:noProof/>
                <w:color w:val="000000"/>
                <w:lang w:eastAsia="sq-AL"/>
              </w:rPr>
              <w:t xml:space="preserve"> p</w:t>
            </w:r>
            <w:r w:rsidR="00C260C0" w:rsidRPr="00A96A10">
              <w:rPr>
                <w:rFonts w:ascii="Times New Roman" w:eastAsia="Times New Roman" w:hAnsi="Times New Roman" w:cs="Times New Roman"/>
                <w:noProof/>
                <w:color w:val="000000"/>
                <w:lang w:eastAsia="sq-AL"/>
              </w:rPr>
              <w:t>ër</w:t>
            </w:r>
            <w:r w:rsidR="00955E80" w:rsidRPr="00A96A10">
              <w:rPr>
                <w:rFonts w:ascii="Times New Roman" w:eastAsia="Times New Roman" w:hAnsi="Times New Roman" w:cs="Times New Roman"/>
                <w:noProof/>
                <w:color w:val="000000"/>
                <w:lang w:eastAsia="sq-AL"/>
              </w:rPr>
              <w:t xml:space="preserve"> kompani</w:t>
            </w:r>
            <w:r w:rsidR="00C260C0" w:rsidRPr="00A96A10">
              <w:rPr>
                <w:rFonts w:ascii="Times New Roman" w:eastAsia="Times New Roman" w:hAnsi="Times New Roman" w:cs="Times New Roman"/>
                <w:noProof/>
                <w:color w:val="000000"/>
                <w:lang w:eastAsia="sq-AL"/>
              </w:rPr>
              <w:t>të</w:t>
            </w:r>
            <w:r w:rsidR="00955E80" w:rsidRPr="00A96A10">
              <w:rPr>
                <w:rFonts w:ascii="Times New Roman" w:eastAsia="Times New Roman" w:hAnsi="Times New Roman" w:cs="Times New Roman"/>
                <w:noProof/>
                <w:color w:val="000000"/>
                <w:lang w:eastAsia="sq-AL"/>
              </w:rPr>
              <w:t xml:space="preserve"> n</w:t>
            </w:r>
            <w:r w:rsidR="00C260C0" w:rsidRPr="00A96A10">
              <w:rPr>
                <w:rFonts w:ascii="Times New Roman" w:eastAsia="Times New Roman" w:hAnsi="Times New Roman" w:cs="Times New Roman"/>
                <w:noProof/>
                <w:color w:val="000000"/>
                <w:lang w:eastAsia="sq-AL"/>
              </w:rPr>
              <w:t>d</w:t>
            </w:r>
            <w:r w:rsidR="00F31B20" w:rsidRPr="00A96A10">
              <w:rPr>
                <w:rFonts w:ascii="Times New Roman" w:eastAsia="Times New Roman" w:hAnsi="Times New Roman" w:cs="Times New Roman"/>
                <w:noProof/>
                <w:color w:val="000000"/>
                <w:lang w:eastAsia="sq-AL"/>
              </w:rPr>
              <w:t>ë</w:t>
            </w:r>
            <w:r w:rsidR="00955E80" w:rsidRPr="00A96A10">
              <w:rPr>
                <w:rFonts w:ascii="Times New Roman" w:eastAsia="Times New Roman" w:hAnsi="Times New Roman" w:cs="Times New Roman"/>
                <w:noProof/>
                <w:color w:val="000000"/>
                <w:lang w:eastAsia="sq-AL"/>
              </w:rPr>
              <w:t>rhua</w:t>
            </w:r>
            <w:r w:rsidR="00C260C0" w:rsidRPr="00A96A10">
              <w:rPr>
                <w:rFonts w:ascii="Times New Roman" w:eastAsia="Times New Roman" w:hAnsi="Times New Roman" w:cs="Times New Roman"/>
                <w:noProof/>
                <w:color w:val="000000"/>
                <w:lang w:eastAsia="sq-AL"/>
              </w:rPr>
              <w:t>dhënie</w:t>
            </w:r>
            <w:r w:rsidRPr="00A96A10">
              <w:rPr>
                <w:rFonts w:ascii="Times New Roman" w:eastAsia="Times New Roman" w:hAnsi="Times New Roman" w:cs="Times New Roman"/>
                <w:noProof/>
                <w:color w:val="000000"/>
                <w:lang w:eastAsia="sq-AL"/>
              </w:rPr>
              <w:t>.</w:t>
            </w:r>
          </w:p>
        </w:tc>
      </w:tr>
      <w:tr w:rsidR="00F90DC9" w:rsidRPr="00A96A10" w14:paraId="5CE8FDFF" w14:textId="77777777" w:rsidTr="00F90DC9">
        <w:trPr>
          <w:trHeight w:val="567"/>
        </w:trPr>
        <w:tc>
          <w:tcPr>
            <w:tcW w:w="2457" w:type="dxa"/>
            <w:shd w:val="clear" w:color="auto" w:fill="FFFFCC"/>
            <w:vAlign w:val="center"/>
            <w:hideMark/>
          </w:tcPr>
          <w:p w14:paraId="75D0AAFA"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18.5. Përpilimi i të dhënave </w:t>
            </w:r>
          </w:p>
        </w:tc>
        <w:tc>
          <w:tcPr>
            <w:tcW w:w="7970" w:type="dxa"/>
            <w:vAlign w:val="center"/>
          </w:tcPr>
          <w:p w14:paraId="5F895DF2" w14:textId="77777777" w:rsidR="00191B55" w:rsidRPr="00A96A10" w:rsidRDefault="00191B55" w:rsidP="00506308">
            <w:pPr>
              <w:spacing w:after="0"/>
              <w:jc w:val="both"/>
              <w:rPr>
                <w:rFonts w:ascii="Times New Roman" w:eastAsia="Times New Roman" w:hAnsi="Times New Roman" w:cs="Times New Roman"/>
                <w:noProof/>
                <w:color w:val="000000"/>
                <w:lang w:eastAsia="sq-AL"/>
              </w:rPr>
            </w:pPr>
          </w:p>
          <w:p w14:paraId="0E15D878" w14:textId="188587F0" w:rsidR="00191B55" w:rsidRPr="00A96A10" w:rsidRDefault="00191B55" w:rsidP="00506308">
            <w:pPr>
              <w:spacing w:after="60" w:line="240" w:lineRule="auto"/>
              <w:jc w:val="both"/>
              <w:rPr>
                <w:rFonts w:ascii="Times New Roman" w:eastAsia="Times New Roman" w:hAnsi="Times New Roman" w:cs="Times New Roman"/>
                <w:lang w:val="en-US"/>
              </w:rPr>
            </w:pPr>
            <w:r w:rsidRPr="00A96A10">
              <w:rPr>
                <w:rFonts w:ascii="Times New Roman" w:eastAsia="Arial" w:hAnsi="Times New Roman" w:cs="Times New Roman"/>
                <w:lang w:val="en-US"/>
              </w:rPr>
              <w:t xml:space="preserve">Sipas metodologjisë, stoku i mjeteve dhe detyrimeve financiare duhet të vlerësohet me çmimin e tregut. Meqenëse Bursa e Aksioneve aktualisht nuk është funksionale dhe përcaktimi i çmimit të tregut është i vështire të gjithë zërat e IHD-ve hartohen me vlerë kontabël, vlera që ndërmarrjet raportojnë në pasqyrat e tyre financiare. </w:t>
            </w:r>
          </w:p>
          <w:p w14:paraId="460D0909" w14:textId="77777777" w:rsidR="00F90DC9" w:rsidRPr="00A96A10" w:rsidRDefault="00191B55" w:rsidP="00506308">
            <w:pPr>
              <w:spacing w:after="0" w:line="240" w:lineRule="auto"/>
              <w:jc w:val="both"/>
              <w:rPr>
                <w:rFonts w:ascii="Times New Roman" w:eastAsia="Arial" w:hAnsi="Times New Roman" w:cs="Times New Roman"/>
                <w:lang w:val="en-US"/>
              </w:rPr>
            </w:pPr>
            <w:r w:rsidRPr="00A96A10">
              <w:rPr>
                <w:rFonts w:ascii="Times New Roman" w:eastAsia="Arial" w:hAnsi="Times New Roman" w:cs="Times New Roman"/>
                <w:lang w:val="en-US"/>
              </w:rPr>
              <w:t>Dallimi ndërmjet borxhit afatshkurtër dhe afatgjatë bazohet në maturitetin origjinal. Borxhi afatgjatë përfshin të gjitha detyrimet me maturitet origjinal më shumë se një vit, dhe borxhi afatshkurtër përfshin ato detyrime me maturitet origjinal më pak se një vit.</w:t>
            </w:r>
          </w:p>
          <w:p w14:paraId="613C2F21" w14:textId="747E1FA5" w:rsidR="00191B55" w:rsidRPr="00A96A10" w:rsidRDefault="00191B55" w:rsidP="00506308">
            <w:pPr>
              <w:spacing w:after="0" w:line="240" w:lineRule="auto"/>
              <w:jc w:val="both"/>
              <w:rPr>
                <w:rFonts w:ascii="Times New Roman" w:eastAsia="Times New Roman" w:hAnsi="Times New Roman" w:cs="Times New Roman"/>
                <w:noProof/>
                <w:color w:val="000000"/>
                <w:lang w:val="sq-AL" w:eastAsia="sq-AL"/>
              </w:rPr>
            </w:pPr>
          </w:p>
        </w:tc>
      </w:tr>
      <w:tr w:rsidR="00F90DC9" w:rsidRPr="00A96A10" w14:paraId="098D8A2C" w14:textId="77777777" w:rsidTr="00F90DC9">
        <w:trPr>
          <w:trHeight w:val="567"/>
        </w:trPr>
        <w:tc>
          <w:tcPr>
            <w:tcW w:w="2457" w:type="dxa"/>
            <w:shd w:val="clear" w:color="auto" w:fill="FFFFCC"/>
            <w:vAlign w:val="center"/>
            <w:hideMark/>
          </w:tcPr>
          <w:p w14:paraId="716506E3"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val="sq-AL" w:eastAsia="sq-AL"/>
              </w:rPr>
              <w:t>18.6. Rregullimi</w:t>
            </w:r>
          </w:p>
        </w:tc>
        <w:tc>
          <w:tcPr>
            <w:tcW w:w="7970" w:type="dxa"/>
            <w:noWrap/>
            <w:vAlign w:val="center"/>
            <w:hideMark/>
          </w:tcPr>
          <w:p w14:paraId="4BC617D8" w14:textId="236277F7" w:rsidR="00F90DC9" w:rsidRPr="00A96A10" w:rsidRDefault="001A0F29" w:rsidP="00506308">
            <w:pPr>
              <w:spacing w:after="0"/>
              <w:jc w:val="both"/>
              <w:rPr>
                <w:rFonts w:ascii="Times New Roman" w:eastAsia="Times New Roman" w:hAnsi="Times New Roman" w:cs="Times New Roman"/>
                <w:noProof/>
                <w:color w:val="000000"/>
                <w:lang w:val="sq-AL" w:eastAsia="sq-AL"/>
              </w:rPr>
            </w:pPr>
            <w:r w:rsidRPr="00A96A10">
              <w:rPr>
                <w:rFonts w:ascii="Times New Roman" w:eastAsia="Times New Roman" w:hAnsi="Times New Roman" w:cs="Times New Roman"/>
                <w:noProof/>
                <w:color w:val="000000"/>
                <w:lang w:eastAsia="sq-AL"/>
              </w:rPr>
              <w:t xml:space="preserve">Nuk </w:t>
            </w:r>
            <w:r w:rsidR="00191B55" w:rsidRPr="00A96A10">
              <w:rPr>
                <w:rFonts w:ascii="Times New Roman" w:eastAsia="Times New Roman" w:hAnsi="Times New Roman" w:cs="Times New Roman"/>
                <w:noProof/>
                <w:color w:val="000000"/>
                <w:lang w:eastAsia="sq-AL"/>
              </w:rPr>
              <w:t>aplikohet.</w:t>
            </w:r>
          </w:p>
        </w:tc>
      </w:tr>
      <w:tr w:rsidR="00F90DC9" w:rsidRPr="00A96A10" w14:paraId="2CC59B68" w14:textId="77777777" w:rsidTr="00F90DC9">
        <w:trPr>
          <w:trHeight w:val="567"/>
        </w:trPr>
        <w:tc>
          <w:tcPr>
            <w:tcW w:w="2457" w:type="dxa"/>
            <w:shd w:val="clear" w:color="auto" w:fill="C5E0B3" w:themeFill="accent6" w:themeFillTint="66"/>
            <w:vAlign w:val="center"/>
            <w:hideMark/>
          </w:tcPr>
          <w:p w14:paraId="15FA5F27" w14:textId="77777777" w:rsidR="00F90DC9" w:rsidRPr="00A96A10" w:rsidRDefault="00F90DC9" w:rsidP="00506308">
            <w:pPr>
              <w:pStyle w:val="Heading1"/>
              <w:spacing w:before="0"/>
              <w:jc w:val="both"/>
              <w:rPr>
                <w:rFonts w:ascii="Times New Roman" w:eastAsia="Times New Roman" w:hAnsi="Times New Roman" w:cs="Times New Roman"/>
                <w:b w:val="0"/>
                <w:bCs w:val="0"/>
                <w:noProof/>
                <w:color w:val="000000"/>
                <w:sz w:val="22"/>
                <w:szCs w:val="22"/>
                <w:lang w:val="sq-AL" w:eastAsia="sq-AL"/>
              </w:rPr>
            </w:pPr>
            <w:bookmarkStart w:id="18" w:name="_Toc228888984"/>
            <w:r w:rsidRPr="00A96A10">
              <w:rPr>
                <w:rFonts w:ascii="Times New Roman" w:eastAsia="Times New Roman" w:hAnsi="Times New Roman" w:cs="Times New Roman"/>
                <w:bCs w:val="0"/>
                <w:noProof/>
                <w:color w:val="000000"/>
                <w:sz w:val="22"/>
                <w:szCs w:val="22"/>
                <w:lang w:val="sq-AL" w:eastAsia="sq-AL"/>
              </w:rPr>
              <w:t>19.</w:t>
            </w:r>
            <w:r w:rsidRPr="00A96A10">
              <w:rPr>
                <w:rFonts w:ascii="Times New Roman" w:eastAsia="Times New Roman" w:hAnsi="Times New Roman" w:cs="Times New Roman"/>
                <w:b w:val="0"/>
                <w:bCs w:val="0"/>
                <w:noProof/>
                <w:color w:val="000000"/>
                <w:sz w:val="22"/>
                <w:szCs w:val="22"/>
                <w:lang w:val="sq-AL" w:eastAsia="sq-AL"/>
              </w:rPr>
              <w:t xml:space="preserve"> </w:t>
            </w:r>
            <w:r w:rsidRPr="00A96A10">
              <w:rPr>
                <w:rFonts w:ascii="Times New Roman" w:eastAsia="Times New Roman" w:hAnsi="Times New Roman" w:cs="Times New Roman"/>
                <w:noProof/>
                <w:color w:val="000000" w:themeColor="text1"/>
                <w:sz w:val="22"/>
                <w:szCs w:val="22"/>
                <w:lang w:val="sq-AL" w:eastAsia="sq-AL"/>
              </w:rPr>
              <w:t>Komente</w:t>
            </w:r>
            <w:bookmarkEnd w:id="18"/>
          </w:p>
        </w:tc>
        <w:tc>
          <w:tcPr>
            <w:tcW w:w="7970" w:type="dxa"/>
            <w:noWrap/>
            <w:vAlign w:val="center"/>
            <w:hideMark/>
          </w:tcPr>
          <w:p w14:paraId="4121123E" w14:textId="77777777" w:rsidR="00F90DC9" w:rsidRPr="00A96A10" w:rsidRDefault="00F90DC9" w:rsidP="00506308">
            <w:pPr>
              <w:spacing w:after="0"/>
              <w:jc w:val="both"/>
              <w:rPr>
                <w:rFonts w:ascii="Times New Roman" w:eastAsia="Times New Roman" w:hAnsi="Times New Roman" w:cs="Times New Roman"/>
                <w:noProof/>
                <w:color w:val="000000"/>
                <w:lang w:val="sq-AL" w:eastAsia="sq-AL"/>
              </w:rPr>
            </w:pPr>
          </w:p>
        </w:tc>
      </w:tr>
      <w:tr w:rsidR="00F90DC9" w:rsidRPr="00A96A10" w14:paraId="5B91768E" w14:textId="77777777" w:rsidTr="00F2159C">
        <w:trPr>
          <w:trHeight w:val="567"/>
        </w:trPr>
        <w:tc>
          <w:tcPr>
            <w:tcW w:w="10427" w:type="dxa"/>
            <w:gridSpan w:val="2"/>
            <w:shd w:val="clear" w:color="auto" w:fill="C5E0B3" w:themeFill="accent6" w:themeFillTint="66"/>
            <w:vAlign w:val="center"/>
            <w:hideMark/>
          </w:tcPr>
          <w:p w14:paraId="33E7B82D" w14:textId="77777777" w:rsidR="00F90DC9" w:rsidRPr="00A96A10" w:rsidRDefault="00F90DC9" w:rsidP="00506308">
            <w:pPr>
              <w:pStyle w:val="Heading1"/>
              <w:spacing w:before="0"/>
              <w:jc w:val="both"/>
              <w:rPr>
                <w:rFonts w:ascii="Times New Roman" w:eastAsia="Times New Roman" w:hAnsi="Times New Roman" w:cs="Times New Roman"/>
                <w:noProof/>
                <w:color w:val="000000"/>
                <w:sz w:val="22"/>
                <w:szCs w:val="22"/>
                <w:lang w:val="sq-AL" w:eastAsia="sq-AL"/>
              </w:rPr>
            </w:pPr>
            <w:bookmarkStart w:id="19" w:name="_Toc228888985"/>
            <w:r w:rsidRPr="00A96A10">
              <w:rPr>
                <w:rFonts w:ascii="Times New Roman" w:eastAsia="Times New Roman" w:hAnsi="Times New Roman" w:cs="Times New Roman"/>
                <w:bCs w:val="0"/>
                <w:noProof/>
                <w:color w:val="000000"/>
                <w:sz w:val="22"/>
                <w:szCs w:val="22"/>
                <w:lang w:val="sq-AL" w:eastAsia="sq-AL"/>
              </w:rPr>
              <w:t>Aneks</w:t>
            </w:r>
            <w:bookmarkEnd w:id="19"/>
          </w:p>
        </w:tc>
      </w:tr>
    </w:tbl>
    <w:p w14:paraId="767E081D" w14:textId="77777777" w:rsidR="003A47EB" w:rsidRPr="00A96A10" w:rsidRDefault="003A47EB" w:rsidP="00506308">
      <w:pPr>
        <w:spacing w:after="0"/>
        <w:jc w:val="both"/>
        <w:rPr>
          <w:rFonts w:ascii="Times New Roman" w:hAnsi="Times New Roman" w:cs="Times New Roman"/>
          <w:noProof/>
          <w:lang w:val="sq-AL"/>
        </w:rPr>
      </w:pPr>
    </w:p>
    <w:p w14:paraId="5C0A3B44" w14:textId="77777777" w:rsidR="00C76E2B" w:rsidRPr="00A96A10" w:rsidRDefault="00C76E2B" w:rsidP="00506308">
      <w:pPr>
        <w:jc w:val="both"/>
        <w:rPr>
          <w:rFonts w:ascii="Times New Roman" w:hAnsi="Times New Roman" w:cs="Times New Roman"/>
        </w:rPr>
      </w:pPr>
    </w:p>
    <w:sectPr w:rsidR="00C76E2B" w:rsidRPr="00A96A10" w:rsidSect="00FA1304">
      <w:foot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700C" w14:textId="77777777" w:rsidR="0065123E" w:rsidRDefault="0065123E">
      <w:pPr>
        <w:spacing w:after="0" w:line="240" w:lineRule="auto"/>
      </w:pPr>
      <w:r>
        <w:separator/>
      </w:r>
    </w:p>
  </w:endnote>
  <w:endnote w:type="continuationSeparator" w:id="0">
    <w:p w14:paraId="6E1D9749" w14:textId="77777777" w:rsidR="0065123E" w:rsidRDefault="0065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663"/>
      <w:docPartObj>
        <w:docPartGallery w:val="Page Numbers (Bottom of Page)"/>
        <w:docPartUnique/>
      </w:docPartObj>
    </w:sdtPr>
    <w:sdtContent>
      <w:p w14:paraId="042F1758" w14:textId="77777777" w:rsidR="00735718" w:rsidRDefault="00073323">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D9F3634" w14:textId="77777777" w:rsidR="00735718" w:rsidRDefault="0073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CB11" w14:textId="77777777" w:rsidR="0065123E" w:rsidRDefault="0065123E">
      <w:pPr>
        <w:spacing w:after="0" w:line="240" w:lineRule="auto"/>
      </w:pPr>
      <w:r>
        <w:separator/>
      </w:r>
    </w:p>
  </w:footnote>
  <w:footnote w:type="continuationSeparator" w:id="0">
    <w:p w14:paraId="1D03DAEC" w14:textId="77777777" w:rsidR="0065123E" w:rsidRDefault="00651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B73AB"/>
    <w:multiLevelType w:val="hybridMultilevel"/>
    <w:tmpl w:val="FD6E2996"/>
    <w:lvl w:ilvl="0" w:tplc="AD844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E229AB"/>
    <w:multiLevelType w:val="hybridMultilevel"/>
    <w:tmpl w:val="0976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8C27B2"/>
    <w:multiLevelType w:val="hybridMultilevel"/>
    <w:tmpl w:val="09C0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72BCE"/>
    <w:multiLevelType w:val="hybridMultilevel"/>
    <w:tmpl w:val="688C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965875">
    <w:abstractNumId w:val="0"/>
  </w:num>
  <w:num w:numId="2" w16cid:durableId="1559514536">
    <w:abstractNumId w:val="3"/>
  </w:num>
  <w:num w:numId="3" w16cid:durableId="1550072957">
    <w:abstractNumId w:val="1"/>
  </w:num>
  <w:num w:numId="4" w16cid:durableId="1688867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B"/>
    <w:rsid w:val="000410F5"/>
    <w:rsid w:val="00062C26"/>
    <w:rsid w:val="00073323"/>
    <w:rsid w:val="00076527"/>
    <w:rsid w:val="00094187"/>
    <w:rsid w:val="000A026D"/>
    <w:rsid w:val="000B0096"/>
    <w:rsid w:val="000B32FB"/>
    <w:rsid w:val="000B4DD6"/>
    <w:rsid w:val="000D3F37"/>
    <w:rsid w:val="000E026A"/>
    <w:rsid w:val="000F1C62"/>
    <w:rsid w:val="00100A5D"/>
    <w:rsid w:val="00115201"/>
    <w:rsid w:val="0011584B"/>
    <w:rsid w:val="00125AB3"/>
    <w:rsid w:val="00152357"/>
    <w:rsid w:val="00153D92"/>
    <w:rsid w:val="00191B55"/>
    <w:rsid w:val="001A0F29"/>
    <w:rsid w:val="001B3815"/>
    <w:rsid w:val="001C19E7"/>
    <w:rsid w:val="00205873"/>
    <w:rsid w:val="002061B6"/>
    <w:rsid w:val="002133FC"/>
    <w:rsid w:val="002178AF"/>
    <w:rsid w:val="00257344"/>
    <w:rsid w:val="002622A3"/>
    <w:rsid w:val="00277CD2"/>
    <w:rsid w:val="002E1E2D"/>
    <w:rsid w:val="002F3DDC"/>
    <w:rsid w:val="00317138"/>
    <w:rsid w:val="003217E5"/>
    <w:rsid w:val="0032357F"/>
    <w:rsid w:val="003301C6"/>
    <w:rsid w:val="003459BF"/>
    <w:rsid w:val="0035511F"/>
    <w:rsid w:val="003572B0"/>
    <w:rsid w:val="00383E4D"/>
    <w:rsid w:val="003A47EB"/>
    <w:rsid w:val="003C6D70"/>
    <w:rsid w:val="00414312"/>
    <w:rsid w:val="00441FB4"/>
    <w:rsid w:val="00457FAA"/>
    <w:rsid w:val="0046675D"/>
    <w:rsid w:val="00484CC0"/>
    <w:rsid w:val="004C03CF"/>
    <w:rsid w:val="004D6C9D"/>
    <w:rsid w:val="00506308"/>
    <w:rsid w:val="0052317C"/>
    <w:rsid w:val="005374C6"/>
    <w:rsid w:val="0054065D"/>
    <w:rsid w:val="00552C40"/>
    <w:rsid w:val="00556131"/>
    <w:rsid w:val="005A399C"/>
    <w:rsid w:val="005D4B7E"/>
    <w:rsid w:val="00634C8E"/>
    <w:rsid w:val="0065123E"/>
    <w:rsid w:val="00694F17"/>
    <w:rsid w:val="006E1B04"/>
    <w:rsid w:val="0071774A"/>
    <w:rsid w:val="00731B9D"/>
    <w:rsid w:val="00735718"/>
    <w:rsid w:val="00747D89"/>
    <w:rsid w:val="00770DCD"/>
    <w:rsid w:val="00781561"/>
    <w:rsid w:val="0079775D"/>
    <w:rsid w:val="007F2720"/>
    <w:rsid w:val="007F2F42"/>
    <w:rsid w:val="00834598"/>
    <w:rsid w:val="008525DF"/>
    <w:rsid w:val="008549BB"/>
    <w:rsid w:val="008723C8"/>
    <w:rsid w:val="008F17DF"/>
    <w:rsid w:val="00923133"/>
    <w:rsid w:val="00955E80"/>
    <w:rsid w:val="0095766C"/>
    <w:rsid w:val="009763DF"/>
    <w:rsid w:val="00982D56"/>
    <w:rsid w:val="00993CCD"/>
    <w:rsid w:val="009B5F7E"/>
    <w:rsid w:val="00A11503"/>
    <w:rsid w:val="00A12AEA"/>
    <w:rsid w:val="00A27599"/>
    <w:rsid w:val="00A32A12"/>
    <w:rsid w:val="00A34E98"/>
    <w:rsid w:val="00A66D09"/>
    <w:rsid w:val="00A774E0"/>
    <w:rsid w:val="00A90EDC"/>
    <w:rsid w:val="00A96A10"/>
    <w:rsid w:val="00AB5239"/>
    <w:rsid w:val="00B01F2F"/>
    <w:rsid w:val="00B45B5F"/>
    <w:rsid w:val="00B53BF9"/>
    <w:rsid w:val="00B7406D"/>
    <w:rsid w:val="00B855A1"/>
    <w:rsid w:val="00BD7667"/>
    <w:rsid w:val="00C260C0"/>
    <w:rsid w:val="00C71583"/>
    <w:rsid w:val="00C76E2B"/>
    <w:rsid w:val="00C9698F"/>
    <w:rsid w:val="00C97155"/>
    <w:rsid w:val="00CB001E"/>
    <w:rsid w:val="00CB7ABC"/>
    <w:rsid w:val="00CC0C84"/>
    <w:rsid w:val="00CC28EB"/>
    <w:rsid w:val="00CC5506"/>
    <w:rsid w:val="00CD7581"/>
    <w:rsid w:val="00CE4575"/>
    <w:rsid w:val="00D2435A"/>
    <w:rsid w:val="00D47D8A"/>
    <w:rsid w:val="00D50ADC"/>
    <w:rsid w:val="00D53A82"/>
    <w:rsid w:val="00D65FAF"/>
    <w:rsid w:val="00D72EA8"/>
    <w:rsid w:val="00DA4889"/>
    <w:rsid w:val="00DA6BA0"/>
    <w:rsid w:val="00E04D0C"/>
    <w:rsid w:val="00E145E4"/>
    <w:rsid w:val="00E155B1"/>
    <w:rsid w:val="00E71BC1"/>
    <w:rsid w:val="00E8233A"/>
    <w:rsid w:val="00E858AF"/>
    <w:rsid w:val="00E9151D"/>
    <w:rsid w:val="00EC0554"/>
    <w:rsid w:val="00EC0B8B"/>
    <w:rsid w:val="00EE4375"/>
    <w:rsid w:val="00F16997"/>
    <w:rsid w:val="00F2159C"/>
    <w:rsid w:val="00F31B20"/>
    <w:rsid w:val="00F73E82"/>
    <w:rsid w:val="00F77498"/>
    <w:rsid w:val="00F828AF"/>
    <w:rsid w:val="00F90DC9"/>
    <w:rsid w:val="00FB299D"/>
    <w:rsid w:val="00FF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7D0D"/>
  <w15:chartTrackingRefBased/>
  <w15:docId w15:val="{7E758F2F-0E54-4581-8F6B-15C5197A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EB"/>
    <w:pPr>
      <w:spacing w:after="200" w:line="276" w:lineRule="auto"/>
    </w:pPr>
  </w:style>
  <w:style w:type="paragraph" w:styleId="Heading1">
    <w:name w:val="heading 1"/>
    <w:basedOn w:val="Normal"/>
    <w:next w:val="Normal"/>
    <w:link w:val="Heading1Char"/>
    <w:uiPriority w:val="9"/>
    <w:qFormat/>
    <w:rsid w:val="003A47E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7EB"/>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3A47EB"/>
    <w:rPr>
      <w:color w:val="0000FF"/>
      <w:u w:val="single"/>
    </w:rPr>
  </w:style>
  <w:style w:type="paragraph" w:customStyle="1" w:styleId="Default">
    <w:name w:val="Default"/>
    <w:rsid w:val="003A47EB"/>
    <w:pPr>
      <w:autoSpaceDE w:val="0"/>
      <w:autoSpaceDN w:val="0"/>
      <w:adjustRightInd w:val="0"/>
      <w:spacing w:after="0" w:line="240" w:lineRule="auto"/>
    </w:pPr>
    <w:rPr>
      <w:rFonts w:ascii="Arial" w:eastAsia="Times New Roman" w:hAnsi="Arial" w:cs="Arial"/>
      <w:color w:val="000000"/>
      <w:sz w:val="24"/>
      <w:szCs w:val="24"/>
      <w:lang w:val="sq-AL"/>
    </w:rPr>
  </w:style>
  <w:style w:type="table" w:styleId="TableGrid">
    <w:name w:val="Table Grid"/>
    <w:basedOn w:val="TableNormal"/>
    <w:uiPriority w:val="59"/>
    <w:rsid w:val="003A47EB"/>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A47EB"/>
    <w:pPr>
      <w:outlineLvl w:val="9"/>
    </w:pPr>
    <w:rPr>
      <w:lang w:val="en-US"/>
    </w:rPr>
  </w:style>
  <w:style w:type="paragraph" w:styleId="TOC1">
    <w:name w:val="toc 1"/>
    <w:basedOn w:val="Normal"/>
    <w:next w:val="Normal"/>
    <w:autoRedefine/>
    <w:uiPriority w:val="39"/>
    <w:unhideWhenUsed/>
    <w:rsid w:val="003A47EB"/>
    <w:pPr>
      <w:spacing w:after="100"/>
    </w:pPr>
  </w:style>
  <w:style w:type="paragraph" w:styleId="Footer">
    <w:name w:val="footer"/>
    <w:basedOn w:val="Normal"/>
    <w:link w:val="FooterChar"/>
    <w:uiPriority w:val="99"/>
    <w:unhideWhenUsed/>
    <w:rsid w:val="003A4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EB"/>
  </w:style>
  <w:style w:type="paragraph" w:styleId="BalloonText">
    <w:name w:val="Balloon Text"/>
    <w:basedOn w:val="Normal"/>
    <w:link w:val="BalloonTextChar"/>
    <w:uiPriority w:val="99"/>
    <w:semiHidden/>
    <w:unhideWhenUsed/>
    <w:rsid w:val="00B45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B5F"/>
    <w:rPr>
      <w:rFonts w:ascii="Segoe UI" w:hAnsi="Segoe UI" w:cs="Segoe UI"/>
      <w:sz w:val="18"/>
      <w:szCs w:val="18"/>
    </w:rPr>
  </w:style>
  <w:style w:type="character" w:styleId="UnresolvedMention">
    <w:name w:val="Unresolved Mention"/>
    <w:basedOn w:val="DefaultParagraphFont"/>
    <w:uiPriority w:val="99"/>
    <w:semiHidden/>
    <w:unhideWhenUsed/>
    <w:rsid w:val="00F90DC9"/>
    <w:rPr>
      <w:color w:val="605E5C"/>
      <w:shd w:val="clear" w:color="auto" w:fill="E1DFDD"/>
    </w:rPr>
  </w:style>
  <w:style w:type="paragraph" w:styleId="ListParagraph">
    <w:name w:val="List Paragraph"/>
    <w:basedOn w:val="Normal"/>
    <w:uiPriority w:val="34"/>
    <w:qFormat/>
    <w:rsid w:val="008549BB"/>
    <w:pPr>
      <w:ind w:left="720"/>
      <w:contextualSpacing/>
    </w:pPr>
  </w:style>
  <w:style w:type="table" w:customStyle="1" w:styleId="TableGrid2">
    <w:name w:val="Table Grid2"/>
    <w:basedOn w:val="TableNormal"/>
    <w:next w:val="TableGrid"/>
    <w:uiPriority w:val="59"/>
    <w:rsid w:val="00CD7581"/>
    <w:pPr>
      <w:spacing w:after="0" w:line="240" w:lineRule="auto"/>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2720"/>
    <w:pPr>
      <w:widowControl w:val="0"/>
      <w:autoSpaceDE w:val="0"/>
      <w:autoSpaceDN w:val="0"/>
      <w:spacing w:after="0" w:line="240" w:lineRule="auto"/>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14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laj@bankofalbania.org" TargetMode="External"/><Relationship Id="rId13" Type="http://schemas.openxmlformats.org/officeDocument/2006/relationships/hyperlink" Target="https://www.bankofalbania.org/Statistikat/Kalendari_i_statistikave_186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kofalbania.org/Statistik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ankofalbania.org/Statistikat/Statistikat_e_Sektorit_te_Jashtem/Investimet_e_huaja_direk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t.gov.al/sq/rreth-nesh/legjislacioni/" TargetMode="External"/><Relationship Id="rId5" Type="http://schemas.openxmlformats.org/officeDocument/2006/relationships/webSettings" Target="webSettings.xml"/><Relationship Id="rId15" Type="http://schemas.openxmlformats.org/officeDocument/2006/relationships/hyperlink" Target="https://www.bankofalbania.org/Statistikat/Statistikat_e_Sektorit_te_Jashtem/Investimet_e_huaja_direkte/" TargetMode="External"/><Relationship Id="rId10" Type="http://schemas.openxmlformats.org/officeDocument/2006/relationships/hyperlink" Target="https://www.instat.gov.al/sq/rreth-nesh/legjislacion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nkofalbania.org/Rreth_Bankes/Legjislacioni/Ligj_nr_8269_date_23_12_1997_Per_Banken_e_Shqiperise.html" TargetMode="External"/><Relationship Id="rId14" Type="http://schemas.openxmlformats.org/officeDocument/2006/relationships/hyperlink" Target="https://www.bankofalbania.org/Statistikat/Statistikat_e_Sektorit_te_Jashtem/Investimet_e_huaja_direk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4DC9-2769-4A9C-9F23-889CC05D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Metadata Referenciale</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Metadata Referenciale</dc:title>
  <dc:subject/>
  <dc:creator>Anxhela Petriti</dc:creator>
  <cp:keywords>INSTAT, ESMS</cp:keywords>
  <dc:description/>
  <cp:lastModifiedBy>Iris Kaso (Mele)</cp:lastModifiedBy>
  <cp:revision>2</cp:revision>
  <cp:lastPrinted>2026-01-12T23:32:00Z</cp:lastPrinted>
  <dcterms:created xsi:type="dcterms:W3CDTF">2026-05-06T14:14:00Z</dcterms:created>
  <dcterms:modified xsi:type="dcterms:W3CDTF">2026-05-06T14:14:00Z</dcterms:modified>
</cp:coreProperties>
</file>