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1B" w:rsidRPr="00A14441" w:rsidRDefault="00DE2D1B" w:rsidP="009C1361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41">
        <w:rPr>
          <w:rFonts w:ascii="Times New Roman" w:hAnsi="Times New Roman" w:cs="Times New Roman"/>
          <w:b/>
          <w:sz w:val="28"/>
          <w:szCs w:val="28"/>
        </w:rPr>
        <w:t>Fjalori i vrojtimit të aktivitetit kreditues</w:t>
      </w:r>
    </w:p>
    <w:p w:rsidR="00DE2D1B" w:rsidRPr="00A14441" w:rsidRDefault="00DE2D1B" w:rsidP="009C1361">
      <w:pPr>
        <w:spacing w:after="240" w:line="276" w:lineRule="auto"/>
        <w:rPr>
          <w:rFonts w:ascii="Times New Roman" w:hAnsi="Times New Roman" w:cs="Times New Roman"/>
        </w:rPr>
      </w:pPr>
    </w:p>
    <w:p w:rsidR="001A6DF3" w:rsidRPr="00A14441" w:rsidRDefault="003C29D7" w:rsidP="009C1361">
      <w:pPr>
        <w:spacing w:after="240" w:line="276" w:lineRule="auto"/>
        <w:rPr>
          <w:rFonts w:ascii="Times New Roman" w:hAnsi="Times New Roman" w:cs="Times New Roman"/>
          <w:i/>
        </w:rPr>
      </w:pPr>
      <w:r w:rsidRPr="00A14441">
        <w:rPr>
          <w:rFonts w:ascii="Times New Roman" w:hAnsi="Times New Roman" w:cs="Times New Roman"/>
          <w:i/>
        </w:rPr>
        <w:t xml:space="preserve">Ky fjalor ka </w:t>
      </w:r>
      <w:r w:rsidR="006C06BF" w:rsidRPr="00A14441">
        <w:rPr>
          <w:rFonts w:ascii="Times New Roman" w:hAnsi="Times New Roman" w:cs="Times New Roman"/>
          <w:i/>
        </w:rPr>
        <w:t>për</w:t>
      </w:r>
      <w:r w:rsidRPr="00A14441">
        <w:rPr>
          <w:rFonts w:ascii="Times New Roman" w:hAnsi="Times New Roman" w:cs="Times New Roman"/>
          <w:i/>
        </w:rPr>
        <w:t xml:space="preserve"> </w:t>
      </w:r>
      <w:r w:rsidR="006C06BF" w:rsidRPr="00A14441">
        <w:rPr>
          <w:rFonts w:ascii="Times New Roman" w:hAnsi="Times New Roman" w:cs="Times New Roman"/>
          <w:i/>
        </w:rPr>
        <w:t>qëllim</w:t>
      </w:r>
      <w:r w:rsidRPr="00A14441">
        <w:rPr>
          <w:rFonts w:ascii="Times New Roman" w:hAnsi="Times New Roman" w:cs="Times New Roman"/>
          <w:i/>
        </w:rPr>
        <w:t xml:space="preserve"> </w:t>
      </w:r>
      <w:r w:rsidR="006C06BF" w:rsidRPr="00A14441">
        <w:rPr>
          <w:rFonts w:ascii="Times New Roman" w:hAnsi="Times New Roman" w:cs="Times New Roman"/>
          <w:i/>
        </w:rPr>
        <w:t>t’ju</w:t>
      </w:r>
      <w:r w:rsidRPr="00A14441">
        <w:rPr>
          <w:rFonts w:ascii="Times New Roman" w:hAnsi="Times New Roman" w:cs="Times New Roman"/>
          <w:i/>
        </w:rPr>
        <w:t xml:space="preserve"> </w:t>
      </w:r>
      <w:r w:rsidR="006C06BF" w:rsidRPr="00A14441">
        <w:rPr>
          <w:rFonts w:ascii="Times New Roman" w:hAnsi="Times New Roman" w:cs="Times New Roman"/>
          <w:i/>
        </w:rPr>
        <w:t>vijë</w:t>
      </w:r>
      <w:r w:rsidRPr="00A14441">
        <w:rPr>
          <w:rFonts w:ascii="Times New Roman" w:hAnsi="Times New Roman" w:cs="Times New Roman"/>
          <w:i/>
        </w:rPr>
        <w:t xml:space="preserve"> në ndihmë ekspertëve </w:t>
      </w:r>
      <w:r w:rsidR="003D2AC5" w:rsidRPr="00A14441">
        <w:rPr>
          <w:rFonts w:ascii="Times New Roman" w:hAnsi="Times New Roman" w:cs="Times New Roman"/>
          <w:i/>
        </w:rPr>
        <w:t xml:space="preserve">të bankave që angazhohen me </w:t>
      </w:r>
      <w:r w:rsidR="00DE2D1B" w:rsidRPr="00A14441">
        <w:rPr>
          <w:rFonts w:ascii="Times New Roman" w:hAnsi="Times New Roman" w:cs="Times New Roman"/>
          <w:i/>
        </w:rPr>
        <w:t>plotësimin e pyetësorit</w:t>
      </w:r>
      <w:r w:rsidRPr="00A14441">
        <w:rPr>
          <w:rFonts w:ascii="Times New Roman" w:hAnsi="Times New Roman" w:cs="Times New Roman"/>
          <w:i/>
        </w:rPr>
        <w:t xml:space="preserve"> për aktivitetin kreditues</w:t>
      </w:r>
      <w:r w:rsidR="001D4A1C" w:rsidRPr="00A14441">
        <w:rPr>
          <w:rFonts w:ascii="Times New Roman" w:hAnsi="Times New Roman" w:cs="Times New Roman"/>
          <w:i/>
        </w:rPr>
        <w:t xml:space="preserve">. </w:t>
      </w:r>
      <w:r w:rsidR="00872E35" w:rsidRPr="00A14441">
        <w:rPr>
          <w:rFonts w:ascii="Times New Roman" w:hAnsi="Times New Roman" w:cs="Times New Roman"/>
          <w:i/>
        </w:rPr>
        <w:t>Ai përmban terminologjinë bazë të përdorur në vrojtimin e aktivitetit</w:t>
      </w:r>
      <w:r w:rsidRPr="00A14441">
        <w:rPr>
          <w:rFonts w:ascii="Times New Roman" w:hAnsi="Times New Roman" w:cs="Times New Roman"/>
          <w:i/>
        </w:rPr>
        <w:t xml:space="preserve"> kreditues </w:t>
      </w:r>
      <w:r w:rsidR="009124C4" w:rsidRPr="00A14441">
        <w:rPr>
          <w:rFonts w:ascii="Times New Roman" w:hAnsi="Times New Roman" w:cs="Times New Roman"/>
          <w:i/>
        </w:rPr>
        <w:t>të</w:t>
      </w:r>
      <w:r w:rsidRPr="00A14441">
        <w:rPr>
          <w:rFonts w:ascii="Times New Roman" w:hAnsi="Times New Roman" w:cs="Times New Roman"/>
          <w:i/>
        </w:rPr>
        <w:t xml:space="preserve"> </w:t>
      </w:r>
      <w:r w:rsidR="00F773FF" w:rsidRPr="00A14441">
        <w:rPr>
          <w:rFonts w:ascii="Times New Roman" w:hAnsi="Times New Roman" w:cs="Times New Roman"/>
          <w:i/>
        </w:rPr>
        <w:t xml:space="preserve">Bankës </w:t>
      </w:r>
      <w:r w:rsidR="006C06BF" w:rsidRPr="00A14441">
        <w:rPr>
          <w:rFonts w:ascii="Times New Roman" w:hAnsi="Times New Roman" w:cs="Times New Roman"/>
          <w:i/>
        </w:rPr>
        <w:t>së</w:t>
      </w:r>
      <w:r w:rsidRPr="00A14441">
        <w:rPr>
          <w:rFonts w:ascii="Times New Roman" w:hAnsi="Times New Roman" w:cs="Times New Roman"/>
          <w:i/>
        </w:rPr>
        <w:t xml:space="preserve"> </w:t>
      </w:r>
      <w:r w:rsidR="006C06BF" w:rsidRPr="00A14441">
        <w:rPr>
          <w:rFonts w:ascii="Times New Roman" w:hAnsi="Times New Roman" w:cs="Times New Roman"/>
          <w:i/>
        </w:rPr>
        <w:t>Shqipërisë</w:t>
      </w:r>
      <w:r w:rsidR="00872E35" w:rsidRPr="00A14441">
        <w:rPr>
          <w:rFonts w:ascii="Times New Roman" w:hAnsi="Times New Roman" w:cs="Times New Roman"/>
          <w:i/>
        </w:rPr>
        <w:t>, rishikuar</w:t>
      </w:r>
      <w:r w:rsidR="006C06BF" w:rsidRPr="00A14441">
        <w:rPr>
          <w:rFonts w:ascii="Times New Roman" w:hAnsi="Times New Roman" w:cs="Times New Roman"/>
          <w:i/>
        </w:rPr>
        <w:t xml:space="preserve"> </w:t>
      </w:r>
      <w:r w:rsidRPr="00A14441">
        <w:rPr>
          <w:rFonts w:ascii="Times New Roman" w:hAnsi="Times New Roman" w:cs="Times New Roman"/>
          <w:i/>
        </w:rPr>
        <w:t>n</w:t>
      </w:r>
      <w:r w:rsidR="006C06BF" w:rsidRPr="00A14441">
        <w:rPr>
          <w:rFonts w:ascii="Times New Roman" w:hAnsi="Times New Roman" w:cs="Times New Roman"/>
          <w:i/>
        </w:rPr>
        <w:t>ë</w:t>
      </w:r>
      <w:r w:rsidRPr="00A14441">
        <w:rPr>
          <w:rFonts w:ascii="Times New Roman" w:hAnsi="Times New Roman" w:cs="Times New Roman"/>
          <w:i/>
        </w:rPr>
        <w:t xml:space="preserve"> </w:t>
      </w:r>
      <w:r w:rsidR="00872E35" w:rsidRPr="00A14441">
        <w:rPr>
          <w:rFonts w:ascii="Times New Roman" w:hAnsi="Times New Roman" w:cs="Times New Roman"/>
          <w:i/>
        </w:rPr>
        <w:t xml:space="preserve">muajin </w:t>
      </w:r>
      <w:r w:rsidR="00102892" w:rsidRPr="00A14441">
        <w:rPr>
          <w:rFonts w:ascii="Times New Roman" w:hAnsi="Times New Roman" w:cs="Times New Roman"/>
          <w:i/>
        </w:rPr>
        <w:t xml:space="preserve">maj </w:t>
      </w:r>
      <w:r w:rsidRPr="00A14441">
        <w:rPr>
          <w:rFonts w:ascii="Times New Roman" w:hAnsi="Times New Roman" w:cs="Times New Roman"/>
          <w:i/>
        </w:rPr>
        <w:t>t</w:t>
      </w:r>
      <w:r w:rsidR="006C06BF" w:rsidRPr="00A14441">
        <w:rPr>
          <w:rFonts w:ascii="Times New Roman" w:hAnsi="Times New Roman" w:cs="Times New Roman"/>
          <w:i/>
        </w:rPr>
        <w:t>ë</w:t>
      </w:r>
      <w:r w:rsidRPr="00A14441">
        <w:rPr>
          <w:rFonts w:ascii="Times New Roman" w:hAnsi="Times New Roman" w:cs="Times New Roman"/>
          <w:i/>
        </w:rPr>
        <w:t xml:space="preserve"> </w:t>
      </w:r>
      <w:r w:rsidR="00872E35" w:rsidRPr="00A14441">
        <w:rPr>
          <w:rFonts w:ascii="Times New Roman" w:hAnsi="Times New Roman" w:cs="Times New Roman"/>
          <w:i/>
        </w:rPr>
        <w:t xml:space="preserve">vitit </w:t>
      </w:r>
      <w:r w:rsidRPr="00A14441">
        <w:rPr>
          <w:rFonts w:ascii="Times New Roman" w:hAnsi="Times New Roman" w:cs="Times New Roman"/>
          <w:i/>
        </w:rPr>
        <w:t>2018</w:t>
      </w:r>
      <w:r w:rsidR="003D2AC5" w:rsidRPr="00A14441">
        <w:rPr>
          <w:rFonts w:ascii="Times New Roman" w:hAnsi="Times New Roman" w:cs="Times New Roman"/>
          <w:i/>
        </w:rPr>
        <w:t>.</w:t>
      </w:r>
      <w:r w:rsidRPr="00A14441">
        <w:rPr>
          <w:rFonts w:ascii="Times New Roman" w:hAnsi="Times New Roman" w:cs="Times New Roman"/>
          <w:i/>
        </w:rPr>
        <w:t xml:space="preserve"> </w:t>
      </w:r>
    </w:p>
    <w:p w:rsidR="0049439D" w:rsidRPr="00A14441" w:rsidRDefault="0049439D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Besimi konsumator</w:t>
      </w:r>
      <w:r w:rsidR="00267B84" w:rsidRPr="00A14441">
        <w:rPr>
          <w:rFonts w:ascii="Times New Roman" w:eastAsiaTheme="minorHAnsi" w:hAnsi="Times New Roman" w:cs="Times New Roman"/>
          <w:b/>
          <w:sz w:val="22"/>
          <w:szCs w:val="22"/>
        </w:rPr>
        <w:t>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Ky </w:t>
      </w:r>
      <w:r w:rsidR="005B62CE" w:rsidRPr="00A14441">
        <w:rPr>
          <w:rFonts w:ascii="Times New Roman" w:eastAsiaTheme="minorHAnsi" w:hAnsi="Times New Roman" w:cs="Times New Roman"/>
          <w:sz w:val="22"/>
          <w:szCs w:val="22"/>
        </w:rPr>
        <w:t>tregues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bazohet në </w:t>
      </w:r>
      <w:r w:rsidR="00667737" w:rsidRPr="00A14441">
        <w:rPr>
          <w:rFonts w:ascii="Times New Roman" w:eastAsiaTheme="minorHAnsi" w:hAnsi="Times New Roman" w:cs="Times New Roman"/>
          <w:sz w:val="22"/>
          <w:szCs w:val="22"/>
        </w:rPr>
        <w:t xml:space="preserve">perceptimin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e individëve </w:t>
      </w:r>
      <w:r w:rsidR="00667737" w:rsidRPr="00A14441">
        <w:rPr>
          <w:rFonts w:ascii="Times New Roman" w:eastAsiaTheme="minorHAnsi" w:hAnsi="Times New Roman" w:cs="Times New Roman"/>
          <w:sz w:val="22"/>
          <w:szCs w:val="22"/>
        </w:rPr>
        <w:t>mbi s</w:t>
      </w:r>
      <w:r w:rsidR="004B48A8" w:rsidRPr="00A14441">
        <w:rPr>
          <w:rFonts w:ascii="Times New Roman" w:eastAsiaTheme="minorHAnsi" w:hAnsi="Times New Roman" w:cs="Times New Roman"/>
          <w:sz w:val="22"/>
          <w:szCs w:val="22"/>
        </w:rPr>
        <w:t>ituatën aktuale dhe atë të pritur</w:t>
      </w:r>
      <w:r w:rsidR="00667737" w:rsidRPr="00A14441">
        <w:rPr>
          <w:rFonts w:ascii="Times New Roman" w:eastAsiaTheme="minorHAnsi" w:hAnsi="Times New Roman" w:cs="Times New Roman"/>
          <w:sz w:val="22"/>
          <w:szCs w:val="22"/>
        </w:rPr>
        <w:t xml:space="preserve"> të treguesve kryesorë ekonomikë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dhe </w:t>
      </w:r>
      <w:r w:rsidR="00667737" w:rsidRPr="00A14441">
        <w:rPr>
          <w:rFonts w:ascii="Times New Roman" w:eastAsiaTheme="minorHAnsi" w:hAnsi="Times New Roman" w:cs="Times New Roman"/>
          <w:sz w:val="22"/>
          <w:szCs w:val="22"/>
        </w:rPr>
        <w:t>financiarë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267B84" w:rsidRPr="00A14441">
        <w:rPr>
          <w:rFonts w:ascii="Times New Roman" w:eastAsiaTheme="minorHAnsi" w:hAnsi="Times New Roman" w:cs="Times New Roman"/>
          <w:sz w:val="22"/>
          <w:szCs w:val="22"/>
        </w:rPr>
        <w:t xml:space="preserve">Besimi konsumator është një kombinim i vlerësimeve mbi të shkuarën, të tashmen dhe të ardhmen e </w:t>
      </w:r>
      <w:r w:rsidR="003118A5" w:rsidRPr="00A14441">
        <w:rPr>
          <w:rFonts w:ascii="Times New Roman" w:eastAsiaTheme="minorHAnsi" w:hAnsi="Times New Roman" w:cs="Times New Roman"/>
          <w:sz w:val="22"/>
          <w:szCs w:val="22"/>
        </w:rPr>
        <w:t>gjendjes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financiare të individëve</w:t>
      </w:r>
      <w:r w:rsidR="00984EEB" w:rsidRPr="00A14441">
        <w:rPr>
          <w:rFonts w:ascii="Times New Roman" w:eastAsiaTheme="minorHAnsi" w:hAnsi="Times New Roman" w:cs="Times New Roman"/>
          <w:sz w:val="22"/>
          <w:szCs w:val="22"/>
        </w:rPr>
        <w:t>,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3118A5" w:rsidRPr="00A14441">
        <w:rPr>
          <w:rFonts w:ascii="Times New Roman" w:eastAsiaTheme="minorHAnsi" w:hAnsi="Times New Roman" w:cs="Times New Roman"/>
          <w:sz w:val="22"/>
          <w:szCs w:val="22"/>
        </w:rPr>
        <w:t xml:space="preserve">bazuar në gjykimet e tyre mbi situatën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ekonomik</w:t>
      </w:r>
      <w:r w:rsidR="003118A5" w:rsidRPr="00A14441">
        <w:rPr>
          <w:rFonts w:ascii="Times New Roman" w:eastAsiaTheme="minorHAnsi" w:hAnsi="Times New Roman" w:cs="Times New Roman"/>
          <w:sz w:val="22"/>
          <w:szCs w:val="22"/>
        </w:rPr>
        <w:t>o – politike</w:t>
      </w:r>
      <w:r w:rsidR="008342E1" w:rsidRPr="00A14441">
        <w:rPr>
          <w:rFonts w:ascii="Times New Roman" w:eastAsiaTheme="minorHAnsi" w:hAnsi="Times New Roman" w:cs="Times New Roman"/>
          <w:sz w:val="22"/>
          <w:szCs w:val="22"/>
        </w:rPr>
        <w:t xml:space="preserve">. Këto vlerësime i shërbejnë atyre </w:t>
      </w:r>
      <w:r w:rsidR="00A86C30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 marrjen </w:t>
      </w:r>
      <w:r w:rsidR="008342E1" w:rsidRPr="00A14441">
        <w:rPr>
          <w:rFonts w:ascii="Times New Roman" w:eastAsiaTheme="minorHAnsi" w:hAnsi="Times New Roman" w:cs="Times New Roman"/>
          <w:sz w:val="22"/>
          <w:szCs w:val="22"/>
        </w:rPr>
        <w:t xml:space="preserve">e vendimeve lidhur me kryerjen </w:t>
      </w:r>
      <w:r w:rsidR="00A86C30" w:rsidRPr="00A14441">
        <w:rPr>
          <w:rFonts w:ascii="Times New Roman" w:eastAsiaTheme="minorHAnsi" w:hAnsi="Times New Roman" w:cs="Times New Roman"/>
          <w:sz w:val="22"/>
          <w:szCs w:val="22"/>
        </w:rPr>
        <w:t xml:space="preserve">e </w:t>
      </w:r>
      <w:r w:rsidR="008342E1" w:rsidRPr="00A14441">
        <w:rPr>
          <w:rFonts w:ascii="Times New Roman" w:eastAsiaTheme="minorHAnsi" w:hAnsi="Times New Roman" w:cs="Times New Roman"/>
          <w:sz w:val="22"/>
          <w:szCs w:val="22"/>
        </w:rPr>
        <w:t xml:space="preserve">investimeve rezidenciale dhe </w:t>
      </w:r>
      <w:r w:rsidR="00E75CAC" w:rsidRPr="00A14441">
        <w:rPr>
          <w:rFonts w:ascii="Times New Roman" w:eastAsiaTheme="minorHAnsi" w:hAnsi="Times New Roman" w:cs="Times New Roman"/>
          <w:sz w:val="22"/>
          <w:szCs w:val="22"/>
        </w:rPr>
        <w:t>blerjen e</w:t>
      </w:r>
      <w:r w:rsidR="008342E1" w:rsidRPr="00A14441">
        <w:rPr>
          <w:rFonts w:ascii="Times New Roman" w:eastAsiaTheme="minorHAnsi" w:hAnsi="Times New Roman" w:cs="Times New Roman"/>
          <w:sz w:val="22"/>
          <w:szCs w:val="22"/>
        </w:rPr>
        <w:t xml:space="preserve"> mallrave të konsumit afatgjatë</w:t>
      </w:r>
      <w:r w:rsidR="0058121F"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863501">
        <w:rPr>
          <w:rFonts w:ascii="Times New Roman" w:eastAsiaTheme="minorHAnsi" w:hAnsi="Times New Roman" w:cs="Times New Roman"/>
          <w:sz w:val="22"/>
          <w:szCs w:val="22"/>
        </w:rPr>
        <w:t>T</w:t>
      </w:r>
      <w:r w:rsidR="00B02FA3" w:rsidRPr="00A14441">
        <w:rPr>
          <w:rFonts w:ascii="Times New Roman" w:eastAsiaTheme="minorHAnsi" w:hAnsi="Times New Roman" w:cs="Times New Roman"/>
          <w:sz w:val="22"/>
          <w:szCs w:val="22"/>
        </w:rPr>
        <w:t>eorikisht</w:t>
      </w:r>
      <w:r w:rsidR="00863501">
        <w:rPr>
          <w:rFonts w:ascii="Times New Roman" w:eastAsiaTheme="minorHAnsi" w:hAnsi="Times New Roman" w:cs="Times New Roman"/>
          <w:sz w:val="22"/>
          <w:szCs w:val="22"/>
        </w:rPr>
        <w:t>,</w:t>
      </w:r>
      <w:r w:rsidR="00B02FA3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8121F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përmirësimi </w:t>
      </w:r>
      <w:r w:rsidR="00B02FA3" w:rsidRPr="00A14441">
        <w:rPr>
          <w:rFonts w:ascii="Times New Roman" w:eastAsiaTheme="minorHAnsi" w:hAnsi="Times New Roman" w:cs="Times New Roman"/>
          <w:sz w:val="22"/>
          <w:szCs w:val="22"/>
        </w:rPr>
        <w:t>i besimit</w:t>
      </w:r>
      <w:r w:rsidR="0058121F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konsumator</w:t>
      </w:r>
      <w:r w:rsidR="0058121F" w:rsidRPr="00A14441">
        <w:rPr>
          <w:rFonts w:ascii="Times New Roman" w:eastAsiaTheme="minorHAnsi" w:hAnsi="Times New Roman" w:cs="Times New Roman"/>
          <w:sz w:val="22"/>
          <w:szCs w:val="22"/>
        </w:rPr>
        <w:t xml:space="preserve"> shoqërohet me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rritje</w:t>
      </w:r>
      <w:r w:rsidR="0058121F" w:rsidRPr="00A14441">
        <w:rPr>
          <w:rFonts w:ascii="Times New Roman" w:eastAsiaTheme="minorHAnsi" w:hAnsi="Times New Roman" w:cs="Times New Roman"/>
          <w:sz w:val="22"/>
          <w:szCs w:val="22"/>
        </w:rPr>
        <w:t xml:space="preserve"> të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kërkesës për kredi.</w:t>
      </w:r>
    </w:p>
    <w:p w:rsidR="007D6077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Bizneset.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73A82" w:rsidRPr="00A14441">
        <w:rPr>
          <w:rFonts w:ascii="Times New Roman" w:eastAsiaTheme="minorHAnsi" w:hAnsi="Times New Roman" w:cs="Times New Roman"/>
          <w:sz w:val="22"/>
          <w:szCs w:val="22"/>
        </w:rPr>
        <w:t xml:space="preserve">Sipas Ligjit nr. 8957, dt. 17.10.2002, i ndryshuar, “Për ndërmarrjet e vogla dhe të mesme”, si biznes apo ndërmarrje emërtohen të gjitha subjektet që ushtrojnë një veprimtari ekonomike (prodhim, shitje mallrash e shërbimesh), pavarësisht formës së tyre ligjore.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Në këtë kontekst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bizneset 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përfaqësojnë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korporata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>t</w:t>
      </w:r>
      <w:r w:rsidR="00860F15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E75CAC" w:rsidRPr="00A14441">
        <w:rPr>
          <w:rFonts w:ascii="Times New Roman" w:eastAsiaTheme="minorHAnsi" w:hAnsi="Times New Roman" w:cs="Times New Roman"/>
          <w:sz w:val="22"/>
          <w:szCs w:val="22"/>
        </w:rPr>
        <w:t>dhe</w:t>
      </w:r>
      <w:r w:rsidR="00860F15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>ndërmarrjet e</w:t>
      </w:r>
      <w:r w:rsidR="00860F15" w:rsidRPr="00A14441">
        <w:rPr>
          <w:rFonts w:ascii="Times New Roman" w:eastAsiaTheme="minorHAnsi" w:hAnsi="Times New Roman" w:cs="Times New Roman"/>
          <w:sz w:val="22"/>
          <w:szCs w:val="22"/>
        </w:rPr>
        <w:t xml:space="preserve"> vogla </w:t>
      </w:r>
      <w:r w:rsidR="00E75CAC" w:rsidRPr="00A14441">
        <w:rPr>
          <w:rFonts w:ascii="Times New Roman" w:eastAsiaTheme="minorHAnsi" w:hAnsi="Times New Roman" w:cs="Times New Roman"/>
          <w:sz w:val="22"/>
          <w:szCs w:val="22"/>
        </w:rPr>
        <w:t>e</w:t>
      </w:r>
      <w:r w:rsidR="00860F15" w:rsidRPr="00A14441">
        <w:rPr>
          <w:rFonts w:ascii="Times New Roman" w:eastAsiaTheme="minorHAnsi" w:hAnsi="Times New Roman" w:cs="Times New Roman"/>
          <w:sz w:val="22"/>
          <w:szCs w:val="22"/>
        </w:rPr>
        <w:t xml:space="preserve"> të mesme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E75CAC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8F1A74" w:rsidRPr="00A14441">
        <w:rPr>
          <w:rFonts w:ascii="Times New Roman" w:eastAsiaTheme="minorHAnsi" w:hAnsi="Times New Roman" w:cs="Times New Roman"/>
          <w:sz w:val="22"/>
          <w:szCs w:val="22"/>
        </w:rPr>
        <w:t>ë këtë kategori</w:t>
      </w:r>
      <w:r w:rsidR="00E75CAC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përfshihen </w:t>
      </w:r>
      <w:r w:rsidR="008F1A74" w:rsidRPr="00A14441">
        <w:rPr>
          <w:rFonts w:ascii="Times New Roman" w:eastAsiaTheme="minorHAnsi" w:hAnsi="Times New Roman" w:cs="Times New Roman"/>
          <w:sz w:val="22"/>
          <w:szCs w:val="22"/>
        </w:rPr>
        <w:t>edhe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 personat e vetëpunësuar, bizneset f</w:t>
      </w:r>
      <w:r w:rsidR="00005F64" w:rsidRPr="00A14441">
        <w:rPr>
          <w:rFonts w:ascii="Times New Roman" w:eastAsiaTheme="minorHAnsi" w:hAnsi="Times New Roman" w:cs="Times New Roman"/>
          <w:sz w:val="22"/>
          <w:szCs w:val="22"/>
        </w:rPr>
        <w:t xml:space="preserve">amiljare, që merren me 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>artizanat</w:t>
      </w:r>
      <w:r w:rsidR="00005F6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apo 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 xml:space="preserve">veprimtari 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>të tjera, si edhe shoqëritë e shoqatat që kryejnë në mënyrë të rregullt veprimtari ekonomike</w:t>
      </w:r>
      <w:r w:rsidR="00B02FA3" w:rsidRPr="00A14441">
        <w:rPr>
          <w:rFonts w:ascii="Times New Roman" w:eastAsiaTheme="minorHAnsi" w:hAnsi="Times New Roman" w:cs="Times New Roman"/>
          <w:sz w:val="22"/>
          <w:szCs w:val="22"/>
        </w:rPr>
        <w:t>. Në plotësimin e pyetësorit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 nuk 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>duhen konsideruar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 ndërmarrjet shtetërore</w:t>
      </w:r>
      <w:r w:rsidR="00B02FA3" w:rsidRPr="00A14441">
        <w:rPr>
          <w:rFonts w:ascii="Times New Roman" w:eastAsiaTheme="minorHAnsi" w:hAnsi="Times New Roman" w:cs="Times New Roman"/>
          <w:sz w:val="22"/>
          <w:szCs w:val="22"/>
        </w:rPr>
        <w:t>,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 xml:space="preserve"> si 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>e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>dhe bizneset jo</w:t>
      </w:r>
      <w:r w:rsidR="00D62810" w:rsidRPr="00A14441">
        <w:rPr>
          <w:rFonts w:ascii="Times New Roman" w:eastAsiaTheme="minorHAnsi" w:hAnsi="Times New Roman" w:cs="Times New Roman"/>
          <w:sz w:val="22"/>
          <w:szCs w:val="22"/>
        </w:rPr>
        <w:t>-</w:t>
      </w:r>
      <w:r w:rsidR="007D6077" w:rsidRPr="00A14441">
        <w:rPr>
          <w:rFonts w:ascii="Times New Roman" w:eastAsiaTheme="minorHAnsi" w:hAnsi="Times New Roman" w:cs="Times New Roman"/>
          <w:sz w:val="22"/>
          <w:szCs w:val="22"/>
        </w:rPr>
        <w:t>rezidente</w:t>
      </w:r>
      <w:r w:rsidR="000F78CA"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</w:p>
    <w:p w:rsidR="004A745C" w:rsidRPr="00A14441" w:rsidRDefault="004A745C" w:rsidP="009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 w:cs="Times New Roman"/>
        </w:rPr>
      </w:pPr>
      <w:r w:rsidRPr="00A14441">
        <w:rPr>
          <w:rFonts w:ascii="Times New Roman" w:hAnsi="Times New Roman" w:cs="Times New Roman"/>
          <w:b/>
        </w:rPr>
        <w:t>Fushatat e marketingut</w:t>
      </w:r>
      <w:r w:rsidRPr="00A14441">
        <w:rPr>
          <w:rFonts w:ascii="Times New Roman" w:hAnsi="Times New Roman" w:cs="Times New Roman"/>
        </w:rPr>
        <w:t xml:space="preserve">. </w:t>
      </w:r>
      <w:r w:rsidR="00D62810" w:rsidRPr="00A14441">
        <w:rPr>
          <w:rFonts w:ascii="Times New Roman" w:hAnsi="Times New Roman" w:cs="Times New Roman"/>
        </w:rPr>
        <w:t xml:space="preserve">Ky </w:t>
      </w:r>
      <w:r w:rsidR="00CA0FAF" w:rsidRPr="00A14441">
        <w:rPr>
          <w:rFonts w:ascii="Times New Roman" w:hAnsi="Times New Roman" w:cs="Times New Roman"/>
        </w:rPr>
        <w:t>tregues është një prej faktorëve</w:t>
      </w:r>
      <w:r w:rsidR="00860F15" w:rsidRPr="00A14441">
        <w:rPr>
          <w:rFonts w:ascii="Times New Roman" w:hAnsi="Times New Roman" w:cs="Times New Roman"/>
        </w:rPr>
        <w:t xml:space="preserve"> që ndiko</w:t>
      </w:r>
      <w:r w:rsidR="00CA0FAF" w:rsidRPr="00A14441">
        <w:rPr>
          <w:rFonts w:ascii="Times New Roman" w:hAnsi="Times New Roman" w:cs="Times New Roman"/>
        </w:rPr>
        <w:t xml:space="preserve">n si </w:t>
      </w:r>
      <w:r w:rsidR="00860F15" w:rsidRPr="00A14441">
        <w:rPr>
          <w:rFonts w:ascii="Times New Roman" w:hAnsi="Times New Roman" w:cs="Times New Roman"/>
        </w:rPr>
        <w:t xml:space="preserve">kërkesën </w:t>
      </w:r>
      <w:r w:rsidR="00CA0FAF" w:rsidRPr="00A14441">
        <w:rPr>
          <w:rFonts w:ascii="Times New Roman" w:hAnsi="Times New Roman" w:cs="Times New Roman"/>
        </w:rPr>
        <w:t xml:space="preserve">ashtu edhe ofertën e </w:t>
      </w:r>
      <w:r w:rsidR="00860F15" w:rsidRPr="00A14441">
        <w:rPr>
          <w:rFonts w:ascii="Times New Roman" w:hAnsi="Times New Roman" w:cs="Times New Roman"/>
        </w:rPr>
        <w:t>kredi</w:t>
      </w:r>
      <w:r w:rsidR="00CA0FAF" w:rsidRPr="00A14441">
        <w:rPr>
          <w:rFonts w:ascii="Times New Roman" w:hAnsi="Times New Roman" w:cs="Times New Roman"/>
        </w:rPr>
        <w:t>së.</w:t>
      </w:r>
      <w:r w:rsidR="00860F15" w:rsidRPr="00A14441">
        <w:rPr>
          <w:rFonts w:ascii="Times New Roman" w:hAnsi="Times New Roman" w:cs="Times New Roman"/>
        </w:rPr>
        <w:t xml:space="preserve"> </w:t>
      </w:r>
      <w:r w:rsidRPr="00A14441">
        <w:rPr>
          <w:rFonts w:ascii="Times New Roman" w:hAnsi="Times New Roman" w:cs="Times New Roman"/>
        </w:rPr>
        <w:t>Fushatat e marketingut duhet të int</w:t>
      </w:r>
      <w:r w:rsidR="00CA0FAF" w:rsidRPr="00A14441">
        <w:rPr>
          <w:rFonts w:ascii="Times New Roman" w:hAnsi="Times New Roman" w:cs="Times New Roman"/>
        </w:rPr>
        <w:t>erpretohen si faktor që ndikon</w:t>
      </w:r>
      <w:r w:rsidRPr="00A14441">
        <w:rPr>
          <w:rFonts w:ascii="Times New Roman" w:hAnsi="Times New Roman" w:cs="Times New Roman"/>
        </w:rPr>
        <w:t xml:space="preserve"> në ofertën e kredisë vetëm </w:t>
      </w:r>
      <w:r w:rsidR="00CA0FAF" w:rsidRPr="00A14441">
        <w:rPr>
          <w:rFonts w:ascii="Times New Roman" w:hAnsi="Times New Roman" w:cs="Times New Roman"/>
        </w:rPr>
        <w:t xml:space="preserve">në rastet </w:t>
      </w:r>
      <w:r w:rsidRPr="00A14441">
        <w:rPr>
          <w:rFonts w:ascii="Times New Roman" w:hAnsi="Times New Roman" w:cs="Times New Roman"/>
        </w:rPr>
        <w:t>kur ndryshojnë standardet ose kushtet e kredisë</w:t>
      </w:r>
      <w:r w:rsidR="00CA0FAF" w:rsidRPr="00A14441">
        <w:rPr>
          <w:rFonts w:ascii="Times New Roman" w:hAnsi="Times New Roman" w:cs="Times New Roman"/>
        </w:rPr>
        <w:t xml:space="preserve">. </w:t>
      </w:r>
      <w:r w:rsidR="00B02FA3" w:rsidRPr="00A14441">
        <w:rPr>
          <w:rFonts w:ascii="Times New Roman" w:hAnsi="Times New Roman" w:cs="Times New Roman"/>
        </w:rPr>
        <w:t>Në rastet e tjer</w:t>
      </w:r>
      <w:r w:rsidR="00B02FA3" w:rsidRPr="00A14441">
        <w:rPr>
          <w:rFonts w:ascii="Times New Roman" w:hAnsi="Times New Roman" w:cs="Times New Roman"/>
        </w:rPr>
        <w:t>a</w:t>
      </w:r>
      <w:r w:rsidR="00B02FA3" w:rsidRPr="00A14441">
        <w:rPr>
          <w:rFonts w:ascii="Times New Roman" w:hAnsi="Times New Roman" w:cs="Times New Roman"/>
        </w:rPr>
        <w:t xml:space="preserve"> (</w:t>
      </w:r>
      <w:r w:rsidR="00B02FA3" w:rsidRPr="00A14441">
        <w:rPr>
          <w:rFonts w:ascii="Times New Roman" w:hAnsi="Times New Roman" w:cs="Times New Roman"/>
        </w:rPr>
        <w:t xml:space="preserve">kur nuk ndryshohen standardet apo kushtet e termat e kredisë </w:t>
      </w:r>
      <w:r w:rsidR="00B02FA3" w:rsidRPr="00A14441">
        <w:rPr>
          <w:rFonts w:ascii="Times New Roman" w:hAnsi="Times New Roman" w:cs="Times New Roman"/>
        </w:rPr>
        <w:t xml:space="preserve">nëpërmjet fushatave të marketingut) ky </w:t>
      </w:r>
      <w:r w:rsidR="00863501">
        <w:rPr>
          <w:rFonts w:ascii="Times New Roman" w:hAnsi="Times New Roman" w:cs="Times New Roman"/>
        </w:rPr>
        <w:t>t</w:t>
      </w:r>
      <w:r w:rsidR="00B02FA3" w:rsidRPr="00A14441">
        <w:rPr>
          <w:rFonts w:ascii="Times New Roman" w:hAnsi="Times New Roman" w:cs="Times New Roman"/>
        </w:rPr>
        <w:t>r</w:t>
      </w:r>
      <w:r w:rsidR="00863501">
        <w:rPr>
          <w:rFonts w:ascii="Times New Roman" w:hAnsi="Times New Roman" w:cs="Times New Roman"/>
        </w:rPr>
        <w:t>egues</w:t>
      </w:r>
      <w:r w:rsidR="00B02FA3" w:rsidRPr="00A14441">
        <w:rPr>
          <w:rFonts w:ascii="Times New Roman" w:hAnsi="Times New Roman" w:cs="Times New Roman"/>
        </w:rPr>
        <w:t xml:space="preserve"> grupohet mes faktorëve </w:t>
      </w:r>
      <w:r w:rsidRPr="00A14441">
        <w:rPr>
          <w:rFonts w:ascii="Times New Roman" w:hAnsi="Times New Roman" w:cs="Times New Roman"/>
        </w:rPr>
        <w:t xml:space="preserve">me ndikim në kërkesën për kredi. </w:t>
      </w:r>
      <w:r w:rsidR="00863501">
        <w:rPr>
          <w:rFonts w:ascii="Times New Roman" w:hAnsi="Times New Roman" w:cs="Times New Roman"/>
        </w:rPr>
        <w:t>Në të tilla raste</w:t>
      </w:r>
      <w:r w:rsidR="00B02FA3" w:rsidRPr="00A14441">
        <w:rPr>
          <w:rFonts w:ascii="Times New Roman" w:hAnsi="Times New Roman" w:cs="Times New Roman"/>
        </w:rPr>
        <w:t>,</w:t>
      </w:r>
      <w:r w:rsidRPr="00A14441">
        <w:rPr>
          <w:rFonts w:ascii="Times New Roman" w:hAnsi="Times New Roman" w:cs="Times New Roman"/>
        </w:rPr>
        <w:t xml:space="preserve"> të intervistuarit duhet të </w:t>
      </w:r>
      <w:r w:rsidR="00CA0FAF" w:rsidRPr="00A14441">
        <w:rPr>
          <w:rFonts w:ascii="Times New Roman" w:hAnsi="Times New Roman" w:cs="Times New Roman"/>
        </w:rPr>
        <w:t>rendisin në kategorinë</w:t>
      </w:r>
      <w:r w:rsidRPr="00A14441">
        <w:rPr>
          <w:rFonts w:ascii="Times New Roman" w:hAnsi="Times New Roman" w:cs="Times New Roman"/>
        </w:rPr>
        <w:t xml:space="preserve"> "</w:t>
      </w:r>
      <w:r w:rsidR="00E05E39" w:rsidRPr="00A14441">
        <w:rPr>
          <w:rFonts w:ascii="Times New Roman" w:hAnsi="Times New Roman" w:cs="Times New Roman"/>
        </w:rPr>
        <w:t xml:space="preserve">Faktorë të tjerë" </w:t>
      </w:r>
      <w:r w:rsidR="00CA0FAF" w:rsidRPr="00A14441">
        <w:rPr>
          <w:rFonts w:ascii="Times New Roman" w:hAnsi="Times New Roman" w:cs="Times New Roman"/>
        </w:rPr>
        <w:t xml:space="preserve">fushatat e marketingut të ndërmarra prej tyre, përkatësisht </w:t>
      </w:r>
      <w:r w:rsidR="00E05E39" w:rsidRPr="00A14441">
        <w:rPr>
          <w:rFonts w:ascii="Times New Roman" w:hAnsi="Times New Roman" w:cs="Times New Roman"/>
        </w:rPr>
        <w:t>në pyetjet 6</w:t>
      </w:r>
      <w:r w:rsidRPr="00A14441">
        <w:rPr>
          <w:rFonts w:ascii="Times New Roman" w:hAnsi="Times New Roman" w:cs="Times New Roman"/>
        </w:rPr>
        <w:t xml:space="preserve"> dhe 12</w:t>
      </w:r>
      <w:r w:rsidR="00CA0FAF" w:rsidRPr="00A14441">
        <w:rPr>
          <w:rFonts w:ascii="Times New Roman" w:hAnsi="Times New Roman" w:cs="Times New Roman"/>
        </w:rPr>
        <w:t xml:space="preserve">, të cilat evidentojnë </w:t>
      </w:r>
      <w:r w:rsidRPr="00A14441">
        <w:rPr>
          <w:rFonts w:ascii="Times New Roman" w:hAnsi="Times New Roman" w:cs="Times New Roman"/>
        </w:rPr>
        <w:t>faktorët që ndikojnë në kërkesën për kredi</w:t>
      </w:r>
      <w:r w:rsidR="00CA0FAF" w:rsidRPr="00A14441">
        <w:rPr>
          <w:rFonts w:ascii="Times New Roman" w:hAnsi="Times New Roman" w:cs="Times New Roman"/>
        </w:rPr>
        <w:t xml:space="preserve"> për bizneset dhe individët</w:t>
      </w:r>
      <w:r w:rsidRPr="00A14441">
        <w:rPr>
          <w:rFonts w:ascii="Times New Roman" w:hAnsi="Times New Roman" w:cs="Times New Roman"/>
        </w:rPr>
        <w:t>.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Individët/</w:t>
      </w:r>
      <w:r w:rsidR="008D1911"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konsumatorët. </w:t>
      </w:r>
      <w:r w:rsidR="008D1911" w:rsidRPr="00A14441">
        <w:rPr>
          <w:rFonts w:ascii="Times New Roman" w:eastAsiaTheme="minorHAnsi" w:hAnsi="Times New Roman" w:cs="Times New Roman"/>
          <w:sz w:val="22"/>
          <w:szCs w:val="22"/>
        </w:rPr>
        <w:t>Bazuar në</w:t>
      </w:r>
      <w:r w:rsidR="00A238E0" w:rsidRPr="00A14441">
        <w:rPr>
          <w:rFonts w:ascii="Times New Roman" w:eastAsiaTheme="minorHAnsi" w:hAnsi="Times New Roman" w:cs="Times New Roman"/>
          <w:sz w:val="22"/>
          <w:szCs w:val="22"/>
        </w:rPr>
        <w:t xml:space="preserve"> Ligjin nr.9902</w:t>
      </w:r>
      <w:r w:rsidR="00CA0FAF" w:rsidRPr="00A14441">
        <w:rPr>
          <w:rFonts w:ascii="Times New Roman" w:eastAsiaTheme="minorHAnsi" w:hAnsi="Times New Roman" w:cs="Times New Roman"/>
          <w:sz w:val="22"/>
          <w:szCs w:val="22"/>
        </w:rPr>
        <w:t>, dt.17.04.2008</w:t>
      </w:r>
      <w:r w:rsidR="00292543" w:rsidRPr="00A14441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A238E0" w:rsidRPr="00A14441">
        <w:rPr>
          <w:rFonts w:ascii="Times New Roman" w:eastAsiaTheme="minorHAnsi" w:hAnsi="Times New Roman" w:cs="Times New Roman"/>
          <w:sz w:val="22"/>
          <w:szCs w:val="22"/>
        </w:rPr>
        <w:t>i ndryshuar,</w:t>
      </w:r>
      <w:r w:rsidR="00292543" w:rsidRPr="00A14441">
        <w:rPr>
          <w:rFonts w:ascii="Times New Roman" w:eastAsiaTheme="minorHAnsi" w:hAnsi="Times New Roman" w:cs="Times New Roman"/>
          <w:sz w:val="22"/>
          <w:szCs w:val="22"/>
        </w:rPr>
        <w:t xml:space="preserve"> “Për mbrojtjen e konsumatorit”, </w:t>
      </w:r>
      <w:r w:rsidR="00A238E0" w:rsidRPr="00A14441">
        <w:rPr>
          <w:rFonts w:ascii="Times New Roman" w:eastAsiaTheme="minorHAnsi" w:hAnsi="Times New Roman" w:cs="Times New Roman"/>
          <w:sz w:val="22"/>
          <w:szCs w:val="22"/>
        </w:rPr>
        <w:t xml:space="preserve">si </w:t>
      </w:r>
      <w:r w:rsidR="008D1911" w:rsidRPr="00A14441">
        <w:rPr>
          <w:rFonts w:ascii="Times New Roman" w:eastAsiaTheme="minorHAnsi" w:hAnsi="Times New Roman" w:cs="Times New Roman"/>
          <w:sz w:val="22"/>
          <w:szCs w:val="22"/>
        </w:rPr>
        <w:t>konsumator</w:t>
      </w:r>
      <w:r w:rsidR="00A238E0" w:rsidRPr="00A14441">
        <w:rPr>
          <w:rFonts w:ascii="Times New Roman" w:eastAsiaTheme="minorHAnsi" w:hAnsi="Times New Roman" w:cs="Times New Roman"/>
          <w:sz w:val="22"/>
          <w:szCs w:val="22"/>
        </w:rPr>
        <w:t xml:space="preserve"> emërtoh</w:t>
      </w:r>
      <w:r w:rsidR="00AD302A" w:rsidRPr="00A14441">
        <w:rPr>
          <w:rFonts w:ascii="Times New Roman" w:eastAsiaTheme="minorHAnsi" w:hAnsi="Times New Roman" w:cs="Times New Roman"/>
          <w:sz w:val="22"/>
          <w:szCs w:val="22"/>
        </w:rPr>
        <w:t>e</w:t>
      </w:r>
      <w:r w:rsidR="008D1911" w:rsidRPr="00A14441">
        <w:rPr>
          <w:rFonts w:ascii="Times New Roman" w:eastAsiaTheme="minorHAnsi" w:hAnsi="Times New Roman" w:cs="Times New Roman"/>
          <w:sz w:val="22"/>
          <w:szCs w:val="22"/>
        </w:rPr>
        <w:t>t çdo</w:t>
      </w:r>
      <w:r w:rsidR="00AD302A" w:rsidRPr="00A14441">
        <w:rPr>
          <w:rFonts w:ascii="Times New Roman" w:eastAsiaTheme="minorHAnsi" w:hAnsi="Times New Roman" w:cs="Times New Roman"/>
          <w:sz w:val="22"/>
          <w:szCs w:val="22"/>
        </w:rPr>
        <w:t xml:space="preserve"> person që blen apo përdor mallra e shërbime për plotësimin e nevojave vetjake, për qëllime që nuk kanë lidhje me veprimtarinë tregtare apo ushtrimin e profesionit. Ky ligj kategorizon si konsumatorë dhe organizatat jo</w:t>
      </w:r>
      <w:r w:rsidR="008F1A74" w:rsidRPr="00A14441">
        <w:rPr>
          <w:rFonts w:ascii="Times New Roman" w:eastAsiaTheme="minorHAnsi" w:hAnsi="Times New Roman" w:cs="Times New Roman"/>
          <w:sz w:val="22"/>
          <w:szCs w:val="22"/>
        </w:rPr>
        <w:t>-</w:t>
      </w:r>
      <w:r w:rsidR="00AD302A" w:rsidRPr="00A14441">
        <w:rPr>
          <w:rFonts w:ascii="Times New Roman" w:eastAsiaTheme="minorHAnsi" w:hAnsi="Times New Roman" w:cs="Times New Roman"/>
          <w:sz w:val="22"/>
          <w:szCs w:val="22"/>
        </w:rPr>
        <w:t xml:space="preserve">fitimprurëse. </w:t>
      </w:r>
    </w:p>
    <w:p w:rsidR="004A745C" w:rsidRPr="00A14441" w:rsidRDefault="004A745C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Institucionet jo-banka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8F1A74" w:rsidRPr="00A14441">
        <w:rPr>
          <w:rFonts w:ascii="Times New Roman" w:eastAsiaTheme="minorHAnsi" w:hAnsi="Times New Roman" w:cs="Times New Roman"/>
          <w:sz w:val="22"/>
          <w:szCs w:val="22"/>
        </w:rPr>
        <w:t>Në përgjithësi institucionet jo-banka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janë korporata financiare jo-monetare. </w:t>
      </w:r>
      <w:r w:rsidR="008F1A74" w:rsidRPr="00A14441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to përfshijnë </w:t>
      </w:r>
      <w:r w:rsidR="00120E52" w:rsidRPr="00A14441">
        <w:rPr>
          <w:rFonts w:ascii="Times New Roman" w:eastAsiaTheme="minorHAnsi" w:hAnsi="Times New Roman" w:cs="Times New Roman"/>
          <w:sz w:val="22"/>
          <w:szCs w:val="22"/>
        </w:rPr>
        <w:t xml:space="preserve">kompanitë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e sigurimeve dhe fondet e pensioneve, ndihmësit financiar</w:t>
      </w:r>
      <w:r w:rsidR="00120E52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dhe ndërmjetësuesit e tjerë financiarë.</w:t>
      </w:r>
    </w:p>
    <w:p w:rsidR="00001857" w:rsidRPr="00A14441" w:rsidRDefault="00001857" w:rsidP="009C1361">
      <w:pPr>
        <w:spacing w:after="240" w:line="276" w:lineRule="auto"/>
        <w:rPr>
          <w:rFonts w:ascii="Times New Roman" w:hAnsi="Times New Roman" w:cs="Times New Roman"/>
        </w:rPr>
      </w:pPr>
      <w:r w:rsidRPr="00A14441">
        <w:rPr>
          <w:rFonts w:ascii="Times New Roman" w:hAnsi="Times New Roman" w:cs="Times New Roman"/>
          <w:b/>
        </w:rPr>
        <w:t>Kapitali</w:t>
      </w:r>
      <w:r w:rsidR="00D325C5" w:rsidRPr="00A14441">
        <w:rPr>
          <w:rFonts w:ascii="Times New Roman" w:hAnsi="Times New Roman" w:cs="Times New Roman"/>
          <w:b/>
        </w:rPr>
        <w:t xml:space="preserve">. </w:t>
      </w:r>
      <w:r w:rsidR="00865228" w:rsidRPr="00A14441">
        <w:rPr>
          <w:rFonts w:ascii="Times New Roman" w:hAnsi="Times New Roman" w:cs="Times New Roman"/>
        </w:rPr>
        <w:t>N</w:t>
      </w:r>
      <w:r w:rsidR="00D325C5" w:rsidRPr="00A14441">
        <w:rPr>
          <w:rFonts w:ascii="Times New Roman" w:hAnsi="Times New Roman" w:cs="Times New Roman"/>
        </w:rPr>
        <w:t xml:space="preserve">ë </w:t>
      </w:r>
      <w:r w:rsidR="00865228" w:rsidRPr="00A14441">
        <w:rPr>
          <w:rFonts w:ascii="Times New Roman" w:hAnsi="Times New Roman" w:cs="Times New Roman"/>
        </w:rPr>
        <w:t>bazë të</w:t>
      </w:r>
      <w:r w:rsidR="00865228" w:rsidRPr="00A14441">
        <w:rPr>
          <w:rFonts w:ascii="Times New Roman" w:hAnsi="Times New Roman" w:cs="Times New Roman"/>
          <w:b/>
        </w:rPr>
        <w:t xml:space="preserve"> </w:t>
      </w:r>
      <w:r w:rsidR="00865228" w:rsidRPr="00A14441">
        <w:rPr>
          <w:rFonts w:ascii="Times New Roman" w:hAnsi="Times New Roman" w:cs="Times New Roman"/>
        </w:rPr>
        <w:t xml:space="preserve">Ligjit nr. 9662, dt. 18.12.2006 “Për bankat në Republikën e Shqipërisë” </w:t>
      </w:r>
      <w:r w:rsidR="00574A1C" w:rsidRPr="00A14441">
        <w:rPr>
          <w:rFonts w:ascii="Times New Roman" w:hAnsi="Times New Roman" w:cs="Times New Roman"/>
        </w:rPr>
        <w:t xml:space="preserve">dhe </w:t>
      </w:r>
      <w:r w:rsidRPr="00A14441">
        <w:rPr>
          <w:rFonts w:ascii="Times New Roman" w:hAnsi="Times New Roman" w:cs="Times New Roman"/>
          <w:b/>
        </w:rPr>
        <w:t xml:space="preserve"> </w:t>
      </w:r>
      <w:r w:rsidR="00574A1C" w:rsidRPr="00A14441">
        <w:rPr>
          <w:rFonts w:ascii="Times New Roman" w:hAnsi="Times New Roman" w:cs="Times New Roman"/>
        </w:rPr>
        <w:t>vendimit</w:t>
      </w:r>
      <w:r w:rsidR="00D325C5" w:rsidRPr="00A14441">
        <w:rPr>
          <w:rFonts w:ascii="Times New Roman" w:hAnsi="Times New Roman" w:cs="Times New Roman"/>
        </w:rPr>
        <w:t xml:space="preserve"> nr. 69 të </w:t>
      </w:r>
      <w:proofErr w:type="spellStart"/>
      <w:r w:rsidR="00D325C5" w:rsidRPr="00A14441">
        <w:rPr>
          <w:rFonts w:ascii="Times New Roman" w:hAnsi="Times New Roman" w:cs="Times New Roman"/>
        </w:rPr>
        <w:t>BSh</w:t>
      </w:r>
      <w:proofErr w:type="spellEnd"/>
      <w:r w:rsidR="00D325C5" w:rsidRPr="00A14441">
        <w:rPr>
          <w:rFonts w:ascii="Times New Roman" w:hAnsi="Times New Roman" w:cs="Times New Roman"/>
        </w:rPr>
        <w:t xml:space="preserve">-së, dt.18.12.2014 për miratimin e rregullores “Për kapitalin rregullator të Bankës”, ky term </w:t>
      </w:r>
      <w:r w:rsidRPr="00A14441">
        <w:rPr>
          <w:rFonts w:ascii="Times New Roman" w:hAnsi="Times New Roman" w:cs="Times New Roman"/>
        </w:rPr>
        <w:t xml:space="preserve">i </w:t>
      </w:r>
      <w:r w:rsidR="00984208" w:rsidRPr="00A14441">
        <w:rPr>
          <w:rFonts w:ascii="Times New Roman" w:hAnsi="Times New Roman" w:cs="Times New Roman"/>
        </w:rPr>
        <w:t xml:space="preserve">referohet </w:t>
      </w:r>
      <w:r w:rsidR="005C605D" w:rsidRPr="00A14441">
        <w:rPr>
          <w:rFonts w:ascii="Times New Roman" w:hAnsi="Times New Roman" w:cs="Times New Roman"/>
        </w:rPr>
        <w:t>kapitalit rregullator</w:t>
      </w:r>
      <w:r w:rsidR="000C44E5" w:rsidRPr="00A14441">
        <w:rPr>
          <w:rStyle w:val="FootnoteReference"/>
          <w:rFonts w:ascii="Times New Roman" w:hAnsi="Times New Roman" w:cs="Times New Roman"/>
        </w:rPr>
        <w:footnoteReference w:id="1"/>
      </w:r>
      <w:r w:rsidR="00A238E0" w:rsidRPr="00A14441">
        <w:rPr>
          <w:rFonts w:ascii="Times New Roman" w:hAnsi="Times New Roman" w:cs="Times New Roman"/>
        </w:rPr>
        <w:t xml:space="preserve"> </w:t>
      </w:r>
      <w:r w:rsidR="005C605D" w:rsidRPr="00A14441">
        <w:rPr>
          <w:rFonts w:ascii="Times New Roman" w:hAnsi="Times New Roman" w:cs="Times New Roman"/>
        </w:rPr>
        <w:t xml:space="preserve">të kërkuar me qëllim mbulimin e rrezikut të kredisë, rreziqeve të tregut dhe rrezikut </w:t>
      </w:r>
      <w:proofErr w:type="spellStart"/>
      <w:r w:rsidR="005C605D" w:rsidRPr="00A14441">
        <w:rPr>
          <w:rFonts w:ascii="Times New Roman" w:hAnsi="Times New Roman" w:cs="Times New Roman"/>
        </w:rPr>
        <w:t>operacional</w:t>
      </w:r>
      <w:proofErr w:type="spellEnd"/>
      <w:r w:rsidR="005C605D" w:rsidRPr="00A14441">
        <w:rPr>
          <w:rFonts w:ascii="Times New Roman" w:hAnsi="Times New Roman" w:cs="Times New Roman"/>
        </w:rPr>
        <w:t xml:space="preserve">. </w:t>
      </w:r>
      <w:r w:rsidR="00A2686B" w:rsidRPr="00A14441">
        <w:rPr>
          <w:rFonts w:ascii="Times New Roman" w:hAnsi="Times New Roman" w:cs="Times New Roman"/>
        </w:rPr>
        <w:t xml:space="preserve"> 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lastRenderedPageBreak/>
        <w:t>Kërkesa për kredi</w:t>
      </w:r>
      <w:r w:rsidR="00DB6E06" w:rsidRPr="00A14441">
        <w:rPr>
          <w:rStyle w:val="FootnoteReference"/>
          <w:rFonts w:ascii="Times New Roman" w:eastAsiaTheme="minorHAnsi" w:hAnsi="Times New Roman" w:cs="Times New Roman"/>
          <w:b/>
          <w:sz w:val="22"/>
          <w:szCs w:val="22"/>
        </w:rPr>
        <w:footnoteReference w:id="2"/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Kërkesa </w:t>
      </w:r>
      <w:r w:rsidR="006531AC" w:rsidRPr="00A14441">
        <w:rPr>
          <w:rFonts w:ascii="Times New Roman" w:eastAsiaTheme="minorHAnsi" w:hAnsi="Times New Roman" w:cs="Times New Roman"/>
          <w:sz w:val="22"/>
          <w:szCs w:val="22"/>
        </w:rPr>
        <w:t>për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kredi i referohet kërkesës bruto për kredi nga bizneset ose </w:t>
      </w:r>
      <w:r w:rsidR="006531AC" w:rsidRPr="00A14441">
        <w:rPr>
          <w:rFonts w:ascii="Times New Roman" w:eastAsiaTheme="minorHAnsi" w:hAnsi="Times New Roman" w:cs="Times New Roman"/>
          <w:sz w:val="22"/>
          <w:szCs w:val="22"/>
        </w:rPr>
        <w:t xml:space="preserve">nga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individët, përfshirë </w:t>
      </w:r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 xml:space="preserve">këtu edhe kërkesat për shtyrjen e afatit të </w:t>
      </w:r>
      <w:proofErr w:type="spellStart"/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>maturimit</w:t>
      </w:r>
      <w:proofErr w:type="spellEnd"/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 xml:space="preserve"> të kredisë ekzistuese. Ky term </w:t>
      </w:r>
      <w:r w:rsidR="00962286">
        <w:rPr>
          <w:rFonts w:ascii="Times New Roman" w:eastAsiaTheme="minorHAnsi" w:hAnsi="Times New Roman" w:cs="Times New Roman"/>
          <w:sz w:val="22"/>
          <w:szCs w:val="22"/>
        </w:rPr>
        <w:t>pasqyron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nevojë</w:t>
      </w:r>
      <w:r w:rsidR="00962286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për financim me kredi bankare</w:t>
      </w:r>
      <w:r w:rsidR="006531AC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>nga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>biznese</w:t>
      </w:r>
      <w:r w:rsidR="006531AC" w:rsidRPr="00A14441">
        <w:rPr>
          <w:rFonts w:ascii="Times New Roman" w:eastAsiaTheme="minorHAnsi" w:hAnsi="Times New Roman" w:cs="Times New Roman"/>
          <w:sz w:val="22"/>
          <w:szCs w:val="22"/>
        </w:rPr>
        <w:t>t</w:t>
      </w:r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dhe individë</w:t>
      </w:r>
      <w:r w:rsidR="006531AC" w:rsidRPr="00A14441">
        <w:rPr>
          <w:rFonts w:ascii="Times New Roman" w:eastAsiaTheme="minorHAnsi" w:hAnsi="Times New Roman" w:cs="Times New Roman"/>
          <w:sz w:val="22"/>
          <w:szCs w:val="22"/>
        </w:rPr>
        <w:t>t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, pavarësisht nëse kjo nevojë do të rezultojë në një hua apo jo. </w:t>
      </w:r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>Në plotësimin e vrojtimit secila nga b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ankat duhet të </w:t>
      </w:r>
      <w:r w:rsidR="00962286">
        <w:rPr>
          <w:rFonts w:ascii="Times New Roman" w:eastAsiaTheme="minorHAnsi" w:hAnsi="Times New Roman" w:cs="Times New Roman"/>
          <w:sz w:val="22"/>
          <w:szCs w:val="22"/>
        </w:rPr>
        <w:t xml:space="preserve">kujdeset që të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vlerësojë </w:t>
      </w:r>
      <w:r w:rsidR="00AB6F76" w:rsidRPr="00A14441">
        <w:rPr>
          <w:rFonts w:ascii="Times New Roman" w:eastAsiaTheme="minorHAnsi" w:hAnsi="Times New Roman" w:cs="Times New Roman"/>
          <w:sz w:val="22"/>
          <w:szCs w:val="22"/>
        </w:rPr>
        <w:t>zhvillimet në kërkesën për kredi (si për individët ashtu edhe bizneset)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33F18" w:rsidRPr="00A14441">
        <w:rPr>
          <w:rFonts w:ascii="Times New Roman" w:eastAsiaTheme="minorHAnsi" w:hAnsi="Times New Roman" w:cs="Times New Roman"/>
          <w:sz w:val="22"/>
          <w:szCs w:val="22"/>
        </w:rPr>
        <w:t xml:space="preserve">krahasuar me një tremujor më parë dhe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pavarur nga </w:t>
      </w:r>
      <w:r w:rsidR="00C33F18" w:rsidRPr="00A14441">
        <w:rPr>
          <w:rFonts w:ascii="Times New Roman" w:eastAsiaTheme="minorHAnsi" w:hAnsi="Times New Roman" w:cs="Times New Roman"/>
          <w:sz w:val="22"/>
          <w:szCs w:val="22"/>
        </w:rPr>
        <w:t xml:space="preserve">ecuria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e çmimeve</w:t>
      </w:r>
      <w:r w:rsidR="00C33F18"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9124C4" w:rsidRPr="00A14441" w:rsidRDefault="009124C4" w:rsidP="009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 w:cs="Times New Roman"/>
        </w:rPr>
      </w:pPr>
      <w:proofErr w:type="spellStart"/>
      <w:r w:rsidRPr="00A14441">
        <w:rPr>
          <w:rFonts w:ascii="Times New Roman" w:hAnsi="Times New Roman" w:cs="Times New Roman"/>
          <w:b/>
        </w:rPr>
        <w:t>Kolaterali</w:t>
      </w:r>
      <w:proofErr w:type="spellEnd"/>
      <w:r w:rsidR="008D1911" w:rsidRPr="00A14441">
        <w:rPr>
          <w:rFonts w:ascii="Times New Roman" w:hAnsi="Times New Roman" w:cs="Times New Roman"/>
          <w:b/>
        </w:rPr>
        <w:t xml:space="preserve">. </w:t>
      </w:r>
      <w:r w:rsidR="007B4571" w:rsidRPr="00A14441">
        <w:rPr>
          <w:rFonts w:ascii="Times New Roman" w:hAnsi="Times New Roman" w:cs="Times New Roman"/>
        </w:rPr>
        <w:t>Sipas Ligjit nr. 9662, dt. 18.12.2006 “Për bankat në Republikën e Shqipërisë”</w:t>
      </w:r>
      <w:r w:rsidR="00680DCE" w:rsidRPr="00A14441">
        <w:rPr>
          <w:rFonts w:ascii="Times New Roman" w:hAnsi="Times New Roman" w:cs="Times New Roman"/>
        </w:rPr>
        <w:t xml:space="preserve"> dhe rregullores Nr. 62, datë 14.09.2011 të Bankës së Shqipërisë</w:t>
      </w:r>
      <w:r w:rsidR="000C44E5" w:rsidRPr="00A14441">
        <w:rPr>
          <w:rFonts w:ascii="Times New Roman" w:hAnsi="Times New Roman" w:cs="Times New Roman"/>
        </w:rPr>
        <w:t>,</w:t>
      </w:r>
      <w:r w:rsidR="00680DCE" w:rsidRPr="00A14441">
        <w:rPr>
          <w:rFonts w:ascii="Times New Roman" w:hAnsi="Times New Roman" w:cs="Times New Roman"/>
        </w:rPr>
        <w:t xml:space="preserve"> </w:t>
      </w:r>
      <w:r w:rsidR="007B4571" w:rsidRPr="00A14441">
        <w:rPr>
          <w:rFonts w:ascii="Times New Roman" w:hAnsi="Times New Roman" w:cs="Times New Roman"/>
        </w:rPr>
        <w:t>ky koncept nënkupton mjetet e mbajtura nga bankat me qëllim sigurimin e ekzekutimit të detyrimit nga huamarrësi</w:t>
      </w:r>
      <w:r w:rsidRPr="00A14441">
        <w:rPr>
          <w:rFonts w:ascii="Times New Roman" w:hAnsi="Times New Roman" w:cs="Times New Roman"/>
        </w:rPr>
        <w:t xml:space="preserve">. </w:t>
      </w:r>
      <w:r w:rsidR="00220F90" w:rsidRPr="00A14441">
        <w:rPr>
          <w:rFonts w:ascii="Times New Roman" w:hAnsi="Times New Roman" w:cs="Times New Roman"/>
        </w:rPr>
        <w:t xml:space="preserve">Si </w:t>
      </w:r>
      <w:proofErr w:type="spellStart"/>
      <w:r w:rsidR="000C44E5" w:rsidRPr="00A14441">
        <w:rPr>
          <w:rFonts w:ascii="Times New Roman" w:hAnsi="Times New Roman" w:cs="Times New Roman"/>
        </w:rPr>
        <w:t>kolateral</w:t>
      </w:r>
      <w:proofErr w:type="spellEnd"/>
      <w:r w:rsidR="000C44E5" w:rsidRPr="00A14441">
        <w:rPr>
          <w:rFonts w:ascii="Times New Roman" w:hAnsi="Times New Roman" w:cs="Times New Roman"/>
        </w:rPr>
        <w:t xml:space="preserve"> shërbejnë </w:t>
      </w:r>
      <w:r w:rsidR="00F773FF" w:rsidRPr="00A14441">
        <w:rPr>
          <w:rFonts w:ascii="Times New Roman" w:hAnsi="Times New Roman" w:cs="Times New Roman"/>
        </w:rPr>
        <w:t xml:space="preserve">pasuritë </w:t>
      </w:r>
      <w:r w:rsidR="007B4571" w:rsidRPr="00A14441">
        <w:rPr>
          <w:rFonts w:ascii="Times New Roman" w:hAnsi="Times New Roman" w:cs="Times New Roman"/>
        </w:rPr>
        <w:t xml:space="preserve">e </w:t>
      </w:r>
      <w:r w:rsidR="00F773FF" w:rsidRPr="00A14441">
        <w:rPr>
          <w:rFonts w:ascii="Times New Roman" w:hAnsi="Times New Roman" w:cs="Times New Roman"/>
        </w:rPr>
        <w:t>paluajtshme,</w:t>
      </w:r>
      <w:r w:rsidRPr="00A14441">
        <w:rPr>
          <w:rFonts w:ascii="Times New Roman" w:hAnsi="Times New Roman" w:cs="Times New Roman"/>
        </w:rPr>
        <w:t xml:space="preserve"> letra</w:t>
      </w:r>
      <w:r w:rsidR="007B4571" w:rsidRPr="00A14441">
        <w:rPr>
          <w:rFonts w:ascii="Times New Roman" w:hAnsi="Times New Roman" w:cs="Times New Roman"/>
        </w:rPr>
        <w:t>t</w:t>
      </w:r>
      <w:r w:rsidRPr="00A14441">
        <w:rPr>
          <w:rFonts w:ascii="Times New Roman" w:hAnsi="Times New Roman" w:cs="Times New Roman"/>
        </w:rPr>
        <w:t xml:space="preserve"> m</w:t>
      </w:r>
      <w:r w:rsidR="009F2BF7" w:rsidRPr="00A14441">
        <w:rPr>
          <w:rFonts w:ascii="Times New Roman" w:hAnsi="Times New Roman" w:cs="Times New Roman"/>
        </w:rPr>
        <w:t xml:space="preserve">e vlerë </w:t>
      </w:r>
      <w:r w:rsidRPr="00A14441">
        <w:rPr>
          <w:rFonts w:ascii="Times New Roman" w:hAnsi="Times New Roman" w:cs="Times New Roman"/>
        </w:rPr>
        <w:t xml:space="preserve">ose balanca </w:t>
      </w:r>
      <w:proofErr w:type="spellStart"/>
      <w:r w:rsidRPr="00A14441">
        <w:rPr>
          <w:rFonts w:ascii="Times New Roman" w:hAnsi="Times New Roman" w:cs="Times New Roman"/>
        </w:rPr>
        <w:t>kompensuese</w:t>
      </w:r>
      <w:proofErr w:type="spellEnd"/>
      <w:r w:rsidR="00CE32F7" w:rsidRPr="00A14441">
        <w:rPr>
          <w:rFonts w:ascii="Times New Roman" w:hAnsi="Times New Roman" w:cs="Times New Roman"/>
        </w:rPr>
        <w:t xml:space="preserve">. </w:t>
      </w:r>
      <w:r w:rsidR="001D4A1C" w:rsidRPr="00A14441">
        <w:rPr>
          <w:rFonts w:ascii="Times New Roman" w:hAnsi="Times New Roman" w:cs="Times New Roman"/>
        </w:rPr>
        <w:t xml:space="preserve">Kjo e fundit </w:t>
      </w:r>
      <w:r w:rsidRPr="00A14441">
        <w:rPr>
          <w:rFonts w:ascii="Times New Roman" w:hAnsi="Times New Roman" w:cs="Times New Roman"/>
        </w:rPr>
        <w:t xml:space="preserve">është shuma minimale </w:t>
      </w:r>
      <w:r w:rsidR="007B4571" w:rsidRPr="00A14441">
        <w:rPr>
          <w:rFonts w:ascii="Times New Roman" w:hAnsi="Times New Roman" w:cs="Times New Roman"/>
        </w:rPr>
        <w:t>që huamarrësi është i detyruar ta mbajë në llogarinë bankare.</w:t>
      </w:r>
    </w:p>
    <w:p w:rsidR="009124C4" w:rsidRPr="00A14441" w:rsidRDefault="000F3729" w:rsidP="009C1361">
      <w:pPr>
        <w:spacing w:after="240" w:line="276" w:lineRule="auto"/>
        <w:rPr>
          <w:rFonts w:ascii="Times New Roman" w:hAnsi="Times New Roman" w:cs="Times New Roman"/>
        </w:rPr>
      </w:pPr>
      <w:r w:rsidRPr="00A14441">
        <w:rPr>
          <w:rFonts w:ascii="Times New Roman" w:hAnsi="Times New Roman" w:cs="Times New Roman"/>
          <w:b/>
        </w:rPr>
        <w:t>Komisione jo-interes.</w:t>
      </w:r>
      <w:r w:rsidRPr="00A14441">
        <w:rPr>
          <w:rFonts w:ascii="Times New Roman" w:hAnsi="Times New Roman" w:cs="Times New Roman"/>
        </w:rPr>
        <w:t xml:space="preserve"> Këto janë pagesa të ndryshme që mund të jenë pjesë e çmimit të një kredie, siç janë komisionet e angazhimit për kreditë qarkulluese, taksat e administrimit të kredisë (</w:t>
      </w:r>
      <w:proofErr w:type="spellStart"/>
      <w:r w:rsidRPr="00A14441">
        <w:rPr>
          <w:rFonts w:ascii="Times New Roman" w:hAnsi="Times New Roman" w:cs="Times New Roman"/>
        </w:rPr>
        <w:t>psh</w:t>
      </w:r>
      <w:proofErr w:type="spellEnd"/>
      <w:r w:rsidRPr="00A14441">
        <w:rPr>
          <w:rFonts w:ascii="Times New Roman" w:hAnsi="Times New Roman" w:cs="Times New Roman"/>
        </w:rPr>
        <w:t>. kostot e përgatitjes së dokumenteve) dhe pagesat për investigimin, garancitë dhe sigurimin e kredisë.</w:t>
      </w:r>
    </w:p>
    <w:p w:rsidR="000829B4" w:rsidRPr="00A14441" w:rsidRDefault="000829B4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K</w:t>
      </w:r>
      <w:r w:rsidR="00325A78" w:rsidRPr="00A14441">
        <w:rPr>
          <w:rFonts w:ascii="Times New Roman" w:eastAsiaTheme="minorHAnsi" w:hAnsi="Times New Roman" w:cs="Times New Roman"/>
          <w:b/>
          <w:sz w:val="22"/>
          <w:szCs w:val="22"/>
        </w:rPr>
        <w:t>ostoja e fondeve dhe kufizimet nga</w:t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 bilanci.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327B48" w:rsidRPr="00A14441">
        <w:rPr>
          <w:rFonts w:ascii="Times New Roman" w:eastAsiaTheme="minorHAnsi" w:hAnsi="Times New Roman" w:cs="Times New Roman"/>
          <w:sz w:val="22"/>
          <w:szCs w:val="22"/>
        </w:rPr>
        <w:t>Niveli</w:t>
      </w:r>
      <w:r w:rsidR="00C61361" w:rsidRPr="00A14441">
        <w:rPr>
          <w:rFonts w:ascii="Times New Roman" w:eastAsiaTheme="minorHAnsi" w:hAnsi="Times New Roman" w:cs="Times New Roman"/>
          <w:sz w:val="22"/>
          <w:szCs w:val="22"/>
        </w:rPr>
        <w:t xml:space="preserve"> i kapitalit t</w:t>
      </w:r>
      <w:r w:rsidR="00327B48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="00C61361" w:rsidRPr="00A14441">
        <w:rPr>
          <w:rFonts w:ascii="Times New Roman" w:eastAsiaTheme="minorHAnsi" w:hAnsi="Times New Roman" w:cs="Times New Roman"/>
          <w:sz w:val="22"/>
          <w:szCs w:val="22"/>
        </w:rPr>
        <w:t xml:space="preserve"> bankës dhe k</w:t>
      </w:r>
      <w:r w:rsidR="00325A78" w:rsidRPr="00A14441">
        <w:rPr>
          <w:rFonts w:ascii="Times New Roman" w:eastAsiaTheme="minorHAnsi" w:hAnsi="Times New Roman" w:cs="Times New Roman"/>
          <w:sz w:val="22"/>
          <w:szCs w:val="22"/>
        </w:rPr>
        <w:t xml:space="preserve">ostoja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që lidhet me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E822E2" w:rsidRPr="00A14441">
        <w:rPr>
          <w:rFonts w:ascii="Times New Roman" w:eastAsiaTheme="minorHAnsi" w:hAnsi="Times New Roman" w:cs="Times New Roman"/>
          <w:sz w:val="22"/>
          <w:szCs w:val="22"/>
        </w:rPr>
        <w:t>vënien në dispozicion të</w:t>
      </w:r>
      <w:r w:rsidR="00C61361" w:rsidRPr="00A14441">
        <w:rPr>
          <w:rFonts w:ascii="Times New Roman" w:eastAsiaTheme="minorHAnsi" w:hAnsi="Times New Roman" w:cs="Times New Roman"/>
          <w:sz w:val="22"/>
          <w:szCs w:val="22"/>
        </w:rPr>
        <w:t xml:space="preserve"> kapitalit t</w:t>
      </w:r>
      <w:r w:rsidR="00327B48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="00C61361" w:rsidRPr="00A14441">
        <w:rPr>
          <w:rFonts w:ascii="Times New Roman" w:eastAsiaTheme="minorHAnsi" w:hAnsi="Times New Roman" w:cs="Times New Roman"/>
          <w:sz w:val="22"/>
          <w:szCs w:val="22"/>
        </w:rPr>
        <w:t xml:space="preserve"> k</w:t>
      </w:r>
      <w:r w:rsidR="00327B48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="00C61361" w:rsidRPr="00A14441">
        <w:rPr>
          <w:rFonts w:ascii="Times New Roman" w:eastAsiaTheme="minorHAnsi" w:hAnsi="Times New Roman" w:cs="Times New Roman"/>
          <w:sz w:val="22"/>
          <w:szCs w:val="22"/>
        </w:rPr>
        <w:t>rkuar nga rregullator</w:t>
      </w:r>
      <w:r w:rsidR="00327B48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="00C61361" w:rsidRPr="00A14441">
        <w:rPr>
          <w:rFonts w:ascii="Times New Roman" w:eastAsiaTheme="minorHAnsi" w:hAnsi="Times New Roman" w:cs="Times New Roman"/>
          <w:sz w:val="22"/>
          <w:szCs w:val="22"/>
        </w:rPr>
        <w:t>t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mund të bëhen pengesë </w:t>
      </w:r>
      <w:r w:rsidR="00B45659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43248D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="00B45659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rritjen e aktivitetit kreditues.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 një nivel të caktuar kapitali, oferta e kredisë mund të ndikohet </w:t>
      </w:r>
      <w:r w:rsidR="00E822E2" w:rsidRPr="00A14441">
        <w:rPr>
          <w:rFonts w:ascii="Times New Roman" w:eastAsiaTheme="minorHAnsi" w:hAnsi="Times New Roman" w:cs="Times New Roman"/>
          <w:sz w:val="22"/>
          <w:szCs w:val="22"/>
        </w:rPr>
        <w:t xml:space="preserve">si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nga pozicioni i likuiditetit </w:t>
      </w:r>
      <w:r w:rsidR="00E822E2" w:rsidRPr="00A14441">
        <w:rPr>
          <w:rFonts w:ascii="Times New Roman" w:eastAsiaTheme="minorHAnsi" w:hAnsi="Times New Roman" w:cs="Times New Roman"/>
          <w:sz w:val="22"/>
          <w:szCs w:val="22"/>
        </w:rPr>
        <w:t>i bankës, ashtu 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dhe </w:t>
      </w:r>
      <w:r w:rsidR="00E822E2" w:rsidRPr="00A14441">
        <w:rPr>
          <w:rFonts w:ascii="Times New Roman" w:eastAsiaTheme="minorHAnsi" w:hAnsi="Times New Roman" w:cs="Times New Roman"/>
          <w:sz w:val="22"/>
          <w:szCs w:val="22"/>
        </w:rPr>
        <w:t xml:space="preserve">nga </w:t>
      </w:r>
      <w:r w:rsidR="00E2381F" w:rsidRPr="00A14441">
        <w:rPr>
          <w:rFonts w:ascii="Times New Roman" w:eastAsiaTheme="minorHAnsi" w:hAnsi="Times New Roman" w:cs="Times New Roman"/>
          <w:sz w:val="22"/>
          <w:szCs w:val="22"/>
        </w:rPr>
        <w:t xml:space="preserve">aftësia e 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>sa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j </w:t>
      </w:r>
      <w:r w:rsidR="00E2381F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 të rritur kapitalin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në treg</w:t>
      </w:r>
      <w:r w:rsidR="00E2381F"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20046" w:rsidRPr="00A14441">
        <w:rPr>
          <w:rFonts w:ascii="Times New Roman" w:eastAsiaTheme="minorHAnsi" w:hAnsi="Times New Roman" w:cs="Times New Roman"/>
          <w:sz w:val="22"/>
          <w:szCs w:val="22"/>
        </w:rPr>
        <w:t xml:space="preserve">Një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bankë mund të 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>heq</w:t>
      </w:r>
      <w:r w:rsidR="00E822E2" w:rsidRPr="00A14441">
        <w:rPr>
          <w:rFonts w:ascii="Times New Roman" w:eastAsiaTheme="minorHAnsi" w:hAnsi="Times New Roman" w:cs="Times New Roman"/>
          <w:sz w:val="22"/>
          <w:szCs w:val="22"/>
        </w:rPr>
        <w:t>ë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>dorë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nga dhënia e një kredie ose të jetë më pak e gatshme të japë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 xml:space="preserve"> kredi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, nëse </w:t>
      </w:r>
      <w:r w:rsidR="00E822E2" w:rsidRPr="00A14441">
        <w:rPr>
          <w:rFonts w:ascii="Times New Roman" w:eastAsiaTheme="minorHAnsi" w:hAnsi="Times New Roman" w:cs="Times New Roman"/>
          <w:sz w:val="22"/>
          <w:szCs w:val="22"/>
        </w:rPr>
        <w:t xml:space="preserve">percepton që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nuk do të jetë në gjendje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>të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9439D" w:rsidRPr="00A14441">
        <w:rPr>
          <w:rFonts w:ascii="Times New Roman" w:eastAsiaTheme="minorHAnsi" w:hAnsi="Times New Roman" w:cs="Times New Roman"/>
          <w:sz w:val="22"/>
          <w:szCs w:val="22"/>
        </w:rPr>
        <w:t>zgjerojë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kapitalin e 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>kërkuar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>për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7979" w:rsidRPr="00A14441">
        <w:rPr>
          <w:rFonts w:ascii="Times New Roman" w:eastAsiaTheme="minorHAnsi" w:hAnsi="Times New Roman" w:cs="Times New Roman"/>
          <w:sz w:val="22"/>
          <w:szCs w:val="22"/>
        </w:rPr>
        <w:t>dhënien</w:t>
      </w:r>
      <w:r w:rsidR="008B5B24" w:rsidRPr="00A14441">
        <w:rPr>
          <w:rFonts w:ascii="Times New Roman" w:eastAsiaTheme="minorHAnsi" w:hAnsi="Times New Roman" w:cs="Times New Roman"/>
          <w:sz w:val="22"/>
          <w:szCs w:val="22"/>
        </w:rPr>
        <w:t xml:space="preserve"> e saj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. Për më tepër, rreziqet që lidhen me kreditë me probleme mund të refle</w:t>
      </w:r>
      <w:r w:rsidR="00962286">
        <w:rPr>
          <w:rFonts w:ascii="Times New Roman" w:eastAsiaTheme="minorHAnsi" w:hAnsi="Times New Roman" w:cs="Times New Roman"/>
          <w:sz w:val="22"/>
          <w:szCs w:val="22"/>
        </w:rPr>
        <w:t>ktohen jo vetëm në perceptimin e rrezikut nga ana 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bankës, por edhe në</w:t>
      </w:r>
      <w:r w:rsidR="00E2381F" w:rsidRPr="00A14441">
        <w:rPr>
          <w:rFonts w:ascii="Times New Roman" w:eastAsiaTheme="minorHAnsi" w:hAnsi="Times New Roman" w:cs="Times New Roman"/>
          <w:sz w:val="22"/>
          <w:szCs w:val="22"/>
        </w:rPr>
        <w:t xml:space="preserve"> rritjen 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kosto</w:t>
      </w:r>
      <w:r w:rsidR="00E2381F" w:rsidRPr="00A14441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E2381F" w:rsidRPr="00A14441">
        <w:rPr>
          <w:rFonts w:ascii="Times New Roman" w:eastAsiaTheme="minorHAnsi" w:hAnsi="Times New Roman" w:cs="Times New Roman"/>
          <w:sz w:val="22"/>
          <w:szCs w:val="22"/>
        </w:rPr>
        <w:t>së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fondeve dhe kufizimet e bilancit.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Kredi. </w:t>
      </w:r>
      <w:r w:rsidR="00CE32F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9C4DA4" w:rsidRPr="00A14441">
        <w:rPr>
          <w:rFonts w:ascii="Times New Roman" w:eastAsiaTheme="minorHAnsi" w:hAnsi="Times New Roman" w:cs="Times New Roman"/>
          <w:sz w:val="22"/>
          <w:szCs w:val="22"/>
        </w:rPr>
        <w:t>Ky term</w:t>
      </w:r>
      <w:r w:rsidR="00CE32F7" w:rsidRPr="00A14441">
        <w:rPr>
          <w:rFonts w:ascii="Times New Roman" w:eastAsiaTheme="minorHAnsi" w:hAnsi="Times New Roman" w:cs="Times New Roman"/>
          <w:sz w:val="22"/>
          <w:szCs w:val="22"/>
        </w:rPr>
        <w:t xml:space="preserve"> i referohet përcaktimeve </w:t>
      </w:r>
      <w:r w:rsidR="009C4DA4" w:rsidRPr="00A14441">
        <w:rPr>
          <w:rFonts w:ascii="Times New Roman" w:eastAsiaTheme="minorHAnsi" w:hAnsi="Times New Roman" w:cs="Times New Roman"/>
          <w:sz w:val="22"/>
          <w:szCs w:val="22"/>
        </w:rPr>
        <w:t>të Ligjit</w:t>
      </w:r>
      <w:r w:rsidR="00DD56D0" w:rsidRPr="00A14441">
        <w:rPr>
          <w:rFonts w:ascii="Times New Roman" w:eastAsiaTheme="minorHAnsi" w:hAnsi="Times New Roman" w:cs="Times New Roman"/>
          <w:sz w:val="22"/>
          <w:szCs w:val="22"/>
        </w:rPr>
        <w:t xml:space="preserve"> nr. 9662 të dt. 18.12.2006 “Për bankat në Republikën e Shqipërisë”</w:t>
      </w:r>
      <w:r w:rsidR="005C605D"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  <w:r w:rsidR="00DD56D0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>Në funksion të këtij vrojtimi</w:t>
      </w:r>
      <w:r w:rsidR="009C4DA4" w:rsidRPr="00A14441">
        <w:rPr>
          <w:rFonts w:ascii="Times New Roman" w:eastAsiaTheme="minorHAnsi" w:hAnsi="Times New Roman" w:cs="Times New Roman"/>
          <w:sz w:val="22"/>
          <w:szCs w:val="22"/>
        </w:rPr>
        <w:t>,</w:t>
      </w:r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 xml:space="preserve"> kredia përfshin të gjitha </w:t>
      </w:r>
      <w:proofErr w:type="spellStart"/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>huatë</w:t>
      </w:r>
      <w:proofErr w:type="spellEnd"/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 xml:space="preserve"> apo linjat e kredisë për bizneset, </w:t>
      </w:r>
      <w:proofErr w:type="spellStart"/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>huatë</w:t>
      </w:r>
      <w:proofErr w:type="spellEnd"/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5508B" w:rsidRPr="00A14441">
        <w:rPr>
          <w:rFonts w:ascii="Times New Roman" w:eastAsiaTheme="minorHAnsi" w:hAnsi="Times New Roman" w:cs="Times New Roman"/>
          <w:sz w:val="22"/>
          <w:szCs w:val="22"/>
        </w:rPr>
        <w:t>lëvruar</w:t>
      </w:r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 xml:space="preserve"> për individët me qëllim blerjen e banesave, kreditë </w:t>
      </w:r>
      <w:proofErr w:type="spellStart"/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>konsumatore</w:t>
      </w:r>
      <w:proofErr w:type="spellEnd"/>
      <w:r w:rsidR="006914E2" w:rsidRPr="00A14441">
        <w:rPr>
          <w:rFonts w:ascii="Times New Roman" w:eastAsiaTheme="minorHAnsi" w:hAnsi="Times New Roman" w:cs="Times New Roman"/>
          <w:sz w:val="22"/>
          <w:szCs w:val="22"/>
        </w:rPr>
        <w:t xml:space="preserve"> si dhe kreditë e tjera akorduar individëve. </w:t>
      </w:r>
      <w:r w:rsidR="0022054C" w:rsidRPr="00A14441">
        <w:rPr>
          <w:rFonts w:ascii="Times New Roman" w:eastAsiaTheme="minorHAnsi" w:hAnsi="Times New Roman" w:cs="Times New Roman"/>
          <w:sz w:val="22"/>
          <w:szCs w:val="22"/>
        </w:rPr>
        <w:t>Duhet theksuar që ky term i referohet</w:t>
      </w:r>
      <w:r w:rsidR="00DD56D0" w:rsidRPr="00A14441">
        <w:rPr>
          <w:rFonts w:ascii="Times New Roman" w:eastAsiaTheme="minorHAnsi" w:hAnsi="Times New Roman" w:cs="Times New Roman"/>
          <w:sz w:val="22"/>
          <w:szCs w:val="22"/>
        </w:rPr>
        <w:t xml:space="preserve"> kredisë dhënë për rezidentët në Shqipëri</w:t>
      </w:r>
      <w:r w:rsidR="0022054C" w:rsidRPr="00A14441">
        <w:rPr>
          <w:rFonts w:ascii="Times New Roman" w:eastAsiaTheme="minorHAnsi" w:hAnsi="Times New Roman" w:cs="Times New Roman"/>
          <w:sz w:val="22"/>
          <w:szCs w:val="22"/>
        </w:rPr>
        <w:t xml:space="preserve"> dhe nuk përfshin k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reditë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ndërbankare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dhe ato për jo</w:t>
      </w:r>
      <w:r w:rsidR="0022054C" w:rsidRPr="00A14441">
        <w:rPr>
          <w:rFonts w:ascii="Times New Roman" w:eastAsiaTheme="minorHAnsi" w:hAnsi="Times New Roman" w:cs="Times New Roman"/>
          <w:sz w:val="22"/>
          <w:szCs w:val="22"/>
        </w:rPr>
        <w:t>-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rezidentët.</w:t>
      </w:r>
    </w:p>
    <w:p w:rsidR="0049439D" w:rsidRPr="00521F96" w:rsidRDefault="0049439D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21F96">
        <w:rPr>
          <w:rFonts w:ascii="Times New Roman" w:eastAsiaTheme="minorHAnsi" w:hAnsi="Times New Roman" w:cs="Times New Roman"/>
          <w:b/>
          <w:sz w:val="22"/>
          <w:szCs w:val="22"/>
        </w:rPr>
        <w:t xml:space="preserve">Kredia </w:t>
      </w:r>
      <w:proofErr w:type="spellStart"/>
      <w:r w:rsidRPr="00521F96">
        <w:rPr>
          <w:rFonts w:ascii="Times New Roman" w:eastAsiaTheme="minorHAnsi" w:hAnsi="Times New Roman" w:cs="Times New Roman"/>
          <w:b/>
          <w:sz w:val="22"/>
          <w:szCs w:val="22"/>
        </w:rPr>
        <w:t>konsumatore</w:t>
      </w:r>
      <w:proofErr w:type="spellEnd"/>
      <w:r w:rsidRPr="00521F96">
        <w:rPr>
          <w:rFonts w:ascii="Times New Roman" w:eastAsiaTheme="minorHAnsi" w:hAnsi="Times New Roman" w:cs="Times New Roman"/>
          <w:b/>
          <w:sz w:val="22"/>
          <w:szCs w:val="22"/>
        </w:rPr>
        <w:t xml:space="preserve"> dhe huadhënie të tjera. 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Kredia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konsumatore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 xml:space="preserve">përfshin çdo lloj huaje të </w:t>
      </w:r>
      <w:proofErr w:type="spellStart"/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>disbursuar</w:t>
      </w:r>
      <w:proofErr w:type="spellEnd"/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 xml:space="preserve"> nga banka për individët me qëllim blerjen e mallrave </w:t>
      </w:r>
      <w:r w:rsidR="00492A86" w:rsidRPr="00521F96">
        <w:rPr>
          <w:rFonts w:ascii="Times New Roman" w:eastAsiaTheme="minorHAnsi" w:hAnsi="Times New Roman" w:cs="Times New Roman"/>
          <w:sz w:val="22"/>
          <w:szCs w:val="22"/>
        </w:rPr>
        <w:t>dh</w:t>
      </w:r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 xml:space="preserve">e shërbimeve për konsum vetjak, sipas përkufizimeve në Vendimin nr.48, dt.01.07.2015 të </w:t>
      </w:r>
      <w:proofErr w:type="spellStart"/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>BSh</w:t>
      </w:r>
      <w:proofErr w:type="spellEnd"/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 xml:space="preserve">-së për miratimin e Rregullores “Për kredinë </w:t>
      </w:r>
      <w:proofErr w:type="spellStart"/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>konsumator</w:t>
      </w:r>
      <w:r w:rsidR="009C4DA4" w:rsidRPr="00521F96">
        <w:rPr>
          <w:rFonts w:ascii="Times New Roman" w:eastAsiaTheme="minorHAnsi" w:hAnsi="Times New Roman" w:cs="Times New Roman"/>
          <w:sz w:val="22"/>
          <w:szCs w:val="22"/>
        </w:rPr>
        <w:t>e</w:t>
      </w:r>
      <w:proofErr w:type="spellEnd"/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 xml:space="preserve"> dhe kredinë hipotekare” dhe Ligjin 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nr.9902, dt. 17.04.2008, “Për mbrojtjen e konsumatorëve”, i ndryshuar. 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Shembuj </w:t>
      </w:r>
      <w:r w:rsidR="00187F54" w:rsidRPr="00521F96">
        <w:rPr>
          <w:rFonts w:ascii="Times New Roman" w:eastAsiaTheme="minorHAnsi" w:hAnsi="Times New Roman" w:cs="Times New Roman"/>
          <w:sz w:val="22"/>
          <w:szCs w:val="22"/>
        </w:rPr>
        <w:t>ilustrues për këtë kategori kredie j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anë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huatë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 e dhëna për financimin e automjeteve,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mobil</w:t>
      </w:r>
      <w:r w:rsidR="001D4A1C" w:rsidRPr="00521F96">
        <w:rPr>
          <w:rFonts w:ascii="Times New Roman" w:eastAsiaTheme="minorHAnsi" w:hAnsi="Times New Roman" w:cs="Times New Roman"/>
          <w:sz w:val="22"/>
          <w:szCs w:val="22"/>
        </w:rPr>
        <w:t>j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>eve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, pajisjeve shtëpiake dhe mallrave të tjerë të konsumit, udhëtimeve për festa etj. Në këtë kategori zakonisht përfshihen edhe kreditë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overdraft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 dhe kreditë me kartë krediti.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Huatë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 e përfshira në këtë kategori mund të kenë ose jo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kolateral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.  </w:t>
      </w:r>
    </w:p>
    <w:p w:rsidR="00FF553A" w:rsidRPr="00521F96" w:rsidRDefault="00FF553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21F96">
        <w:rPr>
          <w:rFonts w:ascii="Times New Roman" w:eastAsiaTheme="minorHAnsi" w:hAnsi="Times New Roman" w:cs="Times New Roman"/>
          <w:b/>
          <w:sz w:val="22"/>
          <w:szCs w:val="22"/>
        </w:rPr>
        <w:t xml:space="preserve">Kredia për blerje banese. 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Ky term i referohet </w:t>
      </w:r>
      <w:proofErr w:type="spellStart"/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>huasë</w:t>
      </w:r>
      <w:proofErr w:type="spellEnd"/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 dhënë </w:t>
      </w:r>
      <w:r w:rsidR="00602444" w:rsidRPr="00521F96">
        <w:rPr>
          <w:rFonts w:ascii="Times New Roman" w:eastAsiaTheme="minorHAnsi" w:hAnsi="Times New Roman" w:cs="Times New Roman"/>
          <w:sz w:val="22"/>
          <w:szCs w:val="22"/>
        </w:rPr>
        <w:t>individëve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 nga  bank</w:t>
      </w:r>
      <w:r w:rsidR="009360AE" w:rsidRPr="00521F96">
        <w:rPr>
          <w:rFonts w:ascii="Times New Roman" w:eastAsiaTheme="minorHAnsi" w:hAnsi="Times New Roman" w:cs="Times New Roman"/>
          <w:sz w:val="22"/>
          <w:szCs w:val="22"/>
        </w:rPr>
        <w:t>a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 me qëllim blerjen, ndërtimin ose rikonstruksionin e një pasurie të paluajtshme rezidenciale</w:t>
      </w:r>
      <w:r w:rsidR="00962286">
        <w:rPr>
          <w:rFonts w:ascii="Times New Roman" w:eastAsiaTheme="minorHAnsi" w:hAnsi="Times New Roman" w:cs="Times New Roman"/>
          <w:sz w:val="22"/>
          <w:szCs w:val="22"/>
        </w:rPr>
        <w:t>,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 b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azuar në Vendimin nr.48, dt.01.07.2015 të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BSh</w:t>
      </w:r>
      <w:proofErr w:type="spellEnd"/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-së për miratimin e Rregullores “Për kredinë </w:t>
      </w:r>
      <w:proofErr w:type="spellStart"/>
      <w:r w:rsidRPr="00521F96">
        <w:rPr>
          <w:rFonts w:ascii="Times New Roman" w:eastAsiaTheme="minorHAnsi" w:hAnsi="Times New Roman" w:cs="Times New Roman"/>
          <w:sz w:val="22"/>
          <w:szCs w:val="22"/>
        </w:rPr>
        <w:t>kons</w:t>
      </w:r>
      <w:r w:rsidR="007163C6" w:rsidRPr="00521F96">
        <w:rPr>
          <w:rFonts w:ascii="Times New Roman" w:eastAsiaTheme="minorHAnsi" w:hAnsi="Times New Roman" w:cs="Times New Roman"/>
          <w:sz w:val="22"/>
          <w:szCs w:val="22"/>
        </w:rPr>
        <w:t>umator</w:t>
      </w:r>
      <w:r w:rsidR="009C4DA4" w:rsidRPr="00521F96">
        <w:rPr>
          <w:rFonts w:ascii="Times New Roman" w:eastAsiaTheme="minorHAnsi" w:hAnsi="Times New Roman" w:cs="Times New Roman"/>
          <w:sz w:val="22"/>
          <w:szCs w:val="22"/>
        </w:rPr>
        <w:t>e</w:t>
      </w:r>
      <w:proofErr w:type="spellEnd"/>
      <w:r w:rsidR="007163C6" w:rsidRPr="00521F96">
        <w:rPr>
          <w:rFonts w:ascii="Times New Roman" w:eastAsiaTheme="minorHAnsi" w:hAnsi="Times New Roman" w:cs="Times New Roman"/>
          <w:sz w:val="22"/>
          <w:szCs w:val="22"/>
        </w:rPr>
        <w:t xml:space="preserve"> dhe kredinë hipotekare”.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lastRenderedPageBreak/>
        <w:t>Këto pasuri</w:t>
      </w:r>
      <w:r w:rsidR="00962286">
        <w:rPr>
          <w:rFonts w:ascii="Times New Roman" w:eastAsiaTheme="minorHAnsi" w:hAnsi="Times New Roman" w:cs="Times New Roman"/>
          <w:sz w:val="22"/>
          <w:szCs w:val="22"/>
        </w:rPr>
        <w:t xml:space="preserve"> të paluajtshme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 përfshijnë shtëpitë, </w:t>
      </w:r>
      <w:r w:rsidR="0038455F" w:rsidRPr="00521F96">
        <w:rPr>
          <w:rFonts w:ascii="Times New Roman" w:eastAsiaTheme="minorHAnsi" w:hAnsi="Times New Roman" w:cs="Times New Roman"/>
          <w:sz w:val="22"/>
          <w:szCs w:val="22"/>
        </w:rPr>
        <w:t xml:space="preserve">godinat, </w:t>
      </w:r>
      <w:r w:rsidRPr="00521F96">
        <w:rPr>
          <w:rFonts w:ascii="Times New Roman" w:eastAsiaTheme="minorHAnsi" w:hAnsi="Times New Roman" w:cs="Times New Roman"/>
          <w:sz w:val="22"/>
          <w:szCs w:val="22"/>
        </w:rPr>
        <w:t xml:space="preserve">apartamentet, ose truallin mbi të cilin do ndërtohet godina e banimit. </w:t>
      </w:r>
    </w:p>
    <w:p w:rsidR="009C1361" w:rsidRPr="00A14441" w:rsidRDefault="009C1361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Kushtet dhe termat e kredisë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. Kushtet dhe termat e kredisë i referohen kushteve dhe afatit të kredisë të miratuar, sikurse përcaktohet në kontratën e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huasë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, mbi të cilat është rënë dakord midis bankës dhe huamarrësit. Ato përgjithësisht përbëhen nga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marzhi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mbi një normë interesi referencë, madhësia e kredisë, kushtet e përqasjes së bankës dhe kushtet e tjera në formën e tarifave, komisioneve, kostove jo-interes,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kolateralit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apo garancive, kushtëzimet e kredisë dhe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maturimi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i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huasë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së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dakorduar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>. Termat dhe kushtet e kredisë janë të kushtëzuara nga profili i huamarrësit dhe mund të ndryshojnë në mënyrë paralele ose të pavarur nga standardet e kredisë. Për shembull</w:t>
      </w:r>
      <w:r w:rsidR="00737337">
        <w:rPr>
          <w:rFonts w:ascii="Times New Roman" w:eastAsiaTheme="minorHAnsi" w:hAnsi="Times New Roman" w:cs="Times New Roman"/>
          <w:sz w:val="22"/>
          <w:szCs w:val="22"/>
        </w:rPr>
        <w:t>,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kostot më të larta të financimit ose përkeqësimi i perspektivës ekonomike mund të çojë në shtrëngimin standardeve të kredisë, si edhe në shtrëngimin e kushteve për ato kredi që banka është e gatshme të miratojë dhe klientët e saj janë të gatshëm të pranojnë. Në formë alternative, banka mund të ndryshojë vetëm termat e kontratës/ kushtet e shënuara në kontratën e kredisë (si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psh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>. rritja e marzhe-ve përkundrejt normave referencë) të kërkuar për të kompensuar koston / rrezikun shtesë dhe të mbajë standardet e kredisë të pandryshuara.</w:t>
      </w:r>
    </w:p>
    <w:p w:rsidR="000829B4" w:rsidRPr="00A14441" w:rsidRDefault="000829B4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Kush</w:t>
      </w:r>
      <w:r w:rsidR="00B02FA3"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tëzimet e kontratës së kredisë. </w:t>
      </w:r>
      <w:r w:rsidR="00A63F81" w:rsidRPr="00521F96">
        <w:rPr>
          <w:rFonts w:ascii="Times New Roman" w:eastAsiaTheme="minorHAnsi" w:hAnsi="Times New Roman" w:cs="Times New Roman"/>
          <w:sz w:val="22"/>
          <w:szCs w:val="22"/>
        </w:rPr>
        <w:t xml:space="preserve">Kushtëzimi në kontratën e kredisë është një marrëveshje apo përcaktim ligjor, sipas të cilit huamarrësi (tipikisht një biznes) zotohet të ndërmarrë veprime </w:t>
      </w:r>
      <w:r w:rsidR="00A63F81" w:rsidRPr="00521F96">
        <w:rPr>
          <w:rFonts w:ascii="Times New Roman" w:eastAsiaTheme="minorHAnsi" w:hAnsi="Times New Roman" w:cs="Times New Roman"/>
          <w:b/>
          <w:sz w:val="22"/>
          <w:szCs w:val="22"/>
        </w:rPr>
        <w:t>shtesë apo</w:t>
      </w:r>
      <w:r w:rsidR="00A63F81" w:rsidRPr="00A14441">
        <w:rPr>
          <w:rFonts w:ascii="Times New Roman" w:eastAsiaTheme="minorHAnsi" w:hAnsi="Times New Roman" w:cs="Times New Roman"/>
          <w:sz w:val="22"/>
          <w:szCs w:val="22"/>
        </w:rPr>
        <w:t xml:space="preserve"> edhe të ndalojë së marri ato, me qëllim përmbushjen e tërësisë së kushteve në akordimin e kredisë. Si i tillë, kushtëzimi në kontratën e kredisë është pjesë e termave dhe e kushteve të kredisë.</w:t>
      </w:r>
      <w:r w:rsidR="007163C6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Madhësia e bizneseve.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C2461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Përcaktimi 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C2461" w:rsidRPr="00A14441">
        <w:rPr>
          <w:rFonts w:ascii="Times New Roman" w:eastAsiaTheme="minorHAnsi" w:hAnsi="Times New Roman" w:cs="Times New Roman"/>
          <w:sz w:val="22"/>
          <w:szCs w:val="22"/>
        </w:rPr>
        <w:t xml:space="preserve">madhësisë së biznesit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bazohet në </w:t>
      </w:r>
      <w:r w:rsidR="00CC2461" w:rsidRPr="00A14441">
        <w:rPr>
          <w:rFonts w:ascii="Times New Roman" w:eastAsiaTheme="minorHAnsi" w:hAnsi="Times New Roman" w:cs="Times New Roman"/>
          <w:sz w:val="22"/>
          <w:szCs w:val="22"/>
        </w:rPr>
        <w:t>Ligji</w:t>
      </w:r>
      <w:r w:rsidR="00F462D2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CC2461" w:rsidRPr="00A14441">
        <w:rPr>
          <w:rFonts w:ascii="Times New Roman" w:eastAsiaTheme="minorHAnsi" w:hAnsi="Times New Roman" w:cs="Times New Roman"/>
          <w:sz w:val="22"/>
          <w:szCs w:val="22"/>
        </w:rPr>
        <w:t xml:space="preserve"> nr. 8957 “Për ndërmarrjet e vogla dhe të mesme”, dt. 17.10.2002, i ndryshuar</w:t>
      </w:r>
      <w:r w:rsidR="007435E0"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  <w:r w:rsidR="00CC2461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3108C" w:rsidRPr="00A14441">
        <w:rPr>
          <w:rFonts w:ascii="Times New Roman" w:eastAsiaTheme="minorHAnsi" w:hAnsi="Times New Roman" w:cs="Times New Roman"/>
          <w:sz w:val="22"/>
          <w:szCs w:val="22"/>
        </w:rPr>
        <w:t xml:space="preserve">Dispozitat e këtij ligji parashikojnë dy kritere në përcaktimin e madhësisë së biznesit: kriteri i numrit të punonjësve dhe ai i qarkullimit vjetor. Në kategorinë e bizneseve të mëdha përfshihen ato ndërmarrje të cilat kanë një numër punonjësish më të lartë sesa 250 dhe një qarkullim vjetor mbi 250 milionë lekë. Pjesa tjetër e bizneseve kategorizohen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në grupin e bizneseve të vogla dhe të mesme. 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proofErr w:type="spellStart"/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Marzhi</w:t>
      </w:r>
      <w:proofErr w:type="spellEnd"/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 mbi normën referencë në treg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A14441">
        <w:rPr>
          <w:rFonts w:ascii="Times New Roman" w:hAnsi="Times New Roman" w:cs="Times New Roman"/>
        </w:rPr>
        <w:t xml:space="preserve"> </w:t>
      </w:r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Ky tregues shpreh diferencën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ndërmjet normës së interesit të kredisë </w:t>
      </w:r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aplikuar prej bankës me një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normë interesi</w:t>
      </w:r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referencë (</w:t>
      </w:r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që mund të jetë </w:t>
      </w:r>
      <w:proofErr w:type="spellStart"/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>yield</w:t>
      </w:r>
      <w:proofErr w:type="spellEnd"/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-i 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bonove </w:t>
      </w:r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thesarit, </w:t>
      </w:r>
      <w:proofErr w:type="spellStart"/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>Repo</w:t>
      </w:r>
      <w:proofErr w:type="spellEnd"/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Euribor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Libor</w:t>
      </w:r>
      <w:proofErr w:type="spellEnd"/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>etj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>)</w:t>
      </w:r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proofErr w:type="spellStart"/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>Marzhi</w:t>
      </w:r>
      <w:proofErr w:type="spellEnd"/>
      <w:r w:rsidR="002576E4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 xml:space="preserve">përcaktohet në bazë të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karakteristika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>ve të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kredisë</w:t>
      </w:r>
      <w:r w:rsidR="002F1D6B" w:rsidRPr="00A14441">
        <w:rPr>
          <w:rFonts w:ascii="Times New Roman" w:eastAsiaTheme="minorHAnsi" w:hAnsi="Times New Roman" w:cs="Times New Roman"/>
          <w:sz w:val="22"/>
          <w:szCs w:val="22"/>
        </w:rPr>
        <w:t>. Ai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 xml:space="preserve"> reflekton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ndryshimet 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 xml:space="preserve">e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norma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>v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e 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interesit të kredisë 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>që banka aplikon</w:t>
      </w:r>
      <w:r w:rsidR="00363822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975E5" w:rsidRPr="00A14441">
        <w:rPr>
          <w:rFonts w:ascii="Times New Roman" w:eastAsiaTheme="minorHAnsi" w:hAnsi="Times New Roman" w:cs="Times New Roman"/>
          <w:sz w:val="22"/>
          <w:szCs w:val="22"/>
        </w:rPr>
        <w:t>të lidhura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me ndryshimet në koston e financimit të bankës, me rrezikun e huamarrësit</w:t>
      </w:r>
      <w:r w:rsidR="002F1D6B" w:rsidRPr="00A14441">
        <w:rPr>
          <w:rFonts w:ascii="Times New Roman" w:eastAsiaTheme="minorHAnsi" w:hAnsi="Times New Roman" w:cs="Times New Roman"/>
          <w:sz w:val="22"/>
          <w:szCs w:val="22"/>
        </w:rPr>
        <w:t xml:space="preserve">, si edhe me perceptimin e bankës rreth perspektivës politiko-ekonomike në vend. Në formë të thjeshtuar, </w:t>
      </w:r>
      <w:proofErr w:type="spellStart"/>
      <w:r w:rsidR="002F1D6B" w:rsidRPr="00A14441">
        <w:rPr>
          <w:rFonts w:ascii="Times New Roman" w:eastAsiaTheme="minorHAnsi" w:hAnsi="Times New Roman" w:cs="Times New Roman"/>
          <w:sz w:val="22"/>
          <w:szCs w:val="22"/>
        </w:rPr>
        <w:t>marzhi</w:t>
      </w:r>
      <w:proofErr w:type="spellEnd"/>
      <w:r w:rsidR="002F1D6B" w:rsidRPr="00A14441">
        <w:rPr>
          <w:rFonts w:ascii="Times New Roman" w:eastAsiaTheme="minorHAnsi" w:hAnsi="Times New Roman" w:cs="Times New Roman"/>
          <w:sz w:val="22"/>
          <w:szCs w:val="22"/>
        </w:rPr>
        <w:t xml:space="preserve"> pasqyron ndryshimet në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normat e interesit të kredisë së bankës </w:t>
      </w:r>
      <w:r w:rsidR="002F1D6B"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pavarura nga ndryshimet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në normat e tregut (si </w:t>
      </w:r>
      <w:proofErr w:type="spellStart"/>
      <w:r w:rsidR="002F1D6B" w:rsidRPr="00A14441">
        <w:rPr>
          <w:rFonts w:ascii="Times New Roman" w:eastAsiaTheme="minorHAnsi" w:hAnsi="Times New Roman" w:cs="Times New Roman"/>
          <w:sz w:val="22"/>
          <w:szCs w:val="22"/>
        </w:rPr>
        <w:t>Repo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>, Bono Thesari, EURIBOR ose LIBOR).</w:t>
      </w:r>
    </w:p>
    <w:p w:rsidR="004A745C" w:rsidRPr="00A14441" w:rsidRDefault="004A745C" w:rsidP="009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 w:cs="Times New Roman"/>
        </w:rPr>
      </w:pPr>
      <w:r w:rsidRPr="00A14441">
        <w:rPr>
          <w:rFonts w:ascii="Times New Roman" w:hAnsi="Times New Roman" w:cs="Times New Roman"/>
          <w:b/>
        </w:rPr>
        <w:t>Maturiteti.</w:t>
      </w:r>
      <w:r w:rsidRPr="00A14441">
        <w:rPr>
          <w:rFonts w:ascii="Times New Roman" w:hAnsi="Times New Roman" w:cs="Times New Roman"/>
        </w:rPr>
        <w:t xml:space="preserve"> Koncepti i maturitetit të kredisë </w:t>
      </w:r>
      <w:r w:rsidR="006E68FE" w:rsidRPr="00A14441">
        <w:rPr>
          <w:rFonts w:ascii="Times New Roman" w:hAnsi="Times New Roman" w:cs="Times New Roman"/>
        </w:rPr>
        <w:t>i referohet</w:t>
      </w:r>
      <w:r w:rsidRPr="00A14441">
        <w:rPr>
          <w:rFonts w:ascii="Times New Roman" w:hAnsi="Times New Roman" w:cs="Times New Roman"/>
        </w:rPr>
        <w:t xml:space="preserve"> maturiteti fillestar</w:t>
      </w:r>
      <w:r w:rsidR="009F2BE7" w:rsidRPr="00A14441">
        <w:rPr>
          <w:rFonts w:ascii="Times New Roman" w:hAnsi="Times New Roman" w:cs="Times New Roman"/>
        </w:rPr>
        <w:t xml:space="preserve"> </w:t>
      </w:r>
      <w:r w:rsidR="00363822" w:rsidRPr="00A14441">
        <w:rPr>
          <w:rFonts w:ascii="Times New Roman" w:hAnsi="Times New Roman" w:cs="Times New Roman"/>
        </w:rPr>
        <w:t>-</w:t>
      </w:r>
      <w:r w:rsidR="006E68FE" w:rsidRPr="00A14441">
        <w:rPr>
          <w:rFonts w:ascii="Times New Roman" w:hAnsi="Times New Roman" w:cs="Times New Roman"/>
        </w:rPr>
        <w:t>kohëzgjatjes së afatit të</w:t>
      </w:r>
      <w:r w:rsidRPr="00A14441">
        <w:rPr>
          <w:rFonts w:ascii="Times New Roman" w:hAnsi="Times New Roman" w:cs="Times New Roman"/>
        </w:rPr>
        <w:t xml:space="preserve"> kredisë</w:t>
      </w:r>
      <w:r w:rsidR="006E68FE" w:rsidRPr="00A14441">
        <w:rPr>
          <w:rFonts w:ascii="Times New Roman" w:hAnsi="Times New Roman" w:cs="Times New Roman"/>
        </w:rPr>
        <w:t xml:space="preserve"> </w:t>
      </w:r>
      <w:r w:rsidRPr="00A14441">
        <w:rPr>
          <w:rFonts w:ascii="Times New Roman" w:hAnsi="Times New Roman" w:cs="Times New Roman"/>
        </w:rPr>
        <w:t xml:space="preserve"> </w:t>
      </w:r>
      <w:proofErr w:type="spellStart"/>
      <w:r w:rsidRPr="00A14441">
        <w:rPr>
          <w:rFonts w:ascii="Times New Roman" w:hAnsi="Times New Roman" w:cs="Times New Roman"/>
        </w:rPr>
        <w:t>dakorduar</w:t>
      </w:r>
      <w:proofErr w:type="spellEnd"/>
      <w:r w:rsidRPr="00A14441">
        <w:rPr>
          <w:rFonts w:ascii="Times New Roman" w:hAnsi="Times New Roman" w:cs="Times New Roman"/>
        </w:rPr>
        <w:t xml:space="preserve"> </w:t>
      </w:r>
      <w:r w:rsidR="006E68FE" w:rsidRPr="00A14441">
        <w:rPr>
          <w:rFonts w:ascii="Times New Roman" w:hAnsi="Times New Roman" w:cs="Times New Roman"/>
        </w:rPr>
        <w:t xml:space="preserve">ndërmjet  </w:t>
      </w:r>
      <w:r w:rsidRPr="00A14441">
        <w:rPr>
          <w:rFonts w:ascii="Times New Roman" w:hAnsi="Times New Roman" w:cs="Times New Roman"/>
        </w:rPr>
        <w:t>huamarrësit dhe bankës</w:t>
      </w:r>
      <w:r w:rsidR="006E68FE" w:rsidRPr="00A14441">
        <w:rPr>
          <w:rFonts w:ascii="Times New Roman" w:hAnsi="Times New Roman" w:cs="Times New Roman"/>
        </w:rPr>
        <w:t xml:space="preserve"> në marrëveshjen e nënshkruar mes palëve. </w:t>
      </w:r>
    </w:p>
    <w:p w:rsidR="004A745C" w:rsidRPr="00A14441" w:rsidRDefault="004A745C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Perceptimi i rrezikut dhe </w:t>
      </w:r>
      <w:r w:rsidR="006E68FE"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toleranca ndaj </w:t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rrezikut.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Perceptimi i rrezikut i referohet 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>ndjesisë së bankës rreth zhvillimeve aktuale dhe atyre të pritura të treguesve kryesorë ekonomikë,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>gjendje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>s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 xml:space="preserve"> aktuale dhe perspektivë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>s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>së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 xml:space="preserve"> firmës apo industrisë ku firma operon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, aftësi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ë </w:t>
      </w:r>
      <w:proofErr w:type="spellStart"/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>paguese</w:t>
      </w:r>
      <w:proofErr w:type="spellEnd"/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huamarrësit, si dhe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kolaterali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>t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>të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 xml:space="preserve"> kërkuar</w:t>
      </w:r>
      <w:r w:rsidR="00715EC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(faktorët e kërkesës)</w:t>
      </w:r>
      <w:r w:rsidR="00715EC7"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Në të kundërt, toleranca </w:t>
      </w:r>
      <w:r w:rsidR="009200EF" w:rsidRPr="00A14441">
        <w:rPr>
          <w:rFonts w:ascii="Times New Roman" w:eastAsiaTheme="minorHAnsi" w:hAnsi="Times New Roman" w:cs="Times New Roman"/>
          <w:sz w:val="22"/>
          <w:szCs w:val="22"/>
        </w:rPr>
        <w:t xml:space="preserve">ndaj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rrezikut i referohet tolerancës </w:t>
      </w:r>
      <w:r w:rsidR="0018578D" w:rsidRPr="00A14441">
        <w:rPr>
          <w:rFonts w:ascii="Times New Roman" w:eastAsiaTheme="minorHAnsi" w:hAnsi="Times New Roman" w:cs="Times New Roman"/>
          <w:sz w:val="22"/>
          <w:szCs w:val="22"/>
        </w:rPr>
        <w:t>që banka ka në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politikën e saj të huadhënies</w:t>
      </w:r>
      <w:r w:rsidR="0018578D" w:rsidRPr="00A14441">
        <w:rPr>
          <w:rFonts w:ascii="Times New Roman" w:eastAsiaTheme="minorHAnsi" w:hAnsi="Times New Roman" w:cs="Times New Roman"/>
          <w:sz w:val="22"/>
          <w:szCs w:val="22"/>
        </w:rPr>
        <w:t xml:space="preserve"> ndaj rrezikut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, e cila mund të </w:t>
      </w:r>
      <w:proofErr w:type="spellStart"/>
      <w:r w:rsidR="0018578D" w:rsidRPr="00A14441">
        <w:rPr>
          <w:rFonts w:ascii="Times New Roman" w:eastAsiaTheme="minorHAnsi" w:hAnsi="Times New Roman" w:cs="Times New Roman"/>
          <w:sz w:val="22"/>
          <w:szCs w:val="22"/>
        </w:rPr>
        <w:t>vario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jë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për shkak të ndryshimeve në strategjinë </w:t>
      </w:r>
      <w:r w:rsidR="0018578D" w:rsidRPr="00A14441">
        <w:rPr>
          <w:rFonts w:ascii="Times New Roman" w:eastAsiaTheme="minorHAnsi" w:hAnsi="Times New Roman" w:cs="Times New Roman"/>
          <w:sz w:val="22"/>
          <w:szCs w:val="22"/>
        </w:rPr>
        <w:t>e ndjekur prej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bankës (faktorët e ofertës). Perceptimi i bankave për rrezikun aktual dhe toleranca e tyre ndaj rrezikut mund të ndryshojnë në </w:t>
      </w:r>
      <w:r w:rsidR="0018578D" w:rsidRPr="00A14441">
        <w:rPr>
          <w:rFonts w:ascii="Times New Roman" w:eastAsiaTheme="minorHAnsi" w:hAnsi="Times New Roman" w:cs="Times New Roman"/>
          <w:sz w:val="22"/>
          <w:szCs w:val="22"/>
        </w:rPr>
        <w:t>të njëjtin kah,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ose</w:t>
      </w:r>
      <w:r w:rsidR="00B46895" w:rsidRPr="00A14441">
        <w:rPr>
          <w:rFonts w:ascii="Times New Roman" w:eastAsiaTheme="minorHAnsi" w:hAnsi="Times New Roman" w:cs="Times New Roman"/>
          <w:sz w:val="22"/>
          <w:szCs w:val="22"/>
        </w:rPr>
        <w:t xml:space="preserve"> në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18578D" w:rsidRPr="00A14441">
        <w:rPr>
          <w:rFonts w:ascii="Times New Roman" w:eastAsiaTheme="minorHAnsi" w:hAnsi="Times New Roman" w:cs="Times New Roman"/>
          <w:sz w:val="22"/>
          <w:szCs w:val="22"/>
        </w:rPr>
        <w:t>kahe të kundërta</w:t>
      </w:r>
      <w:r w:rsidR="00A63F81"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4A745C" w:rsidRPr="00A14441" w:rsidRDefault="004A745C" w:rsidP="009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 w:cs="Times New Roman"/>
          <w:b/>
        </w:rPr>
      </w:pPr>
      <w:r w:rsidRPr="00A14441">
        <w:rPr>
          <w:rFonts w:ascii="Times New Roman" w:hAnsi="Times New Roman" w:cs="Times New Roman"/>
          <w:b/>
        </w:rPr>
        <w:lastRenderedPageBreak/>
        <w:t xml:space="preserve">Raport i mbulimit me </w:t>
      </w:r>
      <w:proofErr w:type="spellStart"/>
      <w:r w:rsidRPr="00A14441">
        <w:rPr>
          <w:rFonts w:ascii="Times New Roman" w:hAnsi="Times New Roman" w:cs="Times New Roman"/>
          <w:b/>
        </w:rPr>
        <w:t>kolateral</w:t>
      </w:r>
      <w:proofErr w:type="spellEnd"/>
      <w:r w:rsidRPr="00A14441">
        <w:rPr>
          <w:rFonts w:ascii="Times New Roman" w:hAnsi="Times New Roman" w:cs="Times New Roman"/>
          <w:b/>
        </w:rPr>
        <w:t xml:space="preserve">. </w:t>
      </w:r>
      <w:r w:rsidRPr="00A14441">
        <w:rPr>
          <w:rFonts w:ascii="Times New Roman" w:hAnsi="Times New Roman" w:cs="Times New Roman"/>
        </w:rPr>
        <w:t xml:space="preserve">Raporti i shumës së dhënë hua ndaj vlerës së tregut të </w:t>
      </w:r>
      <w:proofErr w:type="spellStart"/>
      <w:r w:rsidRPr="00A14441">
        <w:rPr>
          <w:rFonts w:ascii="Times New Roman" w:hAnsi="Times New Roman" w:cs="Times New Roman"/>
        </w:rPr>
        <w:t>kolateralit</w:t>
      </w:r>
      <w:proofErr w:type="spellEnd"/>
      <w:r w:rsidRPr="00A14441">
        <w:rPr>
          <w:rFonts w:ascii="Times New Roman" w:hAnsi="Times New Roman" w:cs="Times New Roman"/>
        </w:rPr>
        <w:t xml:space="preserve"> të vendosur për këtë kredi. Ky tregues i referohet kryesisht kredive të përdorura për financimin e pasurive të paluajtshme.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proofErr w:type="spellStart"/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Rifinancimi</w:t>
      </w:r>
      <w:proofErr w:type="spellEnd"/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/ristrukturimi dhe </w:t>
      </w:r>
      <w:proofErr w:type="spellStart"/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rinegoc</w:t>
      </w:r>
      <w:r w:rsidR="00E93AC1" w:rsidRPr="00A14441">
        <w:rPr>
          <w:rFonts w:ascii="Times New Roman" w:eastAsiaTheme="minorHAnsi" w:hAnsi="Times New Roman" w:cs="Times New Roman"/>
          <w:b/>
          <w:sz w:val="22"/>
          <w:szCs w:val="22"/>
        </w:rPr>
        <w:t>i</w:t>
      </w:r>
      <w:r w:rsidR="007E497E" w:rsidRPr="00A14441">
        <w:rPr>
          <w:rFonts w:ascii="Times New Roman" w:eastAsiaTheme="minorHAnsi" w:hAnsi="Times New Roman" w:cs="Times New Roman"/>
          <w:b/>
          <w:sz w:val="22"/>
          <w:szCs w:val="22"/>
        </w:rPr>
        <w:t>i</w:t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mi</w:t>
      </w:r>
      <w:proofErr w:type="spellEnd"/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 i borxhit.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7E497E" w:rsidRPr="00A14441">
        <w:rPr>
          <w:rFonts w:ascii="Times New Roman" w:eastAsiaTheme="minorHAnsi" w:hAnsi="Times New Roman" w:cs="Times New Roman"/>
          <w:sz w:val="22"/>
          <w:szCs w:val="22"/>
        </w:rPr>
        <w:t>Ky koncept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është i përfshirë në pyetësor si një faktor që ndikon kërkesën për kredi. </w:t>
      </w:r>
      <w:r w:rsidR="007E497E" w:rsidRPr="00A14441">
        <w:rPr>
          <w:rFonts w:ascii="Times New Roman" w:eastAsiaTheme="minorHAnsi" w:hAnsi="Times New Roman" w:cs="Times New Roman"/>
          <w:sz w:val="22"/>
          <w:szCs w:val="22"/>
        </w:rPr>
        <w:t xml:space="preserve">Ai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i referohet </w:t>
      </w:r>
      <w:r w:rsidR="007E497E" w:rsidRPr="00A14441">
        <w:rPr>
          <w:rFonts w:ascii="Times New Roman" w:eastAsiaTheme="minorHAnsi" w:hAnsi="Times New Roman" w:cs="Times New Roman"/>
          <w:sz w:val="22"/>
          <w:szCs w:val="22"/>
        </w:rPr>
        <w:t xml:space="preserve">termit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rifinancimit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, ristrukturimit ose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rinegoci</w:t>
      </w:r>
      <w:r w:rsidR="00731F28" w:rsidRPr="00A14441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mit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të kredi</w:t>
      </w:r>
      <w:r w:rsidR="00731F28" w:rsidRPr="00A14441">
        <w:rPr>
          <w:rFonts w:ascii="Times New Roman" w:eastAsiaTheme="minorHAnsi" w:hAnsi="Times New Roman" w:cs="Times New Roman"/>
          <w:sz w:val="22"/>
          <w:szCs w:val="22"/>
        </w:rPr>
        <w:t xml:space="preserve">së, formuluar në </w:t>
      </w:r>
      <w:r w:rsidR="005313A1" w:rsidRPr="00A14441">
        <w:rPr>
          <w:rFonts w:ascii="Times New Roman" w:eastAsiaTheme="minorHAnsi" w:hAnsi="Times New Roman" w:cs="Times New Roman"/>
          <w:sz w:val="22"/>
          <w:szCs w:val="22"/>
        </w:rPr>
        <w:t>R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regullore</w:t>
      </w:r>
      <w:r w:rsidR="00731F28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731F28" w:rsidRPr="00A14441">
        <w:rPr>
          <w:rFonts w:ascii="Times New Roman" w:eastAsiaTheme="minorHAnsi" w:hAnsi="Times New Roman" w:cs="Times New Roman"/>
          <w:sz w:val="22"/>
          <w:szCs w:val="22"/>
        </w:rPr>
        <w:t>e</w:t>
      </w:r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313A1" w:rsidRPr="00A14441">
        <w:rPr>
          <w:rFonts w:ascii="Times New Roman" w:eastAsiaTheme="minorHAnsi" w:hAnsi="Times New Roman" w:cs="Times New Roman"/>
          <w:sz w:val="22"/>
          <w:szCs w:val="22"/>
        </w:rPr>
        <w:t xml:space="preserve">Bankës së Shqipërisë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nr.62</w:t>
      </w:r>
      <w:r w:rsidR="005313A1" w:rsidRPr="00A14441">
        <w:rPr>
          <w:rFonts w:ascii="Times New Roman" w:eastAsiaTheme="minorHAnsi" w:hAnsi="Times New Roman" w:cs="Times New Roman"/>
          <w:sz w:val="22"/>
          <w:szCs w:val="22"/>
        </w:rPr>
        <w:t>, dt.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14.09.2011</w:t>
      </w:r>
      <w:r w:rsidR="005313A1" w:rsidRPr="00A14441">
        <w:rPr>
          <w:rFonts w:ascii="Times New Roman" w:eastAsiaTheme="minorHAnsi" w:hAnsi="Times New Roman" w:cs="Times New Roman"/>
          <w:sz w:val="22"/>
          <w:szCs w:val="22"/>
        </w:rPr>
        <w:t xml:space="preserve"> “Për administrimin e rrezikut të kredisë nga bankat dhe degët e bankave të huaja”</w:t>
      </w:r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, me të cilin nënkuptohen lehtësimet që banka bën për </w:t>
      </w:r>
      <w:proofErr w:type="spellStart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>kredimarrësit</w:t>
      </w:r>
      <w:proofErr w:type="spellEnd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06DC6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>ë vështirësi financiare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Këtu përfshihen lehtësimet e bëra në kushtet e kontratës së kredisë të lidhura kryesisht me afatin, </w:t>
      </w:r>
      <w:proofErr w:type="spellStart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>principalin</w:t>
      </w:r>
      <w:proofErr w:type="spellEnd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dhe normën e interesit; përdorimin e </w:t>
      </w:r>
      <w:proofErr w:type="spellStart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>kolateralit</w:t>
      </w:r>
      <w:proofErr w:type="spellEnd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për shlyerjen e pjesshme të kredisë; apo zëvendësimin e </w:t>
      </w:r>
      <w:proofErr w:type="spellStart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>kredimarrësit</w:t>
      </w:r>
      <w:proofErr w:type="spellEnd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fillestar me një </w:t>
      </w:r>
      <w:proofErr w:type="spellStart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>kredimarrës</w:t>
      </w:r>
      <w:proofErr w:type="spellEnd"/>
      <w:r w:rsidR="00F21BA7" w:rsidRPr="00A14441">
        <w:rPr>
          <w:rFonts w:ascii="Times New Roman" w:eastAsiaTheme="minorHAnsi" w:hAnsi="Times New Roman" w:cs="Times New Roman"/>
          <w:sz w:val="22"/>
          <w:szCs w:val="22"/>
        </w:rPr>
        <w:t xml:space="preserve"> shtesë. </w:t>
      </w:r>
      <w:r w:rsidR="00206DC6" w:rsidRPr="00A14441">
        <w:rPr>
          <w:rFonts w:ascii="Times New Roman" w:eastAsiaTheme="minorHAnsi" w:hAnsi="Times New Roman" w:cs="Times New Roman"/>
          <w:sz w:val="22"/>
          <w:szCs w:val="22"/>
        </w:rPr>
        <w:t xml:space="preserve">Ky faktor do të </w:t>
      </w:r>
      <w:r w:rsidR="00E93AC1" w:rsidRPr="00A14441">
        <w:rPr>
          <w:rFonts w:ascii="Times New Roman" w:eastAsiaTheme="minorHAnsi" w:hAnsi="Times New Roman" w:cs="Times New Roman"/>
          <w:sz w:val="22"/>
          <w:szCs w:val="22"/>
        </w:rPr>
        <w:t>konsiderohet që ka ndikuar në</w:t>
      </w:r>
      <w:r w:rsidR="00206DC6" w:rsidRPr="00A14441">
        <w:rPr>
          <w:rFonts w:ascii="Times New Roman" w:eastAsiaTheme="minorHAnsi" w:hAnsi="Times New Roman" w:cs="Times New Roman"/>
          <w:sz w:val="22"/>
          <w:szCs w:val="22"/>
        </w:rPr>
        <w:t xml:space="preserve"> rritjen e kërkesës për kredi vetëm në rastet e ndryshimeve të kontratave të cilat shoqërohen me zgjatjen e maturitetit </w:t>
      </w:r>
      <w:r w:rsidR="00E93AC1" w:rsidRPr="00A14441">
        <w:rPr>
          <w:rFonts w:ascii="Times New Roman" w:eastAsiaTheme="minorHAnsi" w:hAnsi="Times New Roman" w:cs="Times New Roman"/>
          <w:sz w:val="22"/>
          <w:szCs w:val="22"/>
        </w:rPr>
        <w:t xml:space="preserve">fillestar </w:t>
      </w:r>
      <w:r w:rsidR="00206DC6" w:rsidRPr="00A14441">
        <w:rPr>
          <w:rFonts w:ascii="Times New Roman" w:eastAsiaTheme="minorHAnsi" w:hAnsi="Times New Roman" w:cs="Times New Roman"/>
          <w:sz w:val="22"/>
          <w:szCs w:val="22"/>
        </w:rPr>
        <w:t xml:space="preserve">ose </w:t>
      </w:r>
      <w:r w:rsidR="00E93AC1" w:rsidRPr="00A14441">
        <w:rPr>
          <w:rFonts w:ascii="Times New Roman" w:eastAsiaTheme="minorHAnsi" w:hAnsi="Times New Roman" w:cs="Times New Roman"/>
          <w:sz w:val="22"/>
          <w:szCs w:val="22"/>
        </w:rPr>
        <w:t>rritjen e shumës së</w:t>
      </w:r>
      <w:r w:rsidR="00206DC6" w:rsidRPr="00A14441">
        <w:rPr>
          <w:rFonts w:ascii="Times New Roman" w:eastAsiaTheme="minorHAnsi" w:hAnsi="Times New Roman" w:cs="Times New Roman"/>
          <w:sz w:val="22"/>
          <w:szCs w:val="22"/>
        </w:rPr>
        <w:t xml:space="preserve"> kredisë.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Ristrukturimi i borxhit nuk </w:t>
      </w:r>
      <w:r w:rsidR="00E93AC1" w:rsidRPr="00A14441">
        <w:rPr>
          <w:rFonts w:ascii="Times New Roman" w:eastAsiaTheme="minorHAnsi" w:hAnsi="Times New Roman" w:cs="Times New Roman"/>
          <w:sz w:val="22"/>
          <w:szCs w:val="22"/>
        </w:rPr>
        <w:t>përfshin ato raste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kur mënyra e financimit të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kredimarrësit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E93AC1" w:rsidRPr="00A14441">
        <w:rPr>
          <w:rFonts w:ascii="Times New Roman" w:eastAsiaTheme="minorHAnsi" w:hAnsi="Times New Roman" w:cs="Times New Roman"/>
          <w:sz w:val="22"/>
          <w:szCs w:val="22"/>
        </w:rPr>
        <w:t xml:space="preserve">ndryshon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nga hua në banka në borxh me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instrumenta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letra me vler</w:t>
      </w:r>
      <w:r w:rsidR="001D4A1C" w:rsidRPr="00A14441">
        <w:rPr>
          <w:rFonts w:ascii="Times New Roman" w:eastAsiaTheme="minorHAnsi" w:hAnsi="Times New Roman" w:cs="Times New Roman"/>
          <w:sz w:val="22"/>
          <w:szCs w:val="22"/>
        </w:rPr>
        <w:t xml:space="preserve">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në tregun e kapitalit. Ndërkohë, ristrukturimi i borxhit në formën e kredive të marrë në një institucion tjetër </w:t>
      </w:r>
      <w:r w:rsidR="000B4C13" w:rsidRPr="00A14441">
        <w:rPr>
          <w:rFonts w:ascii="Times New Roman" w:eastAsiaTheme="minorHAnsi" w:hAnsi="Times New Roman" w:cs="Times New Roman"/>
          <w:sz w:val="22"/>
          <w:szCs w:val="22"/>
        </w:rPr>
        <w:t>duhet klasifikuar si faktori "Kreditë nga jo-bankat"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  <w:r w:rsidR="000B4C13" w:rsidRPr="00A14441">
        <w:rPr>
          <w:rFonts w:ascii="Times New Roman" w:hAnsi="Times New Roman" w:cs="Times New Roman"/>
        </w:rPr>
        <w:t xml:space="preserve"> </w:t>
      </w:r>
    </w:p>
    <w:p w:rsidR="004048DA" w:rsidRPr="00A14441" w:rsidRDefault="004048DA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Standardet e kredisë.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Standardet e kredisë janë udhëzimet e brendshme ose kriteret e miratimit të kredisë në një bankë. Ato janë përcaktuar para </w:t>
      </w:r>
      <w:proofErr w:type="spellStart"/>
      <w:r w:rsidR="00DA09A6" w:rsidRPr="00A14441">
        <w:rPr>
          <w:rFonts w:ascii="Times New Roman" w:eastAsiaTheme="minorHAnsi" w:hAnsi="Times New Roman" w:cs="Times New Roman"/>
          <w:sz w:val="22"/>
          <w:szCs w:val="22"/>
        </w:rPr>
        <w:t>negoci</w:t>
      </w:r>
      <w:r w:rsidR="00E93AC1" w:rsidRPr="00A14441">
        <w:rPr>
          <w:rFonts w:ascii="Times New Roman" w:eastAsiaTheme="minorHAnsi" w:hAnsi="Times New Roman" w:cs="Times New Roman"/>
          <w:sz w:val="22"/>
          <w:szCs w:val="22"/>
        </w:rPr>
        <w:t>i</w:t>
      </w:r>
      <w:r w:rsidR="00DA09A6" w:rsidRPr="00A14441">
        <w:rPr>
          <w:rFonts w:ascii="Times New Roman" w:eastAsiaTheme="minorHAnsi" w:hAnsi="Times New Roman" w:cs="Times New Roman"/>
          <w:sz w:val="22"/>
          <w:szCs w:val="22"/>
        </w:rPr>
        <w:t>mit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të kredisë mbi kushtet 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>dhe termat, si edhe përpara vendimit aktual për miratimin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apo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 xml:space="preserve"> refuzimin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 xml:space="preserve">e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kredisë. 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>Standardet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përcaktojnë llojet e kredisë që banka </w:t>
      </w:r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 xml:space="preserve">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konsideron </w:t>
      </w:r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 xml:space="preserve">si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dëshirueshme dhe të padëshirueshme, prioritetet sektoriale ose gjeografike,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kolaterali</w:t>
      </w:r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proofErr w:type="spellEnd"/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 xml:space="preserve"> e konsideruar si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>të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pranueshëm dhe </w:t>
      </w:r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papranueshëm etj. Standardet e kredisë specifikojnë karakteristikat e </w:t>
      </w:r>
      <w:r w:rsidR="002B0A69" w:rsidRPr="00A14441">
        <w:rPr>
          <w:rFonts w:ascii="Times New Roman" w:eastAsiaTheme="minorHAnsi" w:hAnsi="Times New Roman" w:cs="Times New Roman"/>
          <w:sz w:val="22"/>
          <w:szCs w:val="22"/>
        </w:rPr>
        <w:t xml:space="preserve">nevojshme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të huamarrësit (p.sh. kushtet e bilancit, gjendja e të ardhurave, mosha, statusi i punësimit) </w:t>
      </w:r>
      <w:r w:rsidR="00973DEC" w:rsidRPr="00A14441">
        <w:rPr>
          <w:rFonts w:ascii="Times New Roman" w:eastAsiaTheme="minorHAnsi" w:hAnsi="Times New Roman" w:cs="Times New Roman"/>
          <w:sz w:val="22"/>
          <w:szCs w:val="22"/>
        </w:rPr>
        <w:t>në mënyrë që të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mund të merret një hua. Standardet e kredisë mund të ndryshojnë 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>në varësi të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 xml:space="preserve">ndryshimeve 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 xml:space="preserve">ë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kosto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fondeve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;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>bilanci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n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bankës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;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>në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konkurrencë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;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në perceptimin e rrezikut të bankës</w:t>
      </w:r>
      <w:r w:rsidR="00334A86" w:rsidRPr="00A14441">
        <w:rPr>
          <w:rFonts w:ascii="Times New Roman" w:eastAsiaTheme="minorHAnsi" w:hAnsi="Times New Roman" w:cs="Times New Roman"/>
          <w:sz w:val="22"/>
          <w:szCs w:val="22"/>
        </w:rPr>
        <w:t>;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në tolerancën 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 xml:space="preserve">ndaj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rrezikut </w:t>
      </w:r>
      <w:r w:rsidR="000D5BE7" w:rsidRPr="00A14441">
        <w:rPr>
          <w:rFonts w:ascii="Times New Roman" w:eastAsiaTheme="minorHAnsi" w:hAnsi="Times New Roman" w:cs="Times New Roman"/>
          <w:sz w:val="22"/>
          <w:szCs w:val="22"/>
        </w:rPr>
        <w:t>dhe në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ndryshimet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rregullatore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3933DC" w:rsidRPr="00A14441" w:rsidRDefault="003933DC" w:rsidP="009C1361">
      <w:pPr>
        <w:pStyle w:val="HTMLPreformatted"/>
        <w:spacing w:after="240"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A14441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 xml:space="preserve">Statusi i aplikimeve për kredi. </w:t>
      </w:r>
      <w:r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Aplikimet për kredi teorikisht përfshijnë kërkesat formale për kredi, si dhe çdo kërkesë jo-formale për kredi që nuk ka arritur ende stadin e një aplikimi zyrtar për kredi. Nëse informacioni mbi kërkesat </w:t>
      </w:r>
      <w:r w:rsidR="009946E6"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jo</w:t>
      </w:r>
      <w:r w:rsidR="000F3729"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-</w:t>
      </w:r>
      <w:r w:rsidR="009946E6"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formale të</w:t>
      </w:r>
      <w:r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DA09A6"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kredi</w:t>
      </w:r>
      <w:r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së nuk mund të merret, përgjigja e bankës duhet të jepet bazuar mbi vëllimin e kërkesave formale për kredi. Aplikimet për kredi raportohen të ndryshuara jo vetëm nga klientët e rinj, por edhe nga klientët ekzistues. Megjithatë, aplikimet nga klientët ekzistues duhet të përfshihen vetëm nëse vëllimi i një kredie ekzistuese rritet ose jepet një kredi e re.</w:t>
      </w:r>
      <w:r w:rsidRPr="00A14441">
        <w:rPr>
          <w:rFonts w:ascii="Times New Roman" w:hAnsi="Times New Roman" w:cs="Times New Roman"/>
          <w:color w:val="000000" w:themeColor="text1"/>
        </w:rPr>
        <w:t xml:space="preserve"> </w:t>
      </w:r>
      <w:r w:rsidRPr="00A14441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 xml:space="preserve">Refuzimi i </w:t>
      </w:r>
      <w:r w:rsidR="007844CF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kredi</w:t>
      </w:r>
      <w:r w:rsidRPr="00A14441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së</w:t>
      </w:r>
      <w:r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i referohet rasteve të refuzuara  të aplikimeve për kredi. Ky tregues </w:t>
      </w:r>
      <w:r w:rsidR="007844C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llogaritet</w:t>
      </w:r>
      <w:r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si raport i kredive të refuzuara ndaj totalit të aplikimeve për kredi në atë tremujor.</w:t>
      </w:r>
      <w:r w:rsidRPr="00A14441">
        <w:rPr>
          <w:rFonts w:ascii="Times New Roman" w:hAnsi="Times New Roman" w:cs="Times New Roman"/>
          <w:color w:val="000000" w:themeColor="text1"/>
        </w:rPr>
        <w:t xml:space="preserve"> </w:t>
      </w:r>
      <w:r w:rsidRPr="00A1444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Refuzimet e kredisë nuk përfshijnë rastet në të cilat huamarrësi tërheq kërkesën për kredi, sepse kushtet e bankës konsiderohen të pafavorshme.</w:t>
      </w:r>
    </w:p>
    <w:p w:rsidR="000829B4" w:rsidRPr="00A14441" w:rsidRDefault="004A745C" w:rsidP="007844CF">
      <w:pPr>
        <w:pStyle w:val="HTMLPreformatted"/>
        <w:spacing w:after="240" w:line="276" w:lineRule="auto"/>
        <w:rPr>
          <w:rFonts w:ascii="Times New Roman" w:hAnsi="Times New Roman" w:cs="Times New Roman"/>
        </w:rPr>
      </w:pP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Zhvillimet aktuale dhe të prit</w:t>
      </w:r>
      <w:r w:rsidR="000030CE" w:rsidRPr="00A14441">
        <w:rPr>
          <w:rFonts w:ascii="Times New Roman" w:eastAsiaTheme="minorHAnsi" w:hAnsi="Times New Roman" w:cs="Times New Roman"/>
          <w:b/>
          <w:sz w:val="22"/>
          <w:szCs w:val="22"/>
        </w:rPr>
        <w:t>ura në</w:t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 tregu</w:t>
      </w:r>
      <w:r w:rsidR="000030CE" w:rsidRPr="00A14441">
        <w:rPr>
          <w:rFonts w:ascii="Times New Roman" w:eastAsiaTheme="minorHAnsi" w:hAnsi="Times New Roman" w:cs="Times New Roman"/>
          <w:b/>
          <w:sz w:val="22"/>
          <w:szCs w:val="22"/>
        </w:rPr>
        <w:t>n</w:t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0030CE" w:rsidRPr="00A14441">
        <w:rPr>
          <w:rFonts w:ascii="Times New Roman" w:eastAsiaTheme="minorHAnsi" w:hAnsi="Times New Roman" w:cs="Times New Roman"/>
          <w:b/>
          <w:sz w:val="22"/>
          <w:szCs w:val="22"/>
        </w:rPr>
        <w:t xml:space="preserve">e </w:t>
      </w:r>
      <w:r w:rsidRPr="00A14441">
        <w:rPr>
          <w:rFonts w:ascii="Times New Roman" w:eastAsiaTheme="minorHAnsi" w:hAnsi="Times New Roman" w:cs="Times New Roman"/>
          <w:b/>
          <w:sz w:val="22"/>
          <w:szCs w:val="22"/>
        </w:rPr>
        <w:t>banesave</w:t>
      </w:r>
      <w:r w:rsidR="000030CE" w:rsidRPr="00A14441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 xml:space="preserve">Ky term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është një 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 xml:space="preserve">prej 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faktorë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 xml:space="preserve">ve me ndikim si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në kërkesën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>,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ashtu edhe në ofertën për kredi. 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>Ai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përfshin perceptimin e bankave apo të individëve për zhvillimet e 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>pritura në çmimet e banesave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. Në pyetjen 8, </w:t>
      </w:r>
      <w:r w:rsidR="000F3729" w:rsidRPr="00A14441">
        <w:rPr>
          <w:rFonts w:ascii="Times New Roman" w:eastAsiaTheme="minorHAnsi" w:hAnsi="Times New Roman" w:cs="Times New Roman"/>
          <w:sz w:val="22"/>
          <w:szCs w:val="22"/>
        </w:rPr>
        <w:t>3.b ky faktor i</w:t>
      </w:r>
      <w:r w:rsidR="00E9702E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referohe</w:t>
      </w:r>
      <w:r w:rsidR="00E9702E" w:rsidRPr="00A14441">
        <w:rPr>
          <w:rFonts w:ascii="Times New Roman" w:eastAsiaTheme="minorHAnsi" w:hAnsi="Times New Roman" w:cs="Times New Roman"/>
          <w:sz w:val="22"/>
          <w:szCs w:val="22"/>
        </w:rPr>
        <w:t>t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rrezikut lidhur me </w:t>
      </w:r>
      <w:proofErr w:type="spellStart"/>
      <w:r w:rsidRPr="00A14441">
        <w:rPr>
          <w:rFonts w:ascii="Times New Roman" w:eastAsiaTheme="minorHAnsi" w:hAnsi="Times New Roman" w:cs="Times New Roman"/>
          <w:sz w:val="22"/>
          <w:szCs w:val="22"/>
        </w:rPr>
        <w:t>kolateralin</w:t>
      </w:r>
      <w:proofErr w:type="spellEnd"/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 e kërkuar. Në pyetjen 12, </w:t>
      </w:r>
      <w:r w:rsidR="00E9702E" w:rsidRPr="00A14441">
        <w:rPr>
          <w:rFonts w:ascii="Times New Roman" w:eastAsiaTheme="minorHAnsi" w:hAnsi="Times New Roman" w:cs="Times New Roman"/>
          <w:sz w:val="22"/>
          <w:szCs w:val="22"/>
        </w:rPr>
        <w:t>3.c ai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i referohet zh</w:t>
      </w:r>
      <w:bookmarkStart w:id="0" w:name="_GoBack"/>
      <w:bookmarkEnd w:id="0"/>
      <w:r w:rsidRPr="00A14441">
        <w:rPr>
          <w:rFonts w:ascii="Times New Roman" w:eastAsiaTheme="minorHAnsi" w:hAnsi="Times New Roman" w:cs="Times New Roman"/>
          <w:sz w:val="22"/>
          <w:szCs w:val="22"/>
        </w:rPr>
        <w:t>villimeve të pritura në tregun e banesave, përfshirë një rritje (rënie) të kërkesës për kredi për shtëpi, për shkak të rritjes (ulje</w:t>
      </w:r>
      <w:r w:rsidR="00AC0AA1" w:rsidRPr="00A14441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 xml:space="preserve">) </w:t>
      </w:r>
      <w:r w:rsidR="00DA09A6" w:rsidRPr="00A14441">
        <w:rPr>
          <w:rFonts w:ascii="Times New Roman" w:eastAsiaTheme="minorHAnsi" w:hAnsi="Times New Roman" w:cs="Times New Roman"/>
          <w:sz w:val="22"/>
          <w:szCs w:val="22"/>
        </w:rPr>
        <w:t xml:space="preserve">së pritur </w:t>
      </w:r>
      <w:r w:rsidRPr="00A14441">
        <w:rPr>
          <w:rFonts w:ascii="Times New Roman" w:eastAsiaTheme="minorHAnsi" w:hAnsi="Times New Roman" w:cs="Times New Roman"/>
          <w:sz w:val="22"/>
          <w:szCs w:val="22"/>
        </w:rPr>
        <w:t>të kostos së blerjes së një shtëpie dhe / ose kthimit të perceptuar nga investimi në pronë.</w:t>
      </w:r>
    </w:p>
    <w:sectPr w:rsidR="000829B4" w:rsidRPr="00A14441" w:rsidSect="009C136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BD" w:rsidRDefault="00766ABD" w:rsidP="00D444C4">
      <w:r>
        <w:separator/>
      </w:r>
    </w:p>
  </w:endnote>
  <w:endnote w:type="continuationSeparator" w:id="0">
    <w:p w:rsidR="00766ABD" w:rsidRDefault="00766ABD" w:rsidP="00D4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059216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255" w:rsidRPr="00A14441" w:rsidRDefault="00EF7255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A14441">
          <w:rPr>
            <w:rFonts w:ascii="Times New Roman" w:hAnsi="Times New Roman" w:cs="Times New Roman"/>
            <w:sz w:val="20"/>
          </w:rPr>
          <w:fldChar w:fldCharType="begin"/>
        </w:r>
        <w:r w:rsidRPr="00A14441">
          <w:rPr>
            <w:rFonts w:ascii="Times New Roman" w:hAnsi="Times New Roman" w:cs="Times New Roman"/>
            <w:sz w:val="20"/>
          </w:rPr>
          <w:instrText>PAGE   \* MERGEFORMAT</w:instrText>
        </w:r>
        <w:r w:rsidRPr="00A14441">
          <w:rPr>
            <w:rFonts w:ascii="Times New Roman" w:hAnsi="Times New Roman" w:cs="Times New Roman"/>
            <w:sz w:val="20"/>
          </w:rPr>
          <w:fldChar w:fldCharType="separate"/>
        </w:r>
        <w:r w:rsidR="00396BDD">
          <w:rPr>
            <w:rFonts w:ascii="Times New Roman" w:hAnsi="Times New Roman" w:cs="Times New Roman"/>
            <w:noProof/>
            <w:sz w:val="20"/>
          </w:rPr>
          <w:t>4</w:t>
        </w:r>
        <w:r w:rsidRPr="00A14441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EF7255" w:rsidRDefault="00EF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BD" w:rsidRDefault="00766ABD" w:rsidP="00D444C4">
      <w:r>
        <w:separator/>
      </w:r>
    </w:p>
  </w:footnote>
  <w:footnote w:type="continuationSeparator" w:id="0">
    <w:p w:rsidR="00766ABD" w:rsidRDefault="00766ABD" w:rsidP="00D444C4">
      <w:r>
        <w:continuationSeparator/>
      </w:r>
    </w:p>
  </w:footnote>
  <w:footnote w:id="1">
    <w:p w:rsidR="000C44E5" w:rsidRPr="00A14441" w:rsidRDefault="000C44E5" w:rsidP="0094670E">
      <w:pPr>
        <w:pStyle w:val="FootnoteText"/>
        <w:rPr>
          <w:rFonts w:ascii="Times New Roman" w:hAnsi="Times New Roman" w:cs="Times New Roman"/>
          <w:lang w:val="en-US"/>
        </w:rPr>
      </w:pPr>
      <w:r w:rsidRPr="00A14441">
        <w:rPr>
          <w:rStyle w:val="FootnoteReference"/>
          <w:rFonts w:ascii="Times New Roman" w:hAnsi="Times New Roman" w:cs="Times New Roman"/>
        </w:rPr>
        <w:footnoteRef/>
      </w:r>
      <w:r w:rsidRPr="00A14441">
        <w:rPr>
          <w:rFonts w:ascii="Times New Roman" w:hAnsi="Times New Roman" w:cs="Times New Roman"/>
        </w:rPr>
        <w:t xml:space="preserve"> Kapitali i llogaritur për qëllime të mbikëqyrjes bankare, ku përfshihen kategoritë e ndryshme të kapitalit dhe të rezervave, si dhe elemente të tjera, të cilat përcaktohen nga Banka e Shqipërisë me akte nënligjore)</w:t>
      </w:r>
    </w:p>
  </w:footnote>
  <w:footnote w:id="2">
    <w:p w:rsidR="00DB6E06" w:rsidRPr="00A14441" w:rsidRDefault="00DB6E06" w:rsidP="0094670E">
      <w:pPr>
        <w:pStyle w:val="FootnoteText"/>
        <w:rPr>
          <w:rFonts w:ascii="Times New Roman" w:hAnsi="Times New Roman" w:cs="Times New Roman"/>
        </w:rPr>
      </w:pPr>
      <w:r w:rsidRPr="00A14441">
        <w:rPr>
          <w:rStyle w:val="FootnoteReference"/>
          <w:rFonts w:ascii="Times New Roman" w:hAnsi="Times New Roman" w:cs="Times New Roman"/>
        </w:rPr>
        <w:footnoteRef/>
      </w:r>
      <w:r w:rsidRPr="00A14441">
        <w:rPr>
          <w:rFonts w:ascii="Times New Roman" w:hAnsi="Times New Roman" w:cs="Times New Roman"/>
        </w:rPr>
        <w:t xml:space="preserve"> Për qëllime të këtij pyetësori termi kredi është i </w:t>
      </w:r>
      <w:proofErr w:type="spellStart"/>
      <w:r w:rsidRPr="00A14441">
        <w:rPr>
          <w:rFonts w:ascii="Times New Roman" w:hAnsi="Times New Roman" w:cs="Times New Roman"/>
        </w:rPr>
        <w:t>bara</w:t>
      </w:r>
      <w:r w:rsidR="001D4A1C" w:rsidRPr="00A14441">
        <w:rPr>
          <w:rFonts w:ascii="Times New Roman" w:hAnsi="Times New Roman" w:cs="Times New Roman"/>
        </w:rPr>
        <w:t>z</w:t>
      </w:r>
      <w:r w:rsidRPr="00A14441">
        <w:rPr>
          <w:rFonts w:ascii="Times New Roman" w:hAnsi="Times New Roman" w:cs="Times New Roman"/>
        </w:rPr>
        <w:t>vlefshëm</w:t>
      </w:r>
      <w:proofErr w:type="spellEnd"/>
      <w:r w:rsidRPr="00A14441">
        <w:rPr>
          <w:rFonts w:ascii="Times New Roman" w:hAnsi="Times New Roman" w:cs="Times New Roman"/>
        </w:rPr>
        <w:t xml:space="preserve"> me termin e </w:t>
      </w:r>
      <w:proofErr w:type="spellStart"/>
      <w:r w:rsidRPr="00A14441">
        <w:rPr>
          <w:rFonts w:ascii="Times New Roman" w:hAnsi="Times New Roman" w:cs="Times New Roman"/>
        </w:rPr>
        <w:t>huasë</w:t>
      </w:r>
      <w:proofErr w:type="spellEnd"/>
      <w:r w:rsidRPr="00A14441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text1" w:themeTint="80"/>
        <w:sz w:val="24"/>
      </w:rPr>
      <w:alias w:val="Title"/>
      <w:tag w:val=""/>
      <w:id w:val="1116400235"/>
      <w:placeholder>
        <w:docPart w:val="5913A70805404877832555A3E189D0A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14441" w:rsidRPr="009C1361" w:rsidRDefault="009C1361" w:rsidP="009C1361">
        <w:pPr>
          <w:pStyle w:val="Header"/>
          <w:jc w:val="right"/>
          <w:rPr>
            <w:rFonts w:ascii="Times New Roman" w:hAnsi="Times New Roman" w:cs="Times New Roman"/>
            <w:color w:val="7F7F7F" w:themeColor="text1" w:themeTint="80"/>
            <w:sz w:val="24"/>
          </w:rPr>
        </w:pPr>
        <w:r w:rsidRPr="009C1361">
          <w:rPr>
            <w:rFonts w:ascii="Times New Roman" w:hAnsi="Times New Roman" w:cs="Times New Roman"/>
            <w:color w:val="7F7F7F" w:themeColor="text1" w:themeTint="80"/>
            <w:sz w:val="24"/>
          </w:rPr>
          <w:t>Fjalor - Vrojtimi i Aktivitetit Kreditues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96" w:rsidRDefault="00521F96" w:rsidP="00521F96">
    <w:pPr>
      <w:pStyle w:val="Header"/>
      <w:tabs>
        <w:tab w:val="clear" w:pos="4513"/>
        <w:tab w:val="clear" w:pos="9026"/>
        <w:tab w:val="left" w:pos="36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4"/>
    <w:rsid w:val="00001857"/>
    <w:rsid w:val="00002429"/>
    <w:rsid w:val="000030CE"/>
    <w:rsid w:val="00005F64"/>
    <w:rsid w:val="00012AB7"/>
    <w:rsid w:val="0003178A"/>
    <w:rsid w:val="00051D24"/>
    <w:rsid w:val="000829B4"/>
    <w:rsid w:val="000949F8"/>
    <w:rsid w:val="00097979"/>
    <w:rsid w:val="000B16EE"/>
    <w:rsid w:val="000B4C13"/>
    <w:rsid w:val="000B5103"/>
    <w:rsid w:val="000C44E5"/>
    <w:rsid w:val="000C693A"/>
    <w:rsid w:val="000D5BE7"/>
    <w:rsid w:val="000D5E8D"/>
    <w:rsid w:val="000F3729"/>
    <w:rsid w:val="000F78CA"/>
    <w:rsid w:val="00102892"/>
    <w:rsid w:val="001125E1"/>
    <w:rsid w:val="00120E52"/>
    <w:rsid w:val="00127061"/>
    <w:rsid w:val="00133417"/>
    <w:rsid w:val="001623FB"/>
    <w:rsid w:val="001629C6"/>
    <w:rsid w:val="0018578D"/>
    <w:rsid w:val="00187F54"/>
    <w:rsid w:val="001A3D1B"/>
    <w:rsid w:val="001A6DF3"/>
    <w:rsid w:val="001D4A1C"/>
    <w:rsid w:val="001F7BCD"/>
    <w:rsid w:val="002046BC"/>
    <w:rsid w:val="00206DC6"/>
    <w:rsid w:val="0022054C"/>
    <w:rsid w:val="00220F90"/>
    <w:rsid w:val="0022341A"/>
    <w:rsid w:val="002445AD"/>
    <w:rsid w:val="002576E4"/>
    <w:rsid w:val="00265F99"/>
    <w:rsid w:val="002663CD"/>
    <w:rsid w:val="00266F8E"/>
    <w:rsid w:val="00267B84"/>
    <w:rsid w:val="0028649D"/>
    <w:rsid w:val="00292543"/>
    <w:rsid w:val="00294639"/>
    <w:rsid w:val="002A5CD2"/>
    <w:rsid w:val="002B0A69"/>
    <w:rsid w:val="002B68D6"/>
    <w:rsid w:val="002C57DF"/>
    <w:rsid w:val="002E320F"/>
    <w:rsid w:val="002F1D6B"/>
    <w:rsid w:val="002F42CC"/>
    <w:rsid w:val="00305030"/>
    <w:rsid w:val="003114E6"/>
    <w:rsid w:val="003118A5"/>
    <w:rsid w:val="00325A78"/>
    <w:rsid w:val="00327B48"/>
    <w:rsid w:val="00330DD8"/>
    <w:rsid w:val="00334A86"/>
    <w:rsid w:val="00340B51"/>
    <w:rsid w:val="00347444"/>
    <w:rsid w:val="00363822"/>
    <w:rsid w:val="00364FC5"/>
    <w:rsid w:val="0038455F"/>
    <w:rsid w:val="003933DC"/>
    <w:rsid w:val="0039534F"/>
    <w:rsid w:val="00396BDD"/>
    <w:rsid w:val="003A1157"/>
    <w:rsid w:val="003B6D71"/>
    <w:rsid w:val="003C1603"/>
    <w:rsid w:val="003C29D7"/>
    <w:rsid w:val="003D2AC5"/>
    <w:rsid w:val="003E04F5"/>
    <w:rsid w:val="003E2B74"/>
    <w:rsid w:val="003E363D"/>
    <w:rsid w:val="003F2BAC"/>
    <w:rsid w:val="004048DA"/>
    <w:rsid w:val="0043248D"/>
    <w:rsid w:val="0045508B"/>
    <w:rsid w:val="004758A3"/>
    <w:rsid w:val="0047698C"/>
    <w:rsid w:val="00492A86"/>
    <w:rsid w:val="0049439D"/>
    <w:rsid w:val="004A41BC"/>
    <w:rsid w:val="004A745C"/>
    <w:rsid w:val="004B48A8"/>
    <w:rsid w:val="004C70A4"/>
    <w:rsid w:val="004D0A71"/>
    <w:rsid w:val="004D65FD"/>
    <w:rsid w:val="004E532E"/>
    <w:rsid w:val="004E6330"/>
    <w:rsid w:val="00521F96"/>
    <w:rsid w:val="0053099F"/>
    <w:rsid w:val="005313A1"/>
    <w:rsid w:val="00544CCF"/>
    <w:rsid w:val="00567FA9"/>
    <w:rsid w:val="0057354E"/>
    <w:rsid w:val="00574A1C"/>
    <w:rsid w:val="0058121F"/>
    <w:rsid w:val="00581A7B"/>
    <w:rsid w:val="005872BA"/>
    <w:rsid w:val="00587D4D"/>
    <w:rsid w:val="0059209A"/>
    <w:rsid w:val="005A3FA1"/>
    <w:rsid w:val="005B28F0"/>
    <w:rsid w:val="005B2F5E"/>
    <w:rsid w:val="005B4833"/>
    <w:rsid w:val="005B62CE"/>
    <w:rsid w:val="005C605D"/>
    <w:rsid w:val="005D1D37"/>
    <w:rsid w:val="005D2614"/>
    <w:rsid w:val="005E4585"/>
    <w:rsid w:val="00602444"/>
    <w:rsid w:val="0062293B"/>
    <w:rsid w:val="006531AC"/>
    <w:rsid w:val="00667737"/>
    <w:rsid w:val="00680DCE"/>
    <w:rsid w:val="006914E2"/>
    <w:rsid w:val="006A0835"/>
    <w:rsid w:val="006A6A12"/>
    <w:rsid w:val="006C06BF"/>
    <w:rsid w:val="006E68FE"/>
    <w:rsid w:val="00705F06"/>
    <w:rsid w:val="00715EC7"/>
    <w:rsid w:val="007163C6"/>
    <w:rsid w:val="00721CA3"/>
    <w:rsid w:val="00727505"/>
    <w:rsid w:val="00731F28"/>
    <w:rsid w:val="00737337"/>
    <w:rsid w:val="007435E0"/>
    <w:rsid w:val="00766ABD"/>
    <w:rsid w:val="00771370"/>
    <w:rsid w:val="00774DB6"/>
    <w:rsid w:val="007844CF"/>
    <w:rsid w:val="007A5972"/>
    <w:rsid w:val="007B4571"/>
    <w:rsid w:val="007C68CE"/>
    <w:rsid w:val="007D6077"/>
    <w:rsid w:val="007E497E"/>
    <w:rsid w:val="008342E1"/>
    <w:rsid w:val="00837CCD"/>
    <w:rsid w:val="00854766"/>
    <w:rsid w:val="00860F15"/>
    <w:rsid w:val="00863501"/>
    <w:rsid w:val="00865228"/>
    <w:rsid w:val="00872E35"/>
    <w:rsid w:val="0087430C"/>
    <w:rsid w:val="00874F7C"/>
    <w:rsid w:val="008839DA"/>
    <w:rsid w:val="008A5F12"/>
    <w:rsid w:val="008B5B24"/>
    <w:rsid w:val="008D1911"/>
    <w:rsid w:val="008E3C3B"/>
    <w:rsid w:val="008E7106"/>
    <w:rsid w:val="008F1A74"/>
    <w:rsid w:val="008F3564"/>
    <w:rsid w:val="008F38AC"/>
    <w:rsid w:val="009124C4"/>
    <w:rsid w:val="009200EF"/>
    <w:rsid w:val="009360AE"/>
    <w:rsid w:val="0094670E"/>
    <w:rsid w:val="00962286"/>
    <w:rsid w:val="0097136C"/>
    <w:rsid w:val="00973DEC"/>
    <w:rsid w:val="00984208"/>
    <w:rsid w:val="00984EEB"/>
    <w:rsid w:val="009946E6"/>
    <w:rsid w:val="0099625B"/>
    <w:rsid w:val="009C1361"/>
    <w:rsid w:val="009C4DA4"/>
    <w:rsid w:val="009C7E0C"/>
    <w:rsid w:val="009F1D7F"/>
    <w:rsid w:val="009F2BE7"/>
    <w:rsid w:val="009F2BF7"/>
    <w:rsid w:val="009F5FDD"/>
    <w:rsid w:val="00A020EA"/>
    <w:rsid w:val="00A14441"/>
    <w:rsid w:val="00A238E0"/>
    <w:rsid w:val="00A2686B"/>
    <w:rsid w:val="00A30F73"/>
    <w:rsid w:val="00A63F81"/>
    <w:rsid w:val="00A73A82"/>
    <w:rsid w:val="00A7738C"/>
    <w:rsid w:val="00A86C30"/>
    <w:rsid w:val="00A86DB1"/>
    <w:rsid w:val="00A975E5"/>
    <w:rsid w:val="00AA3697"/>
    <w:rsid w:val="00AB0243"/>
    <w:rsid w:val="00AB633B"/>
    <w:rsid w:val="00AB6F76"/>
    <w:rsid w:val="00AC0AA1"/>
    <w:rsid w:val="00AC1D8D"/>
    <w:rsid w:val="00AC5E78"/>
    <w:rsid w:val="00AC7A84"/>
    <w:rsid w:val="00AD302A"/>
    <w:rsid w:val="00B02FA3"/>
    <w:rsid w:val="00B12196"/>
    <w:rsid w:val="00B21BF5"/>
    <w:rsid w:val="00B27D8D"/>
    <w:rsid w:val="00B45659"/>
    <w:rsid w:val="00B46895"/>
    <w:rsid w:val="00B67830"/>
    <w:rsid w:val="00B74D63"/>
    <w:rsid w:val="00B76F40"/>
    <w:rsid w:val="00B91559"/>
    <w:rsid w:val="00B91F7D"/>
    <w:rsid w:val="00BA3E77"/>
    <w:rsid w:val="00BB1980"/>
    <w:rsid w:val="00BB7E83"/>
    <w:rsid w:val="00BD4F28"/>
    <w:rsid w:val="00BF5A5D"/>
    <w:rsid w:val="00C05150"/>
    <w:rsid w:val="00C136A3"/>
    <w:rsid w:val="00C164F0"/>
    <w:rsid w:val="00C33F18"/>
    <w:rsid w:val="00C37443"/>
    <w:rsid w:val="00C44885"/>
    <w:rsid w:val="00C52515"/>
    <w:rsid w:val="00C61361"/>
    <w:rsid w:val="00C72275"/>
    <w:rsid w:val="00C7444F"/>
    <w:rsid w:val="00C77675"/>
    <w:rsid w:val="00CA03A2"/>
    <w:rsid w:val="00CA0FAF"/>
    <w:rsid w:val="00CA6B03"/>
    <w:rsid w:val="00CB1044"/>
    <w:rsid w:val="00CC2461"/>
    <w:rsid w:val="00CD44FF"/>
    <w:rsid w:val="00CE1632"/>
    <w:rsid w:val="00CE32F7"/>
    <w:rsid w:val="00D107E7"/>
    <w:rsid w:val="00D206E0"/>
    <w:rsid w:val="00D238A7"/>
    <w:rsid w:val="00D325C5"/>
    <w:rsid w:val="00D343E4"/>
    <w:rsid w:val="00D444C4"/>
    <w:rsid w:val="00D5629E"/>
    <w:rsid w:val="00D56E2D"/>
    <w:rsid w:val="00D62810"/>
    <w:rsid w:val="00D654EC"/>
    <w:rsid w:val="00D66FE5"/>
    <w:rsid w:val="00DA09A6"/>
    <w:rsid w:val="00DA4941"/>
    <w:rsid w:val="00DA6184"/>
    <w:rsid w:val="00DB4730"/>
    <w:rsid w:val="00DB6E06"/>
    <w:rsid w:val="00DD56D0"/>
    <w:rsid w:val="00DE2D1B"/>
    <w:rsid w:val="00E05E39"/>
    <w:rsid w:val="00E2381F"/>
    <w:rsid w:val="00E302C5"/>
    <w:rsid w:val="00E52A79"/>
    <w:rsid w:val="00E570DE"/>
    <w:rsid w:val="00E62F27"/>
    <w:rsid w:val="00E64191"/>
    <w:rsid w:val="00E75CAC"/>
    <w:rsid w:val="00E822E2"/>
    <w:rsid w:val="00E93AC1"/>
    <w:rsid w:val="00E96C10"/>
    <w:rsid w:val="00E9702E"/>
    <w:rsid w:val="00EA43E4"/>
    <w:rsid w:val="00EB70D6"/>
    <w:rsid w:val="00ED3BD4"/>
    <w:rsid w:val="00ED72AA"/>
    <w:rsid w:val="00EE3FC0"/>
    <w:rsid w:val="00EF7255"/>
    <w:rsid w:val="00F03796"/>
    <w:rsid w:val="00F17913"/>
    <w:rsid w:val="00F20046"/>
    <w:rsid w:val="00F21BA7"/>
    <w:rsid w:val="00F3108C"/>
    <w:rsid w:val="00F41932"/>
    <w:rsid w:val="00F43E39"/>
    <w:rsid w:val="00F43F19"/>
    <w:rsid w:val="00F462D2"/>
    <w:rsid w:val="00F50511"/>
    <w:rsid w:val="00F63439"/>
    <w:rsid w:val="00F773FF"/>
    <w:rsid w:val="00FA173A"/>
    <w:rsid w:val="00FA6230"/>
    <w:rsid w:val="00FD6677"/>
    <w:rsid w:val="00FD7198"/>
    <w:rsid w:val="00FE7EC1"/>
    <w:rsid w:val="00FF494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84594-2B25-4553-994D-B40FA57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6"/>
  </w:style>
  <w:style w:type="paragraph" w:styleId="Heading1">
    <w:name w:val="heading 1"/>
    <w:basedOn w:val="Normal"/>
    <w:next w:val="Normal"/>
    <w:link w:val="Heading1Char"/>
    <w:uiPriority w:val="9"/>
    <w:qFormat/>
    <w:rsid w:val="00521F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F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F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F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F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F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F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F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F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E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12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24C4"/>
    <w:rPr>
      <w:rFonts w:ascii="Courier New" w:eastAsia="Times New Roman" w:hAnsi="Courier New" w:cs="Courier New"/>
      <w:sz w:val="20"/>
      <w:szCs w:val="20"/>
      <w:lang w:eastAsia="sq-AL"/>
    </w:rPr>
  </w:style>
  <w:style w:type="paragraph" w:customStyle="1" w:styleId="Default">
    <w:name w:val="Default"/>
    <w:rsid w:val="0008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C4"/>
    <w:rPr>
      <w:rFonts w:ascii="Calibri" w:hAnsi="Calibri" w:cs="Calibri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D44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C4"/>
    <w:rPr>
      <w:rFonts w:ascii="Calibri" w:hAnsi="Calibri" w:cs="Calibri"/>
      <w:lang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BD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F28"/>
    <w:rPr>
      <w:rFonts w:ascii="Calibri" w:hAnsi="Calibri" w:cs="Calibri"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28"/>
    <w:rPr>
      <w:rFonts w:ascii="Calibri" w:hAnsi="Calibri" w:cs="Calibri"/>
      <w:b/>
      <w:bCs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28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7435E0"/>
    <w:rPr>
      <w:color w:val="F491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A86"/>
    <w:rPr>
      <w:rFonts w:ascii="Calibri" w:hAnsi="Calibri" w:cs="Calibri"/>
      <w:sz w:val="20"/>
      <w:szCs w:val="20"/>
      <w:lang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34A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1F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F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F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F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F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F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F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F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F9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F9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F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1F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F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F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21F9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21F96"/>
    <w:rPr>
      <w:i/>
      <w:iCs/>
      <w:color w:val="auto"/>
    </w:rPr>
  </w:style>
  <w:style w:type="paragraph" w:styleId="NoSpacing">
    <w:name w:val="No Spacing"/>
    <w:uiPriority w:val="1"/>
    <w:qFormat/>
    <w:rsid w:val="00521F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F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F9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F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F9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21F9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21F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21F9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1F9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21F9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F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3A70805404877832555A3E189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5BD9-6205-4520-A4EA-46397DB0236E}"/>
      </w:docPartPr>
      <w:docPartBody>
        <w:p w:rsidR="00000000" w:rsidRDefault="005463EF" w:rsidP="005463EF">
          <w:pPr>
            <w:pStyle w:val="5913A70805404877832555A3E189D0A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4"/>
    <w:rsid w:val="00242537"/>
    <w:rsid w:val="002F6807"/>
    <w:rsid w:val="003D4742"/>
    <w:rsid w:val="00441E5D"/>
    <w:rsid w:val="005440EE"/>
    <w:rsid w:val="005463EF"/>
    <w:rsid w:val="0059696E"/>
    <w:rsid w:val="007534BA"/>
    <w:rsid w:val="00803494"/>
    <w:rsid w:val="00897A34"/>
    <w:rsid w:val="009D5FB4"/>
    <w:rsid w:val="00A34F0B"/>
    <w:rsid w:val="00C3750E"/>
    <w:rsid w:val="00D230F4"/>
    <w:rsid w:val="00EB143B"/>
    <w:rsid w:val="00F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BFC07321D4BC99B9C6F7789F9C1DD">
    <w:name w:val="27EBFC07321D4BC99B9C6F7789F9C1DD"/>
    <w:rsid w:val="009D5FB4"/>
  </w:style>
  <w:style w:type="paragraph" w:customStyle="1" w:styleId="BF74B2C3EDC6460BAAAF64AD105663B5">
    <w:name w:val="BF74B2C3EDC6460BAAAF64AD105663B5"/>
    <w:rsid w:val="005463EF"/>
    <w:pPr>
      <w:spacing w:after="160" w:line="259" w:lineRule="auto"/>
    </w:pPr>
  </w:style>
  <w:style w:type="paragraph" w:customStyle="1" w:styleId="50E20AF8222B40D6B5E0F2613A54A9E7">
    <w:name w:val="50E20AF8222B40D6B5E0F2613A54A9E7"/>
    <w:rsid w:val="005463EF"/>
    <w:pPr>
      <w:spacing w:after="160" w:line="259" w:lineRule="auto"/>
    </w:pPr>
  </w:style>
  <w:style w:type="paragraph" w:customStyle="1" w:styleId="59797C53D07C45848336776C5CBFD931">
    <w:name w:val="59797C53D07C45848336776C5CBFD931"/>
    <w:rsid w:val="005463EF"/>
    <w:pPr>
      <w:spacing w:after="160" w:line="259" w:lineRule="auto"/>
    </w:pPr>
  </w:style>
  <w:style w:type="paragraph" w:customStyle="1" w:styleId="578F2F31A83F4FBDAD79AB257FA432A7">
    <w:name w:val="578F2F31A83F4FBDAD79AB257FA432A7"/>
    <w:rsid w:val="005463EF"/>
    <w:pPr>
      <w:spacing w:after="160" w:line="259" w:lineRule="auto"/>
    </w:pPr>
  </w:style>
  <w:style w:type="paragraph" w:customStyle="1" w:styleId="5913A70805404877832555A3E189D0AF">
    <w:name w:val="5913A70805404877832555A3E189D0AF"/>
    <w:rsid w:val="005463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F704AE-4E05-45B3-BF16-219A9B5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Fjalor - Vrojtimi i Aktivitetit Kreditues</vt:lpstr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Fjalor - Vrojtimi i Aktivitetit Kreditues</dc:title>
  <dc:creator>Erjona Suljoti</dc:creator>
  <cp:lastModifiedBy>Anjeza Gazidede</cp:lastModifiedBy>
  <cp:revision>8</cp:revision>
  <cp:lastPrinted>2018-03-19T16:04:00Z</cp:lastPrinted>
  <dcterms:created xsi:type="dcterms:W3CDTF">2018-05-30T08:57:00Z</dcterms:created>
  <dcterms:modified xsi:type="dcterms:W3CDTF">2018-06-06T13:40:00Z</dcterms:modified>
</cp:coreProperties>
</file>