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EA" w:rsidRDefault="00C028EA" w:rsidP="001653CE">
      <w:pPr>
        <w:spacing w:before="100" w:beforeAutospacing="1" w:after="100" w:afterAutospacing="1"/>
        <w:jc w:val="both"/>
        <w:outlineLvl w:val="2"/>
        <w:rPr>
          <w:rFonts w:ascii="Times New Roman" w:eastAsia="Times New Roman" w:hAnsi="Times New Roman" w:cs="Times New Roman"/>
          <w:b/>
          <w:bCs/>
          <w:sz w:val="24"/>
          <w:szCs w:val="24"/>
        </w:rPr>
      </w:pPr>
    </w:p>
    <w:p w:rsidR="00C028EA" w:rsidRPr="002A09A6" w:rsidRDefault="00C028EA" w:rsidP="001653CE">
      <w:pPr>
        <w:jc w:val="both"/>
        <w:rPr>
          <w:rFonts w:ascii="Times New Roman" w:hAnsi="Times New Roman" w:cs="Times New Roman"/>
          <w:sz w:val="24"/>
          <w:szCs w:val="24"/>
        </w:rPr>
      </w:pPr>
    </w:p>
    <w:p w:rsidR="00C028EA" w:rsidRPr="002A09A6" w:rsidRDefault="00C028EA" w:rsidP="001653CE">
      <w:pPr>
        <w:spacing w:line="300" w:lineRule="exact"/>
        <w:jc w:val="both"/>
        <w:rPr>
          <w:rFonts w:ascii="Times New Roman" w:hAnsi="Times New Roman" w:cs="Times New Roman"/>
          <w:sz w:val="24"/>
          <w:szCs w:val="24"/>
        </w:rPr>
      </w:pPr>
      <w:r w:rsidRPr="002A09A6">
        <w:rPr>
          <w:rFonts w:ascii="Times New Roman" w:eastAsia="Times New Roman" w:hAnsi="Times New Roman" w:cs="Times New Roman"/>
          <w:b/>
          <w:bCs/>
          <w:sz w:val="24"/>
          <w:szCs w:val="24"/>
        </w:rPr>
        <w:t>Kapitulli 17: Politika Ekonomike dhe Monetare</w:t>
      </w:r>
    </w:p>
    <w:p w:rsidR="00C028EA" w:rsidRPr="002A09A6" w:rsidRDefault="00C028EA" w:rsidP="001653CE">
      <w:pPr>
        <w:jc w:val="both"/>
        <w:rPr>
          <w:rFonts w:ascii="Times New Roman" w:hAnsi="Times New Roman" w:cs="Times New Roman"/>
          <w:sz w:val="24"/>
          <w:szCs w:val="24"/>
        </w:rPr>
      </w:pPr>
      <w:proofErr w:type="spellStart"/>
      <w:r w:rsidRPr="002A09A6">
        <w:rPr>
          <w:rFonts w:ascii="Times New Roman" w:hAnsi="Times New Roman" w:cs="Times New Roman"/>
          <w:sz w:val="24"/>
          <w:szCs w:val="24"/>
        </w:rPr>
        <w:t>Acquis</w:t>
      </w:r>
      <w:proofErr w:type="spellEnd"/>
      <w:r w:rsidRPr="002A09A6">
        <w:rPr>
          <w:rFonts w:ascii="Times New Roman" w:hAnsi="Times New Roman" w:cs="Times New Roman"/>
          <w:sz w:val="24"/>
          <w:szCs w:val="24"/>
        </w:rPr>
        <w:t xml:space="preserve"> në fushën e politikës ekonomike dhe monetare përmban rregulla specifike që kërkojnë pavarësinë e bankave qendrore në Shtetet Anëtare, ndalimin e financimit të drejtpërdrejtë të sektorit publik nga bankat qendrore dhe ndalimin e </w:t>
      </w:r>
      <w:proofErr w:type="spellStart"/>
      <w:r w:rsidRPr="002A09A6">
        <w:rPr>
          <w:rFonts w:ascii="Times New Roman" w:hAnsi="Times New Roman" w:cs="Times New Roman"/>
          <w:sz w:val="24"/>
          <w:szCs w:val="24"/>
        </w:rPr>
        <w:t>aksesit</w:t>
      </w:r>
      <w:proofErr w:type="spellEnd"/>
      <w:r w:rsidRPr="002A09A6">
        <w:rPr>
          <w:rFonts w:ascii="Times New Roman" w:hAnsi="Times New Roman" w:cs="Times New Roman"/>
          <w:sz w:val="24"/>
          <w:szCs w:val="24"/>
        </w:rPr>
        <w:t xml:space="preserve"> të privilegjuar të sektorit publik në institucionet financiare.</w:t>
      </w:r>
    </w:p>
    <w:p w:rsidR="00C028EA" w:rsidRPr="002A09A6" w:rsidRDefault="00C028EA" w:rsidP="001653CE">
      <w:pPr>
        <w:jc w:val="both"/>
        <w:rPr>
          <w:rFonts w:ascii="Times New Roman" w:hAnsi="Times New Roman" w:cs="Times New Roman"/>
          <w:sz w:val="24"/>
          <w:szCs w:val="24"/>
        </w:rPr>
      </w:pPr>
      <w:r w:rsidRPr="002A09A6">
        <w:rPr>
          <w:rFonts w:ascii="Times New Roman" w:hAnsi="Times New Roman" w:cs="Times New Roman"/>
          <w:sz w:val="24"/>
          <w:szCs w:val="24"/>
        </w:rPr>
        <w:t xml:space="preserve">Shtetet Anëtare duhet të harmonizojnë gradualisht politikat e tyre ekonomike me ato të Bashkimit dhe  i nënshtrohen gjithashtu Paktit të Stabilitetit dhe Rritjes sa i takon mbikëqyrjes fiskale. Vendet aderuese nga ana tjetër pritet të pranojnë Euron si njësi të tyre monetare pas aderimit. Deri atëherë, vendet aderuese marrin pjesë në Bashkimin Ekonomik dhe Monetar si Shtet Anëtar, por duke u përjashtuar nga përdorimi i Euros dhe duke i trajtuar kurset e tyre të këmbimit si çështje me interes </w:t>
      </w:r>
      <w:proofErr w:type="spellStart"/>
      <w:r w:rsidRPr="002A09A6">
        <w:rPr>
          <w:rFonts w:ascii="Times New Roman" w:hAnsi="Times New Roman" w:cs="Times New Roman"/>
          <w:sz w:val="24"/>
          <w:szCs w:val="24"/>
        </w:rPr>
        <w:t>komunitar</w:t>
      </w:r>
      <w:proofErr w:type="spellEnd"/>
      <w:r w:rsidRPr="002A09A6">
        <w:rPr>
          <w:rFonts w:ascii="Times New Roman" w:hAnsi="Times New Roman" w:cs="Times New Roman"/>
          <w:sz w:val="24"/>
          <w:szCs w:val="24"/>
        </w:rPr>
        <w:t>.</w:t>
      </w:r>
    </w:p>
    <w:p w:rsidR="00C028EA" w:rsidRPr="002A09A6" w:rsidRDefault="00C028EA" w:rsidP="001653CE">
      <w:pPr>
        <w:jc w:val="both"/>
        <w:rPr>
          <w:rFonts w:ascii="Times New Roman" w:hAnsi="Times New Roman" w:cs="Times New Roman"/>
          <w:sz w:val="24"/>
          <w:szCs w:val="24"/>
        </w:rPr>
      </w:pPr>
      <w:bookmarkStart w:id="0" w:name="_GoBack"/>
      <w:bookmarkEnd w:id="0"/>
    </w:p>
    <w:sectPr w:rsidR="00C028EA" w:rsidRPr="002A09A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FB"/>
    <w:rsid w:val="000E7EFB"/>
    <w:rsid w:val="001653CE"/>
    <w:rsid w:val="001A79E4"/>
    <w:rsid w:val="0027307D"/>
    <w:rsid w:val="00521E33"/>
    <w:rsid w:val="00522501"/>
    <w:rsid w:val="00C028E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28B88-FE2C-4D80-ADA5-924E5FA3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FB"/>
    <w:pPr>
      <w:spacing w:after="0" w:line="240" w:lineRule="auto"/>
    </w:pPr>
    <w:rPr>
      <w:rFonts w:ascii="Calibri" w:hAnsi="Calibri" w:cs="Calibri"/>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EFB"/>
    <w:rPr>
      <w:color w:val="0563C1"/>
      <w:u w:val="single"/>
    </w:rPr>
  </w:style>
  <w:style w:type="paragraph" w:styleId="BalloonText">
    <w:name w:val="Balloon Text"/>
    <w:basedOn w:val="Normal"/>
    <w:link w:val="BalloonTextChar"/>
    <w:uiPriority w:val="99"/>
    <w:semiHidden/>
    <w:unhideWhenUsed/>
    <w:rsid w:val="0016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CE"/>
    <w:rPr>
      <w:rFonts w:ascii="Segoe UI" w:hAnsi="Segoe UI" w:cs="Segoe UI"/>
      <w:sz w:val="18"/>
      <w:szCs w:val="18"/>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Zhulali</dc:creator>
  <cp:keywords/>
  <dc:description/>
  <cp:lastModifiedBy>Elsa Zhulali</cp:lastModifiedBy>
  <cp:revision>5</cp:revision>
  <cp:lastPrinted>2020-10-14T07:04:00Z</cp:lastPrinted>
  <dcterms:created xsi:type="dcterms:W3CDTF">2020-10-13T12:28:00Z</dcterms:created>
  <dcterms:modified xsi:type="dcterms:W3CDTF">2020-10-19T12:22:00Z</dcterms:modified>
</cp:coreProperties>
</file>