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B6" w:rsidRPr="00F60D14" w:rsidRDefault="000471B6" w:rsidP="000471B6">
      <w:pPr>
        <w:spacing w:line="276" w:lineRule="auto"/>
        <w:jc w:val="center"/>
        <w:rPr>
          <w:b/>
          <w:lang w:val="sq-AL"/>
        </w:rPr>
      </w:pPr>
      <w:bookmarkStart w:id="0" w:name="_GoBack"/>
      <w:bookmarkEnd w:id="0"/>
    </w:p>
    <w:p w:rsidR="000471B6" w:rsidRDefault="000471B6" w:rsidP="000471B6">
      <w:pPr>
        <w:spacing w:line="276" w:lineRule="auto"/>
        <w:jc w:val="center"/>
        <w:rPr>
          <w:b/>
          <w:lang w:val="sq-AL"/>
        </w:rPr>
      </w:pPr>
    </w:p>
    <w:p w:rsidR="00582CB7" w:rsidRDefault="00582CB7" w:rsidP="000471B6">
      <w:pPr>
        <w:spacing w:line="276" w:lineRule="auto"/>
        <w:jc w:val="center"/>
        <w:rPr>
          <w:b/>
          <w:lang w:val="sq-AL"/>
        </w:rPr>
      </w:pPr>
    </w:p>
    <w:p w:rsidR="008565AA" w:rsidRDefault="008565AA" w:rsidP="000471B6">
      <w:pPr>
        <w:spacing w:line="276" w:lineRule="auto"/>
        <w:jc w:val="center"/>
        <w:rPr>
          <w:b/>
          <w:lang w:val="sq-AL"/>
        </w:rPr>
      </w:pPr>
    </w:p>
    <w:p w:rsidR="008565AA" w:rsidRPr="008565AA" w:rsidRDefault="008565AA" w:rsidP="008565AA">
      <w:pPr>
        <w:keepNext/>
        <w:tabs>
          <w:tab w:val="left" w:pos="720"/>
        </w:tabs>
        <w:jc w:val="center"/>
        <w:outlineLvl w:val="0"/>
        <w:rPr>
          <w:rFonts w:eastAsia="Times New Roman"/>
          <w:b/>
          <w:bCs/>
          <w:kern w:val="32"/>
          <w:lang w:val="sq-AL"/>
        </w:rPr>
      </w:pPr>
      <w:r w:rsidRPr="008565AA">
        <w:rPr>
          <w:rFonts w:eastAsia="Times New Roman"/>
          <w:b/>
          <w:bCs/>
          <w:kern w:val="32"/>
          <w:lang w:val="sq-AL"/>
        </w:rPr>
        <w:t>VENDIM</w:t>
      </w:r>
    </w:p>
    <w:p w:rsidR="008565AA" w:rsidRPr="008565AA" w:rsidRDefault="008565AA" w:rsidP="008565AA">
      <w:pPr>
        <w:rPr>
          <w:rFonts w:eastAsiaTheme="minorHAnsi"/>
          <w:lang w:val="sq-AL"/>
        </w:rPr>
      </w:pPr>
    </w:p>
    <w:p w:rsidR="008565AA" w:rsidRPr="008565AA" w:rsidRDefault="008565AA" w:rsidP="008565AA">
      <w:pPr>
        <w:jc w:val="center"/>
        <w:rPr>
          <w:rFonts w:eastAsiaTheme="minorHAnsi"/>
          <w:b/>
          <w:lang w:val="sq-AL"/>
        </w:rPr>
      </w:pPr>
      <w:r w:rsidRPr="008565AA">
        <w:rPr>
          <w:rFonts w:eastAsiaTheme="minorHAnsi"/>
          <w:b/>
          <w:lang w:val="sq-AL"/>
        </w:rPr>
        <w:t>Nr. 10, datë 7.2.2018</w:t>
      </w:r>
    </w:p>
    <w:p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rsidR="008565AA" w:rsidRPr="008565AA" w:rsidRDefault="008565AA" w:rsidP="008565AA">
      <w:pPr>
        <w:tabs>
          <w:tab w:val="left" w:pos="90"/>
        </w:tabs>
        <w:autoSpaceDE w:val="0"/>
        <w:autoSpaceDN w:val="0"/>
        <w:adjustRightInd w:val="0"/>
        <w:jc w:val="center"/>
        <w:rPr>
          <w:rFonts w:eastAsia="Calibri"/>
          <w:b/>
          <w:bCs/>
          <w:smallCaps/>
          <w:color w:val="000000"/>
          <w:lang w:val="sq-AL" w:eastAsia="sq-AL"/>
        </w:rPr>
      </w:pPr>
      <w:r w:rsidRPr="008565AA">
        <w:rPr>
          <w:rFonts w:eastAsia="Calibri"/>
          <w:b/>
          <w:bCs/>
          <w:smallCaps/>
          <w:color w:val="000000"/>
          <w:lang w:val="sq-AL" w:eastAsia="sq-AL"/>
        </w:rPr>
        <w:t xml:space="preserve">“Për </w:t>
      </w:r>
    </w:p>
    <w:p w:rsidR="008565AA" w:rsidRPr="008565AA" w:rsidRDefault="008565AA" w:rsidP="008565AA">
      <w:pPr>
        <w:tabs>
          <w:tab w:val="left" w:pos="90"/>
        </w:tabs>
        <w:autoSpaceDE w:val="0"/>
        <w:autoSpaceDN w:val="0"/>
        <w:adjustRightInd w:val="0"/>
        <w:jc w:val="center"/>
        <w:rPr>
          <w:rFonts w:eastAsia="Calibri"/>
          <w:b/>
          <w:bCs/>
          <w:smallCaps/>
          <w:color w:val="000000"/>
          <w:lang w:val="sq-AL" w:eastAsia="sq-AL"/>
        </w:rPr>
      </w:pPr>
    </w:p>
    <w:p w:rsidR="008565AA" w:rsidRPr="008565AA" w:rsidRDefault="008565AA" w:rsidP="008565AA">
      <w:pPr>
        <w:tabs>
          <w:tab w:val="left" w:pos="90"/>
        </w:tabs>
        <w:autoSpaceDE w:val="0"/>
        <w:autoSpaceDN w:val="0"/>
        <w:adjustRightInd w:val="0"/>
        <w:jc w:val="center"/>
        <w:rPr>
          <w:rFonts w:eastAsia="Calibri"/>
          <w:b/>
          <w:smallCaps/>
          <w:color w:val="000000"/>
          <w:lang w:val="sq-AL" w:eastAsia="sq-AL"/>
        </w:rPr>
      </w:pPr>
      <w:r w:rsidRPr="008565AA">
        <w:rPr>
          <w:rFonts w:eastAsia="Calibri"/>
          <w:b/>
          <w:bCs/>
          <w:smallCaps/>
          <w:color w:val="000000"/>
          <w:lang w:val="sq-AL" w:eastAsia="sq-AL"/>
        </w:rPr>
        <w:t xml:space="preserve">Miratimin e disa ndryshimeve në Rregulloren </w:t>
      </w:r>
      <w:r w:rsidRPr="008565AA">
        <w:rPr>
          <w:rFonts w:eastAsia="Calibri"/>
          <w:b/>
          <w:smallCaps/>
          <w:color w:val="000000"/>
          <w:lang w:val="sq-AL" w:eastAsia="sq-AL"/>
        </w:rPr>
        <w:t>“Mbi minimumin e rezervës së detyruar mbajtur në Bankën e Shqipërisë nga bankat”</w:t>
      </w:r>
    </w:p>
    <w:p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rsidR="008565AA" w:rsidRPr="008565AA" w:rsidRDefault="008565AA" w:rsidP="008565AA">
      <w:pPr>
        <w:tabs>
          <w:tab w:val="left" w:pos="90"/>
        </w:tabs>
        <w:jc w:val="both"/>
        <w:rPr>
          <w:rFonts w:eastAsiaTheme="minorHAnsi"/>
          <w:b/>
          <w:lang w:val="sq-AL"/>
        </w:rPr>
      </w:pPr>
      <w:r w:rsidRPr="008565AA">
        <w:rPr>
          <w:rFonts w:eastAsiaTheme="minorHAnsi"/>
          <w:lang w:val="sq-AL"/>
        </w:rPr>
        <w:t>Në bazë dhe për zbatim të nenit 19 dhe nenit 43, shkronjat “a” dhe “c” të ligjit nr. 8269, datë 23.12.1997 “Për Bankën e Shqipërisë”, i ndryshuar; si dhe bazuar në propozimin e Departamentit të Operacioneve Monetare, Këshilli Mbikëqyrës i Bankës së Shqipërisë,</w:t>
      </w:r>
    </w:p>
    <w:p w:rsidR="008565AA" w:rsidRPr="008565AA" w:rsidRDefault="008565AA" w:rsidP="008565AA">
      <w:pPr>
        <w:tabs>
          <w:tab w:val="left" w:pos="90"/>
        </w:tabs>
        <w:jc w:val="both"/>
        <w:rPr>
          <w:rFonts w:eastAsiaTheme="minorHAnsi"/>
          <w:b/>
          <w:lang w:val="sq-AL"/>
        </w:rPr>
      </w:pPr>
    </w:p>
    <w:p w:rsidR="008565AA" w:rsidRPr="008565AA" w:rsidRDefault="008565AA" w:rsidP="008565AA">
      <w:pPr>
        <w:tabs>
          <w:tab w:val="left" w:pos="90"/>
        </w:tabs>
        <w:jc w:val="center"/>
        <w:outlineLvl w:val="0"/>
        <w:rPr>
          <w:rFonts w:eastAsiaTheme="minorHAnsi"/>
          <w:lang w:val="sq-AL"/>
        </w:rPr>
      </w:pPr>
      <w:r w:rsidRPr="008565AA">
        <w:rPr>
          <w:rFonts w:eastAsiaTheme="minorHAnsi"/>
          <w:lang w:val="sq-AL"/>
        </w:rPr>
        <w:t>VENDOSI:</w:t>
      </w:r>
    </w:p>
    <w:p w:rsidR="008565AA" w:rsidRPr="008565AA" w:rsidRDefault="008565AA" w:rsidP="008565AA">
      <w:pPr>
        <w:tabs>
          <w:tab w:val="left" w:pos="90"/>
        </w:tabs>
        <w:jc w:val="both"/>
        <w:rPr>
          <w:rFonts w:eastAsiaTheme="minorHAnsi"/>
          <w:b/>
          <w:lang w:val="sq-AL"/>
        </w:rPr>
      </w:pPr>
    </w:p>
    <w:p w:rsidR="008565AA" w:rsidRPr="008565AA" w:rsidRDefault="008565AA" w:rsidP="008565AA">
      <w:pPr>
        <w:numPr>
          <w:ilvl w:val="0"/>
          <w:numId w:val="8"/>
        </w:numPr>
        <w:tabs>
          <w:tab w:val="left" w:pos="284"/>
        </w:tabs>
        <w:autoSpaceDE w:val="0"/>
        <w:autoSpaceDN w:val="0"/>
        <w:adjustRightInd w:val="0"/>
        <w:spacing w:after="200" w:line="276" w:lineRule="auto"/>
        <w:ind w:left="284" w:hanging="284"/>
        <w:jc w:val="both"/>
        <w:rPr>
          <w:rFonts w:eastAsia="Calibri"/>
          <w:color w:val="000000"/>
          <w:lang w:val="sq-AL" w:eastAsia="sq-AL"/>
        </w:rPr>
      </w:pPr>
      <w:r w:rsidRPr="008565AA">
        <w:rPr>
          <w:rFonts w:eastAsia="Calibri"/>
          <w:color w:val="000000"/>
          <w:lang w:val="sq-AL" w:eastAsia="sq-AL"/>
        </w:rPr>
        <w:t>Në rregulloren “Mbi minimumin e rezervës së detyruar mbajtur në Bankën e Shqipërisë nga bankat”, miratuar me vendimin e Këshillit Mbikëqyrës nr. 29, datë 16.05.2012, i ndryshuar, të bëhen ndryshimet e mëposhtme:</w:t>
      </w:r>
    </w:p>
    <w:p w:rsidR="008565AA" w:rsidRPr="008565AA" w:rsidRDefault="008565AA" w:rsidP="008565AA">
      <w:pPr>
        <w:tabs>
          <w:tab w:val="left" w:pos="90"/>
        </w:tabs>
        <w:jc w:val="both"/>
        <w:rPr>
          <w:rFonts w:eastAsiaTheme="minorHAnsi"/>
          <w:lang w:val="sq-AL"/>
        </w:rPr>
      </w:pPr>
    </w:p>
    <w:p w:rsidR="008565AA" w:rsidRPr="008565AA" w:rsidRDefault="008565AA" w:rsidP="008565AA">
      <w:pPr>
        <w:numPr>
          <w:ilvl w:val="0"/>
          <w:numId w:val="7"/>
        </w:numPr>
        <w:tabs>
          <w:tab w:val="left" w:pos="90"/>
        </w:tabs>
        <w:spacing w:after="200" w:line="276" w:lineRule="auto"/>
        <w:ind w:left="567" w:hanging="283"/>
        <w:jc w:val="both"/>
        <w:rPr>
          <w:rFonts w:eastAsia="Calibri"/>
          <w:lang w:val="sq-AL" w:eastAsia="sq-AL"/>
        </w:rPr>
      </w:pPr>
      <w:r w:rsidRPr="008565AA">
        <w:rPr>
          <w:rFonts w:eastAsia="Calibri"/>
          <w:lang w:val="sq-AL" w:eastAsia="sq-AL"/>
        </w:rPr>
        <w:t>Në nenin 4, shkronja “h” ndryshon sipas përmbajtjes së mëposhtme:</w:t>
      </w:r>
    </w:p>
    <w:p w:rsidR="008565AA" w:rsidRPr="008565AA" w:rsidRDefault="008565AA" w:rsidP="008565AA">
      <w:pPr>
        <w:tabs>
          <w:tab w:val="left" w:pos="90"/>
        </w:tabs>
        <w:ind w:left="720"/>
        <w:jc w:val="both"/>
        <w:rPr>
          <w:rFonts w:eastAsia="Calibri"/>
          <w:lang w:val="sq-AL" w:eastAsia="sq-AL"/>
        </w:rPr>
      </w:pPr>
    </w:p>
    <w:p w:rsidR="008565AA" w:rsidRPr="008565AA" w:rsidRDefault="008565AA" w:rsidP="008565AA">
      <w:pPr>
        <w:tabs>
          <w:tab w:val="left" w:pos="567"/>
        </w:tabs>
        <w:ind w:left="567"/>
        <w:jc w:val="both"/>
        <w:rPr>
          <w:rFonts w:eastAsia="Times New Roman"/>
          <w:i/>
          <w:lang w:val="sq-AL"/>
        </w:rPr>
      </w:pPr>
      <w:r w:rsidRPr="008565AA">
        <w:rPr>
          <w:rFonts w:eastAsiaTheme="minorHAnsi"/>
          <w:i/>
          <w:lang w:val="sq-AL"/>
        </w:rPr>
        <w:t>“</w:t>
      </w:r>
      <w:r w:rsidRPr="008565AA">
        <w:rPr>
          <w:rFonts w:eastAsia="Times New Roman"/>
          <w:i/>
          <w:lang w:val="sq-AL"/>
        </w:rPr>
        <w:t xml:space="preserve">Remunerimi </w:t>
      </w:r>
      <w:r w:rsidRPr="008565AA">
        <w:rPr>
          <w:rFonts w:eastAsiaTheme="minorHAnsi"/>
          <w:i/>
          <w:lang w:val="sq-AL"/>
        </w:rPr>
        <w:t xml:space="preserve">i rezervës së detyruar” </w:t>
      </w:r>
      <w:r w:rsidRPr="008565AA">
        <w:rPr>
          <w:rFonts w:eastAsia="Times New Roman"/>
          <w:i/>
          <w:lang w:val="sq-AL"/>
        </w:rPr>
        <w:t>– është shuma e interesit që paguhet nga Banka e Shqipërisë për bankat, për rezervën e detyruar të mbajtur nga këto të fundit në Bankën e Shqipërisë.</w:t>
      </w:r>
    </w:p>
    <w:p w:rsidR="008565AA" w:rsidRPr="008565AA" w:rsidRDefault="008565AA" w:rsidP="008565AA">
      <w:pPr>
        <w:tabs>
          <w:tab w:val="left" w:pos="90"/>
        </w:tabs>
        <w:jc w:val="both"/>
        <w:rPr>
          <w:rFonts w:eastAsiaTheme="minorHAnsi"/>
          <w:lang w:val="sq-AL"/>
        </w:rPr>
      </w:pPr>
    </w:p>
    <w:p w:rsidR="008565AA" w:rsidRPr="008565AA" w:rsidRDefault="008565AA" w:rsidP="008565AA">
      <w:pPr>
        <w:numPr>
          <w:ilvl w:val="0"/>
          <w:numId w:val="7"/>
        </w:numPr>
        <w:tabs>
          <w:tab w:val="left" w:pos="567"/>
        </w:tabs>
        <w:spacing w:after="200" w:line="276" w:lineRule="auto"/>
        <w:ind w:left="567" w:hanging="283"/>
        <w:jc w:val="both"/>
        <w:rPr>
          <w:rFonts w:eastAsia="Calibri"/>
          <w:lang w:val="sq-AL" w:eastAsia="sq-AL"/>
        </w:rPr>
      </w:pPr>
      <w:r w:rsidRPr="008565AA">
        <w:rPr>
          <w:rFonts w:eastAsia="Calibri"/>
          <w:lang w:val="sq-AL" w:eastAsia="sq-AL"/>
        </w:rPr>
        <w:t>Në nenin 4, pas shkronjës “k” shtohet shkronja “l” sipas përmbajtjes së mëposhtme:</w:t>
      </w:r>
    </w:p>
    <w:p w:rsidR="008565AA" w:rsidRPr="008565AA" w:rsidRDefault="008565AA" w:rsidP="008565AA">
      <w:pPr>
        <w:tabs>
          <w:tab w:val="left" w:pos="90"/>
        </w:tabs>
        <w:ind w:left="720"/>
        <w:jc w:val="both"/>
        <w:rPr>
          <w:rFonts w:eastAsia="Calibri"/>
          <w:lang w:val="sq-AL" w:eastAsia="sq-AL"/>
        </w:rPr>
      </w:pPr>
    </w:p>
    <w:p w:rsidR="008565AA" w:rsidRPr="008565AA" w:rsidRDefault="008565AA" w:rsidP="008565AA">
      <w:pPr>
        <w:tabs>
          <w:tab w:val="left" w:pos="567"/>
        </w:tabs>
        <w:ind w:left="567"/>
        <w:jc w:val="both"/>
        <w:rPr>
          <w:rFonts w:eastAsia="Calibri"/>
          <w:lang w:val="sq-AL" w:eastAsia="sq-AL"/>
        </w:rPr>
      </w:pPr>
      <w:r w:rsidRPr="008565AA">
        <w:rPr>
          <w:rFonts w:eastAsia="Calibri"/>
          <w:i/>
          <w:lang w:val="sq-AL" w:eastAsia="sq-AL"/>
        </w:rPr>
        <w:t xml:space="preserve">“Ndërmjetës të tjerë financiarë e ndihmës financiarë” </w:t>
      </w:r>
      <w:r w:rsidRPr="008565AA">
        <w:rPr>
          <w:rFonts w:eastAsia="Times New Roman"/>
          <w:i/>
          <w:lang w:val="sq-AL" w:eastAsia="sq-AL"/>
        </w:rPr>
        <w:t>– përfshin të gjitha institucionet e tjera që kryejnë ndërmjetësim financiar apo lehtësojnë ndërmjetësimin financiar (përjashtuar kompanitë e sigurimit dhe fondet e pensionit) të tillë si, institucionet e kreditit, institucionet që ofrojnë qiranë financiare (leasing), institucionet e financimit të transaksioneve tregtare, institucionet e mikrokredisë, faktoringut, të gjitha shërbimet e pagesave dhe transferimit të parave, unionet e shoqërive të kursim-kreditit, shoqëritë administruese të fondeve të investimit dhe të fondeve të pensionit vullnetar, zyrat e këmbimit valutor, etj.</w:t>
      </w:r>
    </w:p>
    <w:p w:rsidR="008565AA" w:rsidRPr="008565AA" w:rsidRDefault="008565AA" w:rsidP="008565AA">
      <w:pPr>
        <w:tabs>
          <w:tab w:val="left" w:pos="90"/>
        </w:tabs>
        <w:ind w:left="720"/>
        <w:jc w:val="both"/>
        <w:rPr>
          <w:rFonts w:eastAsia="Calibri"/>
          <w:lang w:val="sq-AL" w:eastAsia="sq-AL"/>
        </w:rPr>
      </w:pPr>
    </w:p>
    <w:p w:rsidR="008565AA" w:rsidRPr="008565AA" w:rsidRDefault="008565AA" w:rsidP="008565AA">
      <w:pPr>
        <w:numPr>
          <w:ilvl w:val="0"/>
          <w:numId w:val="7"/>
        </w:numPr>
        <w:tabs>
          <w:tab w:val="left" w:pos="567"/>
        </w:tabs>
        <w:spacing w:after="200" w:line="276" w:lineRule="auto"/>
        <w:ind w:left="567" w:hanging="283"/>
        <w:jc w:val="both"/>
        <w:rPr>
          <w:rFonts w:eastAsia="Calibri"/>
          <w:lang w:val="sq-AL" w:eastAsia="sq-AL"/>
        </w:rPr>
      </w:pPr>
      <w:r w:rsidRPr="008565AA">
        <w:rPr>
          <w:rFonts w:eastAsia="Calibri"/>
          <w:lang w:val="sq-AL" w:eastAsia="sq-AL"/>
        </w:rPr>
        <w:t>Në nenin 6, pika 1 ndryshon sipas përmbajtjes së mëposhtme:</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 xml:space="preserve">“Baza e rezervës përfshin detyrimet nga pranimi i fondeve nga bankat, në formë depozitash dhe instrumentesh borxhi të emetuara prej vetë bankave, të pasqyruara në bilancin kontabël të tyre, në lekë dhe në valutë. Këto detyrime, ndër të tjera, përfshijnë: </w:t>
      </w:r>
    </w:p>
    <w:p w:rsidR="008565AA" w:rsidRPr="008565AA" w:rsidRDefault="008565AA" w:rsidP="008565AA">
      <w:pPr>
        <w:tabs>
          <w:tab w:val="left" w:pos="180"/>
        </w:tabs>
        <w:ind w:left="567"/>
        <w:jc w:val="both"/>
        <w:rPr>
          <w:rFonts w:eastAsia="Calibri"/>
          <w:i/>
          <w:lang w:val="sq-AL" w:eastAsia="sq-AL"/>
        </w:rPr>
      </w:pPr>
      <w:r w:rsidRPr="008565AA">
        <w:rPr>
          <w:rFonts w:eastAsia="Calibri"/>
          <w:i/>
          <w:lang w:val="sq-AL" w:eastAsia="sq-AL"/>
        </w:rPr>
        <w:t>a) detyrimet ndaj shoqërive të kursim-kreditit;</w:t>
      </w:r>
    </w:p>
    <w:p w:rsidR="008565AA" w:rsidRPr="008565AA" w:rsidRDefault="008565AA" w:rsidP="008565AA">
      <w:pPr>
        <w:tabs>
          <w:tab w:val="left" w:pos="180"/>
        </w:tabs>
        <w:ind w:left="567"/>
        <w:jc w:val="both"/>
        <w:rPr>
          <w:rFonts w:eastAsia="Calibri"/>
          <w:i/>
          <w:lang w:val="sq-AL" w:eastAsia="sq-AL"/>
        </w:rPr>
      </w:pPr>
      <w:r w:rsidRPr="008565AA">
        <w:rPr>
          <w:rFonts w:eastAsia="Calibri"/>
          <w:i/>
          <w:lang w:val="sq-AL" w:eastAsia="sq-AL"/>
        </w:rPr>
        <w:t>b) detyrimet ndaj fondeve të investimit;</w:t>
      </w:r>
    </w:p>
    <w:p w:rsidR="008565AA" w:rsidRPr="008565AA" w:rsidRDefault="008565AA" w:rsidP="008565AA">
      <w:pPr>
        <w:tabs>
          <w:tab w:val="left" w:pos="180"/>
        </w:tabs>
        <w:ind w:left="567"/>
        <w:jc w:val="both"/>
        <w:rPr>
          <w:rFonts w:eastAsia="Calibri"/>
          <w:i/>
          <w:lang w:val="sq-AL" w:eastAsia="sq-AL"/>
        </w:rPr>
      </w:pPr>
      <w:r w:rsidRPr="008565AA">
        <w:rPr>
          <w:rFonts w:eastAsia="Calibri"/>
          <w:i/>
          <w:lang w:val="sq-AL" w:eastAsia="sq-AL"/>
        </w:rPr>
        <w:t>c) detyrimet ndaj fondeve të pensionit vullnetar;</w:t>
      </w:r>
    </w:p>
    <w:p w:rsidR="008565AA" w:rsidRPr="008565AA" w:rsidRDefault="008565AA" w:rsidP="008565AA">
      <w:pPr>
        <w:tabs>
          <w:tab w:val="left" w:pos="180"/>
        </w:tabs>
        <w:ind w:left="567"/>
        <w:jc w:val="both"/>
        <w:rPr>
          <w:rFonts w:eastAsia="Calibri"/>
          <w:i/>
          <w:lang w:val="sq-AL" w:eastAsia="sq-AL"/>
        </w:rPr>
      </w:pPr>
      <w:r w:rsidRPr="008565AA">
        <w:rPr>
          <w:rFonts w:eastAsia="Calibri"/>
          <w:i/>
          <w:lang w:val="sq-AL" w:eastAsia="sq-AL"/>
        </w:rPr>
        <w:t>d) detyrimet ndaj shoqërive të sigurimit;</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 xml:space="preserve">e) detyrimet ndaj ndërmjetësve të tjerë financiarë e ndihmësve financiarë.” </w:t>
      </w:r>
    </w:p>
    <w:p w:rsidR="008565AA" w:rsidRPr="008565AA" w:rsidRDefault="008565AA" w:rsidP="008565AA">
      <w:pPr>
        <w:tabs>
          <w:tab w:val="left" w:pos="90"/>
        </w:tabs>
        <w:jc w:val="both"/>
        <w:rPr>
          <w:rFonts w:eastAsiaTheme="minorHAnsi"/>
          <w:i/>
          <w:lang w:val="sq-AL"/>
        </w:rPr>
      </w:pPr>
    </w:p>
    <w:p w:rsidR="008565AA" w:rsidRPr="008565AA" w:rsidRDefault="008565AA" w:rsidP="008565AA">
      <w:pPr>
        <w:numPr>
          <w:ilvl w:val="0"/>
          <w:numId w:val="7"/>
        </w:numPr>
        <w:tabs>
          <w:tab w:val="left" w:pos="90"/>
        </w:tabs>
        <w:spacing w:after="200" w:line="276" w:lineRule="auto"/>
        <w:ind w:left="567" w:hanging="283"/>
        <w:jc w:val="both"/>
        <w:rPr>
          <w:rFonts w:eastAsia="Calibri"/>
          <w:lang w:val="sq-AL" w:eastAsia="sq-AL"/>
        </w:rPr>
      </w:pPr>
      <w:r w:rsidRPr="008565AA">
        <w:rPr>
          <w:rFonts w:eastAsia="Calibri"/>
          <w:lang w:val="sq-AL" w:eastAsia="sq-AL"/>
        </w:rPr>
        <w:t>Në nenin 7, në pikën 1, pas shkronjës “c” shtohet shkronja “d” sipas përmbajtjes së mëposhtme:</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“d) instrumentet e borxhit të emetuara nga banka me afat maturimi fillestar mbi 2 vjet.”</w:t>
      </w:r>
    </w:p>
    <w:p w:rsidR="008565AA" w:rsidRPr="008565AA" w:rsidRDefault="008565AA" w:rsidP="008565AA">
      <w:pPr>
        <w:tabs>
          <w:tab w:val="left" w:pos="90"/>
        </w:tabs>
        <w:ind w:left="720"/>
        <w:jc w:val="both"/>
        <w:rPr>
          <w:rFonts w:eastAsia="Calibri"/>
          <w:color w:val="FF0000"/>
          <w:lang w:val="sq-AL" w:eastAsia="sq-AL"/>
        </w:rPr>
      </w:pPr>
      <w:r w:rsidRPr="008565AA">
        <w:rPr>
          <w:rFonts w:eastAsia="Calibri"/>
          <w:color w:val="FF0000"/>
          <w:lang w:val="sq-AL" w:eastAsia="sq-AL"/>
        </w:rPr>
        <w:t xml:space="preserve"> </w:t>
      </w:r>
    </w:p>
    <w:p w:rsidR="008565AA" w:rsidRPr="008565AA" w:rsidRDefault="008565AA" w:rsidP="008565AA">
      <w:pPr>
        <w:numPr>
          <w:ilvl w:val="0"/>
          <w:numId w:val="7"/>
        </w:numPr>
        <w:tabs>
          <w:tab w:val="left" w:pos="90"/>
        </w:tabs>
        <w:spacing w:after="200" w:line="276" w:lineRule="auto"/>
        <w:ind w:left="567" w:hanging="283"/>
        <w:jc w:val="both"/>
        <w:rPr>
          <w:rFonts w:eastAsia="Calibri"/>
          <w:lang w:val="sq-AL" w:eastAsia="sq-AL"/>
        </w:rPr>
      </w:pPr>
      <w:r w:rsidRPr="008565AA">
        <w:rPr>
          <w:rFonts w:eastAsia="Calibri"/>
          <w:lang w:val="sq-AL" w:eastAsia="sq-AL"/>
        </w:rPr>
        <w:t>Në nenin 9, pika 3 ndryshon sipas përmbajtjes së mëposhtme:</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 xml:space="preserve">“Bankat dorëzojnë në Bankën e Shqipërisë pasqyrën(at) e llogaritjes së rezervës së detyruar në lekë dhe në valutë sipas anekseve nr. 1 dhe nr. 2 bashkëlidhur kësaj rregulloreje, brenda datës 10 të muajit në të cilin fillon periudha e mbajtjes së rezervës së detyruar.” </w:t>
      </w:r>
    </w:p>
    <w:p w:rsidR="008565AA" w:rsidRPr="008565AA" w:rsidRDefault="008565AA" w:rsidP="008565AA">
      <w:pPr>
        <w:tabs>
          <w:tab w:val="left" w:pos="90"/>
        </w:tabs>
        <w:ind w:left="720"/>
        <w:jc w:val="both"/>
        <w:rPr>
          <w:rFonts w:eastAsia="Calibri"/>
          <w:i/>
          <w:lang w:val="sq-AL" w:eastAsia="sq-AL"/>
        </w:rPr>
      </w:pPr>
    </w:p>
    <w:p w:rsidR="008565AA" w:rsidRPr="008565AA" w:rsidRDefault="008565AA" w:rsidP="008565AA">
      <w:pPr>
        <w:numPr>
          <w:ilvl w:val="0"/>
          <w:numId w:val="7"/>
        </w:numPr>
        <w:tabs>
          <w:tab w:val="left" w:pos="90"/>
        </w:tabs>
        <w:spacing w:after="200" w:line="276" w:lineRule="auto"/>
        <w:ind w:left="567" w:hanging="283"/>
        <w:jc w:val="both"/>
        <w:rPr>
          <w:rFonts w:eastAsia="Calibri"/>
          <w:lang w:val="sq-AL" w:eastAsia="sq-AL"/>
        </w:rPr>
      </w:pPr>
      <w:r w:rsidRPr="008565AA">
        <w:rPr>
          <w:rFonts w:eastAsia="Calibri"/>
          <w:lang w:val="sq-AL" w:eastAsia="sq-AL"/>
        </w:rPr>
        <w:t xml:space="preserve">Në nenin 10, pika 1 ndryshon sipas përmbajtjes së mëposhtme: </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“Bankat mbajnë rezervën e detyruar në llogaritë e tyre rezervë në lekë dhe në valutë (në euro dhe në dollarë amerikanë) në Bankën e Shqipërisë, sipas përcaktimit në vendimin e Këshillit Mbikëqyrës të Bankës së Shqipërisë.”</w:t>
      </w:r>
    </w:p>
    <w:p w:rsidR="008565AA" w:rsidRPr="008565AA" w:rsidRDefault="008565AA" w:rsidP="008565AA">
      <w:pPr>
        <w:tabs>
          <w:tab w:val="left" w:pos="90"/>
        </w:tabs>
        <w:jc w:val="both"/>
        <w:rPr>
          <w:rFonts w:eastAsiaTheme="minorHAnsi"/>
          <w:lang w:val="sq-AL"/>
        </w:rPr>
      </w:pPr>
    </w:p>
    <w:p w:rsidR="008565AA" w:rsidRPr="008565AA" w:rsidRDefault="008565AA" w:rsidP="008565AA">
      <w:pPr>
        <w:numPr>
          <w:ilvl w:val="0"/>
          <w:numId w:val="7"/>
        </w:numPr>
        <w:tabs>
          <w:tab w:val="left" w:pos="567"/>
        </w:tabs>
        <w:spacing w:after="200" w:line="276" w:lineRule="auto"/>
        <w:ind w:left="567" w:hanging="283"/>
        <w:jc w:val="both"/>
        <w:rPr>
          <w:rFonts w:eastAsia="Calibri"/>
          <w:lang w:val="sq-AL" w:eastAsia="sq-AL"/>
        </w:rPr>
      </w:pPr>
      <w:r w:rsidRPr="008565AA">
        <w:rPr>
          <w:rFonts w:eastAsia="Calibri"/>
          <w:lang w:val="sq-AL" w:eastAsia="sq-AL"/>
        </w:rPr>
        <w:t>Në nenin 12/1, pika 2 ndryshon sipas përmbajtjes së mëposhtme:</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“Teprica e llogarisë rezervë në euro është diferenca e gjendjes në llogarinë rezervë me rezervën e detyruar të mbajtur në euro, e llogaritur çdo ditë.”</w:t>
      </w:r>
    </w:p>
    <w:p w:rsidR="008565AA" w:rsidRPr="008565AA" w:rsidRDefault="008565AA" w:rsidP="008565AA">
      <w:pPr>
        <w:tabs>
          <w:tab w:val="left" w:pos="90"/>
        </w:tabs>
        <w:ind w:left="720"/>
        <w:jc w:val="both"/>
        <w:rPr>
          <w:rFonts w:eastAsia="Calibri"/>
          <w:lang w:val="sq-AL" w:eastAsia="sq-AL"/>
        </w:rPr>
      </w:pPr>
    </w:p>
    <w:p w:rsidR="008565AA" w:rsidRPr="008565AA" w:rsidRDefault="008565AA" w:rsidP="008565AA">
      <w:pPr>
        <w:numPr>
          <w:ilvl w:val="0"/>
          <w:numId w:val="7"/>
        </w:numPr>
        <w:tabs>
          <w:tab w:val="left" w:pos="567"/>
        </w:tabs>
        <w:spacing w:after="200" w:line="276" w:lineRule="auto"/>
        <w:ind w:left="567" w:hanging="283"/>
        <w:jc w:val="both"/>
        <w:rPr>
          <w:rFonts w:eastAsia="Calibri"/>
          <w:lang w:val="sq-AL" w:eastAsia="sq-AL"/>
        </w:rPr>
      </w:pPr>
      <w:r w:rsidRPr="008565AA">
        <w:rPr>
          <w:rFonts w:eastAsia="Calibri"/>
          <w:lang w:val="sq-AL" w:eastAsia="sq-AL"/>
        </w:rPr>
        <w:t>Në nenin 12/1, pika 2/a ndryshon sipas përmbajtjes së mëposhtme:</w:t>
      </w:r>
    </w:p>
    <w:p w:rsidR="008565AA" w:rsidRPr="008565AA" w:rsidRDefault="008565AA" w:rsidP="008565AA">
      <w:pPr>
        <w:tabs>
          <w:tab w:val="left" w:pos="90"/>
        </w:tabs>
        <w:ind w:left="567"/>
        <w:jc w:val="both"/>
        <w:rPr>
          <w:rFonts w:eastAsia="Calibri"/>
          <w:i/>
          <w:lang w:val="sq-AL" w:eastAsia="sq-AL"/>
        </w:rPr>
      </w:pPr>
      <w:r w:rsidRPr="008565AA">
        <w:rPr>
          <w:rFonts w:eastAsia="Calibri"/>
          <w:i/>
          <w:lang w:val="sq-AL" w:eastAsia="sq-AL"/>
        </w:rPr>
        <w:t>“Teprica e llogarisë rezervë në dollarë amerikanë është diferenca e gjendjes në llogarinë rezervë me rezervën e detyruar të mbajtur në dollarë amerikanë, e llogaritur çdo ditë, por jo më e vogël se niveli minimal i tepricës.”</w:t>
      </w:r>
    </w:p>
    <w:p w:rsidR="008565AA" w:rsidRPr="008565AA" w:rsidRDefault="008565AA" w:rsidP="008565AA">
      <w:pPr>
        <w:tabs>
          <w:tab w:val="left" w:pos="90"/>
        </w:tabs>
        <w:ind w:left="720"/>
        <w:jc w:val="both"/>
        <w:rPr>
          <w:rFonts w:eastAsia="Calibri"/>
          <w:lang w:val="sq-AL" w:eastAsia="sq-AL"/>
        </w:rPr>
      </w:pPr>
    </w:p>
    <w:p w:rsidR="008565AA" w:rsidRPr="008565AA" w:rsidRDefault="008565AA" w:rsidP="008565AA">
      <w:pPr>
        <w:numPr>
          <w:ilvl w:val="0"/>
          <w:numId w:val="7"/>
        </w:numPr>
        <w:tabs>
          <w:tab w:val="left" w:pos="567"/>
        </w:tabs>
        <w:spacing w:after="200" w:line="276" w:lineRule="auto"/>
        <w:ind w:left="567" w:hanging="283"/>
        <w:jc w:val="both"/>
        <w:rPr>
          <w:rFonts w:eastAsia="Calibri"/>
          <w:lang w:val="sq-AL" w:eastAsia="sq-AL"/>
        </w:rPr>
      </w:pPr>
      <w:r w:rsidRPr="008565AA">
        <w:rPr>
          <w:rFonts w:eastAsia="Calibri"/>
          <w:lang w:val="sq-AL" w:eastAsia="sq-AL"/>
        </w:rPr>
        <w:t>Në nenin 15, pika 1 ndryshon sipas përmbajtjes së mëposhtme:</w:t>
      </w:r>
    </w:p>
    <w:p w:rsidR="008565AA" w:rsidRPr="008565AA" w:rsidRDefault="008565AA" w:rsidP="008565AA">
      <w:pPr>
        <w:tabs>
          <w:tab w:val="left" w:pos="567"/>
        </w:tabs>
        <w:ind w:left="567"/>
        <w:jc w:val="both"/>
        <w:rPr>
          <w:rFonts w:eastAsia="Calibri"/>
          <w:i/>
          <w:lang w:val="sq-AL" w:eastAsia="sq-AL"/>
        </w:rPr>
      </w:pPr>
      <w:r w:rsidRPr="008565AA">
        <w:rPr>
          <w:rFonts w:eastAsia="Calibri"/>
          <w:i/>
          <w:lang w:val="sq-AL" w:eastAsia="sq-AL"/>
        </w:rPr>
        <w:t xml:space="preserve">“Departamenti i Operacioneve Monetare verifikon saktësinë e raportimit të rezervës së detyruar në përputhje me të dhënat e raportuara në SRU nëpërmjet sistemit ERRS, dhe/ose nëpërmjet inspektimeve në vend të bankës, të kryera nga Departamenti i Mbikëqyrjes.” </w:t>
      </w:r>
    </w:p>
    <w:p w:rsidR="008565AA" w:rsidRPr="008565AA" w:rsidRDefault="008565AA" w:rsidP="008565AA">
      <w:pPr>
        <w:tabs>
          <w:tab w:val="left" w:pos="90"/>
        </w:tabs>
        <w:jc w:val="both"/>
        <w:rPr>
          <w:rFonts w:eastAsiaTheme="minorHAnsi"/>
          <w:lang w:val="sq-AL"/>
        </w:rPr>
      </w:pPr>
    </w:p>
    <w:p w:rsidR="008565AA" w:rsidRPr="008565AA" w:rsidRDefault="008565AA" w:rsidP="008565AA">
      <w:pPr>
        <w:numPr>
          <w:ilvl w:val="0"/>
          <w:numId w:val="7"/>
        </w:numPr>
        <w:tabs>
          <w:tab w:val="left" w:pos="90"/>
        </w:tabs>
        <w:spacing w:after="200" w:line="276" w:lineRule="auto"/>
        <w:ind w:left="567" w:hanging="283"/>
        <w:jc w:val="both"/>
        <w:rPr>
          <w:rFonts w:eastAsia="Calibri"/>
          <w:lang w:val="sq-AL" w:eastAsia="sq-AL"/>
        </w:rPr>
      </w:pPr>
      <w:r w:rsidRPr="008565AA">
        <w:rPr>
          <w:rFonts w:eastAsia="Calibri"/>
          <w:lang w:val="sq-AL" w:eastAsia="sq-AL"/>
        </w:rPr>
        <w:t>Në nenin 15, pika 2, shkronja “b” shfuqizohet.</w:t>
      </w:r>
    </w:p>
    <w:p w:rsidR="008565AA" w:rsidRPr="008565AA" w:rsidRDefault="008565AA" w:rsidP="008565AA">
      <w:pPr>
        <w:tabs>
          <w:tab w:val="left" w:pos="180"/>
        </w:tabs>
        <w:jc w:val="both"/>
        <w:rPr>
          <w:rFonts w:eastAsiaTheme="minorHAnsi"/>
          <w:lang w:val="sq-AL"/>
        </w:rPr>
      </w:pPr>
    </w:p>
    <w:p w:rsidR="008565AA" w:rsidRPr="008565AA" w:rsidRDefault="008565AA" w:rsidP="008565AA">
      <w:pPr>
        <w:numPr>
          <w:ilvl w:val="0"/>
          <w:numId w:val="8"/>
        </w:numPr>
        <w:tabs>
          <w:tab w:val="left" w:pos="284"/>
        </w:tabs>
        <w:spacing w:after="200" w:line="276" w:lineRule="auto"/>
        <w:ind w:left="284" w:hanging="284"/>
        <w:jc w:val="both"/>
        <w:rPr>
          <w:rFonts w:eastAsia="Calibri"/>
          <w:lang w:val="sq-AL" w:eastAsia="sq-AL"/>
        </w:rPr>
      </w:pPr>
      <w:r w:rsidRPr="008565AA">
        <w:rPr>
          <w:rFonts w:eastAsia="Calibri"/>
          <w:lang w:val="sq-AL" w:eastAsia="sq-AL"/>
        </w:rPr>
        <w:t xml:space="preserve">Me zbatimin e këtij vendimi ngarkohet Departamenti i Operacioneve Monetare dhe Departamenti i Mbikëqyrjes. </w:t>
      </w:r>
    </w:p>
    <w:p w:rsidR="008565AA" w:rsidRPr="008565AA" w:rsidRDefault="008565AA" w:rsidP="008565AA">
      <w:pPr>
        <w:tabs>
          <w:tab w:val="left" w:pos="284"/>
        </w:tabs>
        <w:ind w:left="284" w:hanging="284"/>
        <w:jc w:val="both"/>
        <w:rPr>
          <w:rFonts w:eastAsiaTheme="minorHAnsi"/>
          <w:lang w:val="sq-AL"/>
        </w:rPr>
      </w:pPr>
    </w:p>
    <w:p w:rsidR="008565AA" w:rsidRPr="008565AA" w:rsidRDefault="008565AA" w:rsidP="008565AA">
      <w:pPr>
        <w:numPr>
          <w:ilvl w:val="0"/>
          <w:numId w:val="8"/>
        </w:numPr>
        <w:tabs>
          <w:tab w:val="left" w:pos="284"/>
        </w:tabs>
        <w:spacing w:after="200" w:line="276" w:lineRule="auto"/>
        <w:ind w:left="284" w:hanging="284"/>
        <w:jc w:val="both"/>
        <w:rPr>
          <w:rFonts w:eastAsia="Calibri"/>
          <w:lang w:val="sq-AL" w:eastAsia="sq-AL"/>
        </w:rPr>
      </w:pPr>
      <w:r w:rsidRPr="008565AA">
        <w:rPr>
          <w:rFonts w:eastAsia="Calibri"/>
          <w:lang w:val="sq-AL" w:eastAsia="sq-AL"/>
        </w:rPr>
        <w:t>Ngarkohet Kabineti i Guvernatorit me publikimin e këtij vendimi në Fletoren Zyrtare të Republikës së Shqipërisë dhe në faqen e internetit të Bankës së Shqipërisë, dhe Departamenti i Kërkimeve me publikimin në Buletinin Zyrtar.</w:t>
      </w:r>
    </w:p>
    <w:p w:rsidR="008565AA" w:rsidRPr="008565AA" w:rsidRDefault="008565AA" w:rsidP="008565AA">
      <w:pPr>
        <w:tabs>
          <w:tab w:val="left" w:pos="284"/>
        </w:tabs>
        <w:ind w:left="284" w:hanging="284"/>
        <w:jc w:val="both"/>
        <w:rPr>
          <w:rFonts w:eastAsiaTheme="minorHAnsi"/>
          <w:lang w:val="sq-AL"/>
        </w:rPr>
      </w:pPr>
    </w:p>
    <w:p w:rsidR="008565AA" w:rsidRPr="008565AA" w:rsidRDefault="008565AA" w:rsidP="008565AA">
      <w:pPr>
        <w:numPr>
          <w:ilvl w:val="0"/>
          <w:numId w:val="8"/>
        </w:numPr>
        <w:tabs>
          <w:tab w:val="left" w:pos="90"/>
          <w:tab w:val="left" w:pos="284"/>
        </w:tabs>
        <w:spacing w:after="200" w:line="276" w:lineRule="auto"/>
        <w:ind w:left="284" w:hanging="284"/>
        <w:jc w:val="both"/>
        <w:rPr>
          <w:rFonts w:eastAsia="Calibri"/>
          <w:lang w:val="sq-AL" w:eastAsia="sq-AL"/>
        </w:rPr>
      </w:pPr>
      <w:r w:rsidRPr="008565AA">
        <w:rPr>
          <w:rFonts w:eastAsia="Calibri"/>
          <w:lang w:val="sq-AL" w:eastAsia="sq-AL"/>
        </w:rPr>
        <w:t>Me hyrjen në fuqi të këtij vendimi, shfuqizohet neni 1, shkronja “b” e vendimit të Këshillit Mbikëqyrës 38, datë 25.06.2014 “Për miratimin e disa ndryshimeve në rregulloren “Mbi minimumin e rezervës së detyruar mbajtur në Bankën e Shqipërisë nga bankat””.</w:t>
      </w:r>
    </w:p>
    <w:p w:rsidR="008565AA" w:rsidRPr="008565AA" w:rsidRDefault="008565AA" w:rsidP="008565AA">
      <w:pPr>
        <w:tabs>
          <w:tab w:val="left" w:pos="180"/>
        </w:tabs>
        <w:jc w:val="both"/>
        <w:rPr>
          <w:rFonts w:eastAsia="Calibri"/>
          <w:lang w:val="sq-AL" w:eastAsia="sq-AL"/>
        </w:rPr>
      </w:pPr>
    </w:p>
    <w:p w:rsidR="008565AA" w:rsidRPr="008565AA" w:rsidRDefault="008565AA" w:rsidP="008565AA">
      <w:pPr>
        <w:tabs>
          <w:tab w:val="left" w:pos="180"/>
        </w:tabs>
        <w:jc w:val="both"/>
        <w:rPr>
          <w:rFonts w:eastAsia="Calibri"/>
          <w:lang w:val="sq-AL" w:eastAsia="sq-AL"/>
        </w:rPr>
      </w:pPr>
      <w:r w:rsidRPr="008565AA">
        <w:rPr>
          <w:rFonts w:eastAsia="Calibri"/>
          <w:lang w:val="sq-AL" w:eastAsia="sq-AL"/>
        </w:rPr>
        <w:t>Ky vendim hyn në fuqi më 24 shkurt 2018.</w:t>
      </w:r>
    </w:p>
    <w:p w:rsidR="008565AA" w:rsidRPr="008565AA" w:rsidRDefault="008565AA" w:rsidP="008565AA">
      <w:pPr>
        <w:rPr>
          <w:rFonts w:eastAsiaTheme="minorHAnsi"/>
          <w:b/>
          <w:bCs/>
          <w:caps/>
          <w:lang w:val="sq-AL"/>
        </w:rPr>
      </w:pPr>
    </w:p>
    <w:tbl>
      <w:tblPr>
        <w:tblW w:w="0" w:type="auto"/>
        <w:tblLook w:val="04A0" w:firstRow="1" w:lastRow="0" w:firstColumn="1" w:lastColumn="0" w:noHBand="0" w:noVBand="1"/>
      </w:tblPr>
      <w:tblGrid>
        <w:gridCol w:w="2892"/>
        <w:gridCol w:w="2892"/>
        <w:gridCol w:w="2892"/>
      </w:tblGrid>
      <w:tr w:rsidR="008565AA" w:rsidRPr="008565AA" w:rsidTr="00F645F0">
        <w:trPr>
          <w:trHeight w:val="378"/>
        </w:trPr>
        <w:tc>
          <w:tcPr>
            <w:tcW w:w="2892" w:type="dxa"/>
            <w:vAlign w:val="center"/>
          </w:tcPr>
          <w:p w:rsidR="008565AA" w:rsidRPr="008565AA" w:rsidRDefault="008565AA" w:rsidP="008565AA">
            <w:pPr>
              <w:jc w:val="center"/>
              <w:rPr>
                <w:lang w:val="sq-AL"/>
              </w:rPr>
            </w:pPr>
            <w:r w:rsidRPr="008565AA">
              <w:rPr>
                <w:b/>
                <w:lang w:val="sq-AL"/>
              </w:rPr>
              <w:t>SEKRETARI</w:t>
            </w: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r w:rsidRPr="008565AA">
              <w:rPr>
                <w:b/>
                <w:lang w:val="sq-AL"/>
              </w:rPr>
              <w:t>KRYETARI</w:t>
            </w:r>
          </w:p>
        </w:tc>
      </w:tr>
      <w:tr w:rsidR="008565AA" w:rsidRPr="008565AA" w:rsidTr="00F645F0">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r>
      <w:tr w:rsidR="008565AA" w:rsidRPr="008565AA" w:rsidTr="00F645F0">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r>
      <w:tr w:rsidR="008565AA" w:rsidRPr="008565AA" w:rsidTr="00F645F0">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r>
      <w:tr w:rsidR="008565AA" w:rsidRPr="008565AA" w:rsidTr="00F645F0">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p>
        </w:tc>
      </w:tr>
      <w:tr w:rsidR="008565AA" w:rsidRPr="008565AA" w:rsidTr="00F645F0">
        <w:tc>
          <w:tcPr>
            <w:tcW w:w="2892" w:type="dxa"/>
            <w:vAlign w:val="center"/>
          </w:tcPr>
          <w:p w:rsidR="008565AA" w:rsidRPr="008565AA" w:rsidRDefault="008565AA" w:rsidP="008565AA">
            <w:pPr>
              <w:jc w:val="center"/>
              <w:rPr>
                <w:lang w:val="sq-AL"/>
              </w:rPr>
            </w:pPr>
            <w:r w:rsidRPr="008565AA">
              <w:rPr>
                <w:b/>
                <w:bCs/>
                <w:lang w:val="sq-AL"/>
              </w:rPr>
              <w:t>Elvis ÇIBUKU</w:t>
            </w:r>
          </w:p>
        </w:tc>
        <w:tc>
          <w:tcPr>
            <w:tcW w:w="2892" w:type="dxa"/>
            <w:vAlign w:val="center"/>
          </w:tcPr>
          <w:p w:rsidR="008565AA" w:rsidRPr="008565AA" w:rsidRDefault="008565AA" w:rsidP="008565AA">
            <w:pPr>
              <w:jc w:val="center"/>
              <w:rPr>
                <w:lang w:val="sq-AL"/>
              </w:rPr>
            </w:pPr>
          </w:p>
        </w:tc>
        <w:tc>
          <w:tcPr>
            <w:tcW w:w="2892" w:type="dxa"/>
            <w:vAlign w:val="center"/>
          </w:tcPr>
          <w:p w:rsidR="008565AA" w:rsidRPr="008565AA" w:rsidRDefault="008565AA" w:rsidP="008565AA">
            <w:pPr>
              <w:jc w:val="center"/>
              <w:rPr>
                <w:lang w:val="sq-AL"/>
              </w:rPr>
            </w:pPr>
            <w:r w:rsidRPr="008565AA">
              <w:rPr>
                <w:b/>
                <w:bCs/>
                <w:lang w:val="sq-AL"/>
              </w:rPr>
              <w:t>Gent SEJKO</w:t>
            </w:r>
          </w:p>
        </w:tc>
      </w:tr>
    </w:tbl>
    <w:p w:rsidR="008565AA" w:rsidRPr="008565AA" w:rsidRDefault="008565AA" w:rsidP="008565AA">
      <w:pPr>
        <w:spacing w:after="200" w:line="276" w:lineRule="auto"/>
        <w:rPr>
          <w:rFonts w:eastAsiaTheme="minorHAnsi"/>
          <w:lang w:val="sq-AL"/>
        </w:rPr>
      </w:pPr>
    </w:p>
    <w:p w:rsidR="00582CB7" w:rsidRDefault="00582CB7" w:rsidP="000471B6">
      <w:pPr>
        <w:spacing w:line="276" w:lineRule="auto"/>
        <w:jc w:val="center"/>
        <w:rPr>
          <w:b/>
          <w:lang w:val="sq-AL"/>
        </w:rPr>
      </w:pPr>
    </w:p>
    <w:p w:rsidR="00582CB7" w:rsidRDefault="00582CB7" w:rsidP="000471B6">
      <w:pPr>
        <w:spacing w:line="276" w:lineRule="auto"/>
        <w:jc w:val="center"/>
        <w:rPr>
          <w:b/>
          <w:lang w:val="sq-AL"/>
        </w:rPr>
      </w:pPr>
    </w:p>
    <w:p w:rsidR="00582CB7" w:rsidRDefault="00582CB7" w:rsidP="000471B6">
      <w:pPr>
        <w:spacing w:line="276" w:lineRule="auto"/>
        <w:jc w:val="center"/>
        <w:rPr>
          <w:b/>
          <w:lang w:val="sq-AL"/>
        </w:rPr>
      </w:pPr>
    </w:p>
    <w:p w:rsidR="00582CB7" w:rsidRPr="00F60D14" w:rsidRDefault="00582CB7" w:rsidP="000471B6">
      <w:pPr>
        <w:spacing w:line="276" w:lineRule="auto"/>
        <w:jc w:val="center"/>
        <w:rPr>
          <w:b/>
          <w:lang w:val="sq-AL"/>
        </w:rPr>
      </w:pPr>
    </w:p>
    <w:p w:rsidR="00582CB7" w:rsidRPr="00582CB7" w:rsidRDefault="00582CB7" w:rsidP="00582CB7">
      <w:pPr>
        <w:rPr>
          <w:rFonts w:eastAsiaTheme="minorHAnsi"/>
          <w:lang w:val="sq-AL"/>
        </w:rPr>
      </w:pPr>
    </w:p>
    <w:p w:rsidR="00582CB7" w:rsidRPr="00582CB7" w:rsidRDefault="00582CB7" w:rsidP="00582CB7">
      <w:pPr>
        <w:rPr>
          <w:rFonts w:asciiTheme="minorHAnsi" w:eastAsiaTheme="minorHAnsi" w:hAnsiTheme="minorHAnsi" w:cstheme="minorBidi"/>
          <w:sz w:val="22"/>
          <w:szCs w:val="22"/>
        </w:rPr>
      </w:pPr>
    </w:p>
    <w:p w:rsidR="007077D1" w:rsidRPr="007077D1" w:rsidRDefault="007077D1" w:rsidP="003345F7">
      <w:pPr>
        <w:spacing w:line="276" w:lineRule="auto"/>
        <w:jc w:val="both"/>
        <w:rPr>
          <w:sz w:val="20"/>
          <w:lang w:val="sq-AL"/>
        </w:rPr>
      </w:pPr>
    </w:p>
    <w:sectPr w:rsidR="007077D1" w:rsidRPr="007077D1" w:rsidSect="00591903">
      <w:footerReference w:type="default" r:id="rId9"/>
      <w:headerReference w:type="first" r:id="rId10"/>
      <w:pgSz w:w="11907" w:h="16839" w:code="9"/>
      <w:pgMar w:top="1134" w:right="1701" w:bottom="1134" w:left="1701" w:header="1134" w:footer="1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CC" w:rsidRDefault="003306CC" w:rsidP="007E4EA2">
      <w:r>
        <w:separator/>
      </w:r>
    </w:p>
  </w:endnote>
  <w:endnote w:type="continuationSeparator" w:id="0">
    <w:p w:rsidR="003306CC" w:rsidRDefault="003306CC" w:rsidP="007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D" w:rsidRDefault="00930FDD" w:rsidP="00930FDD">
    <w:pPr>
      <w:pStyle w:val="Footer"/>
    </w:pPr>
    <w:r w:rsidRPr="007E4EA2">
      <w:rPr>
        <w:bCs/>
        <w:noProof/>
        <w:color w:val="808080"/>
        <w:sz w:val="18"/>
      </w:rPr>
      <mc:AlternateContent>
        <mc:Choice Requires="wps">
          <w:drawing>
            <wp:anchor distT="0" distB="0" distL="114300" distR="114300" simplePos="0" relativeHeight="251675648" behindDoc="1" locked="0" layoutInCell="1" allowOverlap="1" wp14:anchorId="5697828E" wp14:editId="0D78707C">
              <wp:simplePos x="0" y="0"/>
              <wp:positionH relativeFrom="column">
                <wp:posOffset>-579120</wp:posOffset>
              </wp:positionH>
              <wp:positionV relativeFrom="paragraph">
                <wp:posOffset>188595</wp:posOffset>
              </wp:positionV>
              <wp:extent cx="653415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175"/>
                      </a:xfrm>
                      <a:prstGeom prst="rect">
                        <a:avLst/>
                      </a:prstGeom>
                      <a:noFill/>
                      <a:ln w="9525">
                        <a:noFill/>
                        <a:miter lim="800000"/>
                        <a:headEnd/>
                        <a:tailEnd/>
                      </a:ln>
                    </wps:spPr>
                    <wps:txbx>
                      <w:txbxContent>
                        <w:p w:rsidR="00930FDD" w:rsidRPr="00F60E99" w:rsidRDefault="00930FDD" w:rsidP="00930FDD">
                          <w:pPr>
                            <w:jc w:val="center"/>
                            <w:rPr>
                              <w:sz w:val="16"/>
                              <w:szCs w:val="16"/>
                              <w:lang w:val="sq-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97828E" id="_x0000_t202" coordsize="21600,21600" o:spt="202" path="m,l,21600r21600,l21600,xe">
              <v:stroke joinstyle="miter"/>
              <v:path gradientshapeok="t" o:connecttype="rect"/>
            </v:shapetype>
            <v:shape id="Text Box 2" o:spid="_x0000_s1026" type="#_x0000_t202" style="position:absolute;margin-left:-45.6pt;margin-top:14.85pt;width:514.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" filled="f" stroked="f">
              <v:textbox>
                <w:txbxContent>
                  <w:p w:rsidR="00930FDD" w:rsidRPr="00F60E99" w:rsidRDefault="00930FDD" w:rsidP="00930FDD">
                    <w:pPr>
                      <w:jc w:val="center"/>
                      <w:rPr>
                        <w:sz w:val="16"/>
                        <w:szCs w:val="16"/>
                        <w:lang w:val="sq-A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CC" w:rsidRDefault="003306CC" w:rsidP="007E4EA2">
      <w:r>
        <w:separator/>
      </w:r>
    </w:p>
  </w:footnote>
  <w:footnote w:type="continuationSeparator" w:id="0">
    <w:p w:rsidR="003306CC" w:rsidRDefault="003306CC" w:rsidP="007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3" w:rsidRPr="007E4EA2" w:rsidRDefault="00A77524" w:rsidP="00591903">
    <w:pPr>
      <w:ind w:left="714"/>
      <w:jc w:val="both"/>
      <w:rPr>
        <w:sz w:val="16"/>
      </w:rPr>
    </w:pPr>
    <w:r>
      <w:rPr>
        <w:rFonts w:ascii="Arial" w:eastAsia="Times New Roman" w:hAnsi="Arial"/>
        <w:noProof/>
        <w:sz w:val="26"/>
        <w:szCs w:val="26"/>
      </w:rPr>
      <w:drawing>
        <wp:anchor distT="0" distB="0" distL="114300" distR="114300" simplePos="0" relativeHeight="251677696" behindDoc="1" locked="0" layoutInCell="1" allowOverlap="1">
          <wp:simplePos x="0" y="0"/>
          <wp:positionH relativeFrom="column">
            <wp:posOffset>-477256</wp:posOffset>
          </wp:positionH>
          <wp:positionV relativeFrom="paragraph">
            <wp:posOffset>-160020</wp:posOffset>
          </wp:positionV>
          <wp:extent cx="130492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e-jubileut-te-Skenderbeut.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19200"/>
                  </a:xfrm>
                  <a:prstGeom prst="rect">
                    <a:avLst/>
                  </a:prstGeom>
                </pic:spPr>
              </pic:pic>
            </a:graphicData>
          </a:graphic>
          <wp14:sizeRelH relativeFrom="page">
            <wp14:pctWidth>0</wp14:pctWidth>
          </wp14:sizeRelH>
          <wp14:sizeRelV relativeFrom="page">
            <wp14:pctHeight>0</wp14:pctHeight>
          </wp14:sizeRelV>
        </wp:anchor>
      </w:drawing>
    </w:r>
    <w:r w:rsidR="00472F1C" w:rsidRPr="007E4EA2">
      <w:rPr>
        <w:rFonts w:ascii="Arial" w:eastAsia="Times New Roman" w:hAnsi="Arial"/>
        <w:noProof/>
        <w:sz w:val="26"/>
        <w:szCs w:val="26"/>
      </w:rPr>
      <w:drawing>
        <wp:anchor distT="0" distB="0" distL="114300" distR="114300" simplePos="0" relativeHeight="251668480" behindDoc="1" locked="0" layoutInCell="1" allowOverlap="1" wp14:anchorId="276C11C9" wp14:editId="77F326C1">
          <wp:simplePos x="0" y="0"/>
          <wp:positionH relativeFrom="column">
            <wp:posOffset>2466975</wp:posOffset>
          </wp:positionH>
          <wp:positionV relativeFrom="paragraph">
            <wp:posOffset>-99060</wp:posOffset>
          </wp:positionV>
          <wp:extent cx="464820" cy="699770"/>
          <wp:effectExtent l="0" t="0" r="0" b="5080"/>
          <wp:wrapTight wrapText="bothSides">
            <wp:wrapPolygon edited="0">
              <wp:start x="0" y="0"/>
              <wp:lineTo x="0" y="19405"/>
              <wp:lineTo x="6197" y="21169"/>
              <wp:lineTo x="15049" y="21169"/>
              <wp:lineTo x="20361" y="19405"/>
              <wp:lineTo x="2036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482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EE" w:rsidRPr="007E4EA2">
      <w:rPr>
        <w:rFonts w:ascii="Arial" w:eastAsia="Times New Roman" w:hAnsi="Arial"/>
        <w:noProof/>
        <w:sz w:val="26"/>
        <w:szCs w:val="26"/>
      </w:rPr>
      <mc:AlternateContent>
        <mc:Choice Requires="wps">
          <w:drawing>
            <wp:anchor distT="4294967295" distB="4294967295" distL="114300" distR="114300" simplePos="0" relativeHeight="251667456" behindDoc="1" locked="0" layoutInCell="1" allowOverlap="1" wp14:anchorId="46BFE642" wp14:editId="4AF1558E">
              <wp:simplePos x="0" y="0"/>
              <wp:positionH relativeFrom="column">
                <wp:posOffset>-323850</wp:posOffset>
              </wp:positionH>
              <wp:positionV relativeFrom="paragraph">
                <wp:posOffset>509270</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DDBEBCF"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0.1pt" to="193.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" strokeweight="1pt">
              <o:lock v:ext="edit" shapetype="f"/>
            </v:line>
          </w:pict>
        </mc:Fallback>
      </mc:AlternateContent>
    </w:r>
  </w:p>
  <w:p w:rsidR="00591903" w:rsidRPr="007E4EA2" w:rsidRDefault="00591903" w:rsidP="00591903">
    <w:pPr>
      <w:spacing w:line="360" w:lineRule="auto"/>
      <w:jc w:val="center"/>
      <w:rPr>
        <w:rFonts w:ascii="Helvetica" w:hAnsi="Helvetica" w:cs="Helvetica"/>
        <w:b/>
        <w:spacing w:val="20"/>
        <w:sz w:val="15"/>
        <w:szCs w:val="15"/>
        <w:lang w:val="it-IT"/>
      </w:rPr>
    </w:pPr>
  </w:p>
  <w:p w:rsidR="00591903" w:rsidRPr="007E4EA2" w:rsidRDefault="00591903" w:rsidP="00591903">
    <w:pPr>
      <w:spacing w:line="360" w:lineRule="auto"/>
      <w:jc w:val="center"/>
      <w:rPr>
        <w:rFonts w:ascii="Helvetica" w:hAnsi="Helvetica" w:cs="Helvetica"/>
        <w:b/>
        <w:spacing w:val="20"/>
        <w:sz w:val="13"/>
        <w:szCs w:val="15"/>
        <w:lang w:val="it-IT"/>
      </w:rPr>
    </w:pPr>
  </w:p>
  <w:p w:rsidR="00591903" w:rsidRPr="007E4EA2" w:rsidRDefault="00591903" w:rsidP="00591903">
    <w:pPr>
      <w:spacing w:line="360" w:lineRule="auto"/>
      <w:rPr>
        <w:rFonts w:ascii="Helvetica" w:hAnsi="Helvetica" w:cs="Helvetica"/>
        <w:b/>
        <w:spacing w:val="20"/>
        <w:sz w:val="15"/>
        <w:szCs w:val="15"/>
        <w:lang w:val="it-IT"/>
      </w:rPr>
    </w:pPr>
    <w:r w:rsidRPr="007E4EA2">
      <w:rPr>
        <w:rFonts w:ascii="Arial" w:eastAsia="Times New Roman" w:hAnsi="Arial"/>
        <w:noProof/>
        <w:sz w:val="26"/>
        <w:szCs w:val="26"/>
      </w:rPr>
      <mc:AlternateContent>
        <mc:Choice Requires="wps">
          <w:drawing>
            <wp:anchor distT="4294967295" distB="4294967295" distL="114300" distR="114300" simplePos="0" relativeHeight="251669504" behindDoc="1" locked="0" layoutInCell="1" allowOverlap="1" wp14:anchorId="0B639564" wp14:editId="0666CEDC">
              <wp:simplePos x="0" y="0"/>
              <wp:positionH relativeFrom="column">
                <wp:posOffset>2934071</wp:posOffset>
              </wp:positionH>
              <wp:positionV relativeFrom="paragraph">
                <wp:posOffset>74930</wp:posOffset>
              </wp:positionV>
              <wp:extent cx="2782570" cy="0"/>
              <wp:effectExtent l="0" t="0" r="1778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373A9D1"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1.05pt,5.9pt" to="450.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" strokeweight="1pt">
              <o:lock v:ext="edit" shapetype="f"/>
            </v:line>
          </w:pict>
        </mc:Fallback>
      </mc:AlternateContent>
    </w:r>
  </w:p>
  <w:p w:rsidR="00591903" w:rsidRPr="007E4EA2" w:rsidRDefault="00591903" w:rsidP="00591903">
    <w:pPr>
      <w:jc w:val="center"/>
      <w:rPr>
        <w:rFonts w:ascii="Helvetica" w:hAnsi="Helvetica"/>
        <w:b/>
        <w:spacing w:val="20"/>
        <w:sz w:val="4"/>
        <w:szCs w:val="4"/>
        <w:lang w:val="it-IT"/>
      </w:rPr>
    </w:pPr>
  </w:p>
  <w:p w:rsidR="00591903" w:rsidRPr="007E4EA2" w:rsidRDefault="00591903" w:rsidP="00591903">
    <w:pPr>
      <w:jc w:val="center"/>
      <w:rPr>
        <w:rFonts w:ascii="Helvetica" w:hAnsi="Helvetica"/>
        <w:b/>
        <w:spacing w:val="20"/>
        <w:sz w:val="15"/>
        <w:szCs w:val="15"/>
        <w:lang w:val="sq-AL"/>
      </w:rPr>
    </w:pPr>
    <w:r w:rsidRPr="007E4EA2">
      <w:rPr>
        <w:rFonts w:ascii="Helvetica" w:hAnsi="Helvetica"/>
        <w:b/>
        <w:spacing w:val="20"/>
        <w:sz w:val="15"/>
        <w:szCs w:val="15"/>
        <w:lang w:val="it-IT"/>
      </w:rPr>
      <w:t>R E P U B L I K A  E  S H Q I P Ë R I S Ë</w:t>
    </w:r>
  </w:p>
  <w:p w:rsidR="00591903" w:rsidRPr="007E4EA2" w:rsidRDefault="00591903" w:rsidP="00591903">
    <w:pPr>
      <w:jc w:val="center"/>
      <w:rPr>
        <w:b/>
        <w:lang w:val="sq-AL"/>
      </w:rPr>
    </w:pPr>
    <w:r w:rsidRPr="007E4EA2">
      <w:rPr>
        <w:b/>
        <w:lang w:val="sq-AL"/>
      </w:rPr>
      <w:t>BANKA E SHQIPËRISË</w:t>
    </w:r>
  </w:p>
  <w:p w:rsidR="00591903" w:rsidRPr="00591903" w:rsidRDefault="00CC4185" w:rsidP="00591903">
    <w:pPr>
      <w:jc w:val="center"/>
      <w:rPr>
        <w:rFonts w:eastAsia="Times New Roman"/>
        <w:b/>
        <w:sz w:val="20"/>
        <w:lang w:val="sq-AL"/>
      </w:rPr>
    </w:pPr>
    <w:r>
      <w:rPr>
        <w:rFonts w:eastAsia="Times New Roman"/>
        <w:b/>
        <w:sz w:val="20"/>
        <w:lang w:val="sq-AL"/>
      </w:rPr>
      <w:t>KËSHILLI MBIKËQYRËS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33A"/>
    <w:multiLevelType w:val="hybridMultilevel"/>
    <w:tmpl w:val="ACB653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85B0A37"/>
    <w:multiLevelType w:val="hybridMultilevel"/>
    <w:tmpl w:val="71D80A3C"/>
    <w:lvl w:ilvl="0" w:tplc="347A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79AD"/>
    <w:multiLevelType w:val="hybridMultilevel"/>
    <w:tmpl w:val="0F605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82F77"/>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43915ACD"/>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14FC8"/>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6735B"/>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5"/>
    <w:rsid w:val="000471B6"/>
    <w:rsid w:val="00050529"/>
    <w:rsid w:val="0005265A"/>
    <w:rsid w:val="00070856"/>
    <w:rsid w:val="000C3D0E"/>
    <w:rsid w:val="00102759"/>
    <w:rsid w:val="001057D6"/>
    <w:rsid w:val="00126BF8"/>
    <w:rsid w:val="001936EE"/>
    <w:rsid w:val="001A7595"/>
    <w:rsid w:val="001C1F82"/>
    <w:rsid w:val="00217566"/>
    <w:rsid w:val="00284A81"/>
    <w:rsid w:val="002951DA"/>
    <w:rsid w:val="002B7B50"/>
    <w:rsid w:val="002D4BB6"/>
    <w:rsid w:val="003306CC"/>
    <w:rsid w:val="003322A4"/>
    <w:rsid w:val="003345F7"/>
    <w:rsid w:val="0036060F"/>
    <w:rsid w:val="00472F1C"/>
    <w:rsid w:val="004C773C"/>
    <w:rsid w:val="00502B77"/>
    <w:rsid w:val="0054017B"/>
    <w:rsid w:val="0054537B"/>
    <w:rsid w:val="00560B61"/>
    <w:rsid w:val="0056399C"/>
    <w:rsid w:val="00582CB7"/>
    <w:rsid w:val="00591903"/>
    <w:rsid w:val="005F4E4F"/>
    <w:rsid w:val="006C0068"/>
    <w:rsid w:val="006F24E7"/>
    <w:rsid w:val="007018E7"/>
    <w:rsid w:val="00701BAA"/>
    <w:rsid w:val="007077D1"/>
    <w:rsid w:val="00740501"/>
    <w:rsid w:val="007E4EA2"/>
    <w:rsid w:val="008565AA"/>
    <w:rsid w:val="00872F91"/>
    <w:rsid w:val="00925364"/>
    <w:rsid w:val="00930FDD"/>
    <w:rsid w:val="009609F6"/>
    <w:rsid w:val="009C35A4"/>
    <w:rsid w:val="00A6568B"/>
    <w:rsid w:val="00A77524"/>
    <w:rsid w:val="00A77C1C"/>
    <w:rsid w:val="00A9639D"/>
    <w:rsid w:val="00AF2E5D"/>
    <w:rsid w:val="00AF435F"/>
    <w:rsid w:val="00B36FCF"/>
    <w:rsid w:val="00B60B94"/>
    <w:rsid w:val="00B95F61"/>
    <w:rsid w:val="00C11B0D"/>
    <w:rsid w:val="00C40BD5"/>
    <w:rsid w:val="00C50BE4"/>
    <w:rsid w:val="00CA74C1"/>
    <w:rsid w:val="00CB388E"/>
    <w:rsid w:val="00CC4185"/>
    <w:rsid w:val="00CC4C2A"/>
    <w:rsid w:val="00CC6FC3"/>
    <w:rsid w:val="00D00F92"/>
    <w:rsid w:val="00D1611F"/>
    <w:rsid w:val="00D24E68"/>
    <w:rsid w:val="00DF14B9"/>
    <w:rsid w:val="00E64D27"/>
    <w:rsid w:val="00E804C2"/>
    <w:rsid w:val="00E97137"/>
    <w:rsid w:val="00EB2D38"/>
    <w:rsid w:val="00EE34A4"/>
    <w:rsid w:val="00EE745A"/>
    <w:rsid w:val="00F60E99"/>
    <w:rsid w:val="00F749EC"/>
    <w:rsid w:val="00FB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li\Desktop\format%20shkrese%20I%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9280-1EAF-4BD1-BFA9-29954913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shkrese I (2)</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Luli</dc:creator>
  <cp:lastModifiedBy>Doriana  Dine</cp:lastModifiedBy>
  <cp:revision>2</cp:revision>
  <cp:lastPrinted>2017-10-18T11:59:00Z</cp:lastPrinted>
  <dcterms:created xsi:type="dcterms:W3CDTF">2018-02-12T15:30:00Z</dcterms:created>
  <dcterms:modified xsi:type="dcterms:W3CDTF">2018-02-12T15:30:00Z</dcterms:modified>
</cp:coreProperties>
</file>