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A4C5" w14:textId="77777777" w:rsidR="000471B6" w:rsidRPr="00A70A28" w:rsidRDefault="000471B6" w:rsidP="000471B6">
      <w:pPr>
        <w:spacing w:line="276" w:lineRule="auto"/>
        <w:jc w:val="center"/>
        <w:rPr>
          <w:b/>
        </w:rPr>
      </w:pPr>
    </w:p>
    <w:p w14:paraId="4EBBDA61" w14:textId="77777777" w:rsidR="000471B6" w:rsidRDefault="000471B6" w:rsidP="000471B6">
      <w:pPr>
        <w:spacing w:line="276" w:lineRule="auto"/>
        <w:jc w:val="center"/>
        <w:rPr>
          <w:b/>
          <w:lang w:val="sq-AL"/>
        </w:rPr>
      </w:pPr>
    </w:p>
    <w:p w14:paraId="17B599A7" w14:textId="77777777" w:rsidR="00582CB7" w:rsidRDefault="00582CB7" w:rsidP="000471B6">
      <w:pPr>
        <w:spacing w:line="276" w:lineRule="auto"/>
        <w:jc w:val="center"/>
        <w:rPr>
          <w:b/>
          <w:lang w:val="sq-AL"/>
        </w:rPr>
      </w:pPr>
    </w:p>
    <w:p w14:paraId="2CD44A0D" w14:textId="77777777" w:rsidR="008565AA" w:rsidRDefault="008565AA" w:rsidP="000471B6">
      <w:pPr>
        <w:spacing w:line="276" w:lineRule="auto"/>
        <w:jc w:val="center"/>
        <w:rPr>
          <w:b/>
          <w:lang w:val="sq-AL"/>
        </w:rPr>
      </w:pPr>
    </w:p>
    <w:p w14:paraId="672998E8" w14:textId="77777777" w:rsidR="008565AA" w:rsidRPr="008565AA" w:rsidRDefault="008565AA" w:rsidP="008565AA">
      <w:pPr>
        <w:keepNext/>
        <w:tabs>
          <w:tab w:val="left" w:pos="720"/>
        </w:tabs>
        <w:jc w:val="center"/>
        <w:outlineLvl w:val="0"/>
        <w:rPr>
          <w:rFonts w:eastAsia="Times New Roman"/>
          <w:b/>
          <w:bCs/>
          <w:kern w:val="32"/>
        </w:rPr>
      </w:pPr>
      <w:r>
        <w:rPr>
          <w:b/>
          <w:bCs/>
        </w:rPr>
        <w:t>DECISION</w:t>
      </w:r>
    </w:p>
    <w:p w14:paraId="41DBE15C" w14:textId="77777777" w:rsidR="008565AA" w:rsidRPr="008565AA" w:rsidRDefault="008565AA" w:rsidP="008565AA">
      <w:pPr>
        <w:rPr>
          <w:rFonts w:eastAsiaTheme="minorHAnsi"/>
          <w:lang w:val="sq-AL"/>
        </w:rPr>
      </w:pPr>
    </w:p>
    <w:p w14:paraId="2B616189" w14:textId="77777777" w:rsidR="008565AA" w:rsidRPr="008565AA" w:rsidRDefault="008565AA" w:rsidP="008565AA">
      <w:pPr>
        <w:jc w:val="center"/>
        <w:rPr>
          <w:rFonts w:eastAsiaTheme="minorHAnsi"/>
          <w:b/>
        </w:rPr>
      </w:pPr>
      <w:r>
        <w:rPr>
          <w:b/>
        </w:rPr>
        <w:t>No. 10, dated 7.2.2018</w:t>
      </w:r>
    </w:p>
    <w:p w14:paraId="51E799D0" w14:textId="77777777"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14:paraId="3D04A09F" w14:textId="77777777"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14:paraId="7592C85A" w14:textId="77777777"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14:paraId="1B1D27AC" w14:textId="77777777" w:rsidR="008565AA" w:rsidRPr="008565AA" w:rsidRDefault="008565AA" w:rsidP="008565AA">
      <w:pPr>
        <w:tabs>
          <w:tab w:val="left" w:pos="90"/>
        </w:tabs>
        <w:autoSpaceDE w:val="0"/>
        <w:autoSpaceDN w:val="0"/>
        <w:adjustRightInd w:val="0"/>
        <w:jc w:val="center"/>
        <w:rPr>
          <w:rFonts w:eastAsia="Calibri"/>
          <w:b/>
          <w:bCs/>
          <w:smallCaps/>
          <w:color w:val="000000"/>
        </w:rPr>
      </w:pPr>
      <w:r>
        <w:rPr>
          <w:b/>
          <w:bCs/>
          <w:smallCaps/>
          <w:color w:val="000000"/>
        </w:rPr>
        <w:t xml:space="preserve">On </w:t>
      </w:r>
    </w:p>
    <w:p w14:paraId="4887B871" w14:textId="77777777" w:rsidR="008565AA" w:rsidRPr="008565AA" w:rsidRDefault="008565AA" w:rsidP="008565AA">
      <w:pPr>
        <w:tabs>
          <w:tab w:val="left" w:pos="90"/>
        </w:tabs>
        <w:autoSpaceDE w:val="0"/>
        <w:autoSpaceDN w:val="0"/>
        <w:adjustRightInd w:val="0"/>
        <w:jc w:val="center"/>
        <w:rPr>
          <w:rFonts w:eastAsia="Calibri"/>
          <w:b/>
          <w:bCs/>
          <w:smallCaps/>
          <w:color w:val="000000"/>
          <w:lang w:val="sq-AL" w:eastAsia="sq-AL"/>
        </w:rPr>
      </w:pPr>
    </w:p>
    <w:p w14:paraId="19BBA16B" w14:textId="77777777" w:rsidR="008565AA" w:rsidRPr="008565AA" w:rsidRDefault="008565AA" w:rsidP="008565AA">
      <w:pPr>
        <w:tabs>
          <w:tab w:val="left" w:pos="90"/>
        </w:tabs>
        <w:autoSpaceDE w:val="0"/>
        <w:autoSpaceDN w:val="0"/>
        <w:adjustRightInd w:val="0"/>
        <w:jc w:val="center"/>
        <w:rPr>
          <w:rFonts w:eastAsia="Calibri"/>
          <w:b/>
          <w:smallCaps/>
          <w:color w:val="000000"/>
        </w:rPr>
      </w:pPr>
      <w:r>
        <w:rPr>
          <w:b/>
          <w:smallCaps/>
          <w:color w:val="000000"/>
        </w:rPr>
        <w:t>Approval of amendments in the Regulation "On minimum reserve requirements held by banks with the Bank of Albania”</w:t>
      </w:r>
    </w:p>
    <w:p w14:paraId="4E2C3B98" w14:textId="77777777" w:rsidR="008565AA" w:rsidRPr="008565AA" w:rsidRDefault="008565AA" w:rsidP="008565AA">
      <w:pPr>
        <w:tabs>
          <w:tab w:val="left" w:pos="90"/>
        </w:tabs>
        <w:autoSpaceDE w:val="0"/>
        <w:autoSpaceDN w:val="0"/>
        <w:adjustRightInd w:val="0"/>
        <w:jc w:val="center"/>
        <w:rPr>
          <w:rFonts w:eastAsia="Calibri"/>
          <w:b/>
          <w:bCs/>
          <w:color w:val="000000"/>
          <w:lang w:val="sq-AL" w:eastAsia="sq-AL"/>
        </w:rPr>
      </w:pPr>
    </w:p>
    <w:p w14:paraId="11F71921" w14:textId="77777777" w:rsidR="008565AA" w:rsidRPr="008565AA" w:rsidRDefault="008565AA" w:rsidP="008565AA">
      <w:pPr>
        <w:tabs>
          <w:tab w:val="left" w:pos="90"/>
        </w:tabs>
        <w:jc w:val="both"/>
        <w:rPr>
          <w:rFonts w:eastAsiaTheme="minorHAnsi"/>
          <w:b/>
        </w:rPr>
      </w:pPr>
      <w:r>
        <w:t>In accordance with Article 19, and Article 43, “a” and “c” of the Law No. 8269, dated 23/12/1997 “On the Bank of Albania”, as amended, having regard to the proposal from Monetary Operations Department, the Supervisory Council of the Bank of Albania,</w:t>
      </w:r>
    </w:p>
    <w:p w14:paraId="4F8BB179" w14:textId="77777777" w:rsidR="008565AA" w:rsidRPr="008565AA" w:rsidRDefault="008565AA" w:rsidP="008565AA">
      <w:pPr>
        <w:tabs>
          <w:tab w:val="left" w:pos="90"/>
        </w:tabs>
        <w:jc w:val="both"/>
        <w:rPr>
          <w:rFonts w:eastAsiaTheme="minorHAnsi"/>
          <w:b/>
          <w:lang w:val="sq-AL"/>
        </w:rPr>
      </w:pPr>
    </w:p>
    <w:p w14:paraId="3D24486C" w14:textId="77777777" w:rsidR="008565AA" w:rsidRPr="008565AA" w:rsidRDefault="008565AA" w:rsidP="008565AA">
      <w:pPr>
        <w:tabs>
          <w:tab w:val="left" w:pos="90"/>
        </w:tabs>
        <w:jc w:val="center"/>
        <w:outlineLvl w:val="0"/>
        <w:rPr>
          <w:rFonts w:eastAsiaTheme="minorHAnsi"/>
        </w:rPr>
      </w:pPr>
      <w:r>
        <w:t>DECIDED:</w:t>
      </w:r>
    </w:p>
    <w:p w14:paraId="33FB2C6E" w14:textId="77777777" w:rsidR="008565AA" w:rsidRPr="008565AA" w:rsidRDefault="008565AA" w:rsidP="008565AA">
      <w:pPr>
        <w:tabs>
          <w:tab w:val="left" w:pos="90"/>
        </w:tabs>
        <w:jc w:val="both"/>
        <w:rPr>
          <w:rFonts w:eastAsiaTheme="minorHAnsi"/>
          <w:b/>
          <w:lang w:val="sq-AL"/>
        </w:rPr>
      </w:pPr>
    </w:p>
    <w:p w14:paraId="45E43F98" w14:textId="77777777" w:rsidR="008565AA" w:rsidRPr="008565AA" w:rsidRDefault="008565AA" w:rsidP="008565AA">
      <w:pPr>
        <w:numPr>
          <w:ilvl w:val="0"/>
          <w:numId w:val="8"/>
        </w:numPr>
        <w:tabs>
          <w:tab w:val="left" w:pos="284"/>
        </w:tabs>
        <w:autoSpaceDE w:val="0"/>
        <w:autoSpaceDN w:val="0"/>
        <w:adjustRightInd w:val="0"/>
        <w:spacing w:after="200" w:line="276" w:lineRule="auto"/>
        <w:ind w:left="284" w:hanging="284"/>
        <w:jc w:val="both"/>
        <w:rPr>
          <w:rFonts w:eastAsia="Calibri"/>
          <w:color w:val="000000"/>
        </w:rPr>
      </w:pPr>
      <w:r>
        <w:rPr>
          <w:color w:val="000000"/>
        </w:rPr>
        <w:t>In the Regulation “On minimum reserve requirement</w:t>
      </w:r>
      <w:r w:rsidR="00B71938">
        <w:rPr>
          <w:color w:val="000000"/>
        </w:rPr>
        <w:t>s</w:t>
      </w:r>
      <w:r>
        <w:rPr>
          <w:color w:val="000000"/>
        </w:rPr>
        <w:t xml:space="preserve"> held by banks with the Bank of Albania”, approved with the Decision of the Supervisory Council No. 29 of  16/05/2012, to make the following amendments:</w:t>
      </w:r>
    </w:p>
    <w:p w14:paraId="60687692" w14:textId="77777777" w:rsidR="008565AA" w:rsidRPr="008565AA" w:rsidRDefault="008565AA" w:rsidP="008565AA">
      <w:pPr>
        <w:tabs>
          <w:tab w:val="left" w:pos="90"/>
        </w:tabs>
        <w:jc w:val="both"/>
        <w:rPr>
          <w:rFonts w:eastAsiaTheme="minorHAnsi"/>
          <w:lang w:val="sq-AL"/>
        </w:rPr>
      </w:pPr>
    </w:p>
    <w:p w14:paraId="22999C67" w14:textId="77777777" w:rsidR="008565AA" w:rsidRPr="008565AA" w:rsidRDefault="008565AA" w:rsidP="008565AA">
      <w:pPr>
        <w:numPr>
          <w:ilvl w:val="0"/>
          <w:numId w:val="7"/>
        </w:numPr>
        <w:tabs>
          <w:tab w:val="left" w:pos="90"/>
        </w:tabs>
        <w:spacing w:after="200" w:line="276" w:lineRule="auto"/>
        <w:ind w:left="567" w:hanging="283"/>
        <w:jc w:val="both"/>
        <w:rPr>
          <w:rFonts w:eastAsia="Calibri"/>
        </w:rPr>
      </w:pPr>
      <w:r>
        <w:t>Article 4, “h” is amended to be read:</w:t>
      </w:r>
    </w:p>
    <w:p w14:paraId="7A11DB54" w14:textId="77777777" w:rsidR="008565AA" w:rsidRPr="008565AA" w:rsidRDefault="008565AA" w:rsidP="008565AA">
      <w:pPr>
        <w:tabs>
          <w:tab w:val="left" w:pos="90"/>
        </w:tabs>
        <w:ind w:left="720"/>
        <w:jc w:val="both"/>
        <w:rPr>
          <w:rFonts w:eastAsia="Calibri"/>
          <w:lang w:val="sq-AL" w:eastAsia="sq-AL"/>
        </w:rPr>
      </w:pPr>
    </w:p>
    <w:p w14:paraId="1A182366" w14:textId="4722A7FB" w:rsidR="008565AA" w:rsidRPr="008565AA" w:rsidRDefault="008565AA" w:rsidP="008565AA">
      <w:pPr>
        <w:tabs>
          <w:tab w:val="left" w:pos="567"/>
        </w:tabs>
        <w:ind w:left="567"/>
        <w:jc w:val="both"/>
        <w:rPr>
          <w:rFonts w:eastAsia="Times New Roman"/>
          <w:i/>
        </w:rPr>
      </w:pPr>
      <w:r>
        <w:rPr>
          <w:i/>
        </w:rPr>
        <w:t>“</w:t>
      </w:r>
      <w:r>
        <w:rPr>
          <w:i/>
        </w:rPr>
        <w:t xml:space="preserve">Remuneration of the reserve requirements” – is the amount of interest that </w:t>
      </w:r>
      <w:r w:rsidR="00E11AC3">
        <w:rPr>
          <w:i/>
        </w:rPr>
        <w:t xml:space="preserve">the </w:t>
      </w:r>
      <w:r>
        <w:rPr>
          <w:i/>
        </w:rPr>
        <w:t xml:space="preserve">Bank of Albania </w:t>
      </w:r>
      <w:r w:rsidR="00B71938" w:rsidRPr="00E11AC3">
        <w:rPr>
          <w:i/>
        </w:rPr>
        <w:t>shall pay</w:t>
      </w:r>
      <w:r>
        <w:rPr>
          <w:i/>
        </w:rPr>
        <w:t xml:space="preserve"> to </w:t>
      </w:r>
      <w:r>
        <w:rPr>
          <w:i/>
        </w:rPr>
        <w:t xml:space="preserve">banks, on the reserve requirements banks held on accounts with the Bank of Albania. </w:t>
      </w:r>
    </w:p>
    <w:p w14:paraId="2B12B987" w14:textId="77777777" w:rsidR="008565AA" w:rsidRPr="008565AA" w:rsidRDefault="008565AA" w:rsidP="008565AA">
      <w:pPr>
        <w:tabs>
          <w:tab w:val="left" w:pos="90"/>
        </w:tabs>
        <w:jc w:val="both"/>
        <w:rPr>
          <w:rFonts w:eastAsiaTheme="minorHAnsi"/>
          <w:lang w:val="sq-AL"/>
        </w:rPr>
      </w:pPr>
    </w:p>
    <w:p w14:paraId="08642FBC" w14:textId="77777777" w:rsidR="008565AA" w:rsidRPr="008565AA" w:rsidRDefault="008565AA" w:rsidP="008565AA">
      <w:pPr>
        <w:numPr>
          <w:ilvl w:val="0"/>
          <w:numId w:val="7"/>
        </w:numPr>
        <w:tabs>
          <w:tab w:val="left" w:pos="567"/>
        </w:tabs>
        <w:spacing w:after="200" w:line="276" w:lineRule="auto"/>
        <w:ind w:left="567" w:hanging="283"/>
        <w:jc w:val="both"/>
        <w:rPr>
          <w:rFonts w:eastAsia="Calibri"/>
        </w:rPr>
      </w:pPr>
      <w:r>
        <w:t>Article 4,  “l” is added after “k”, to be read as follows:</w:t>
      </w:r>
    </w:p>
    <w:p w14:paraId="068801E9" w14:textId="77777777" w:rsidR="008565AA" w:rsidRPr="008565AA" w:rsidRDefault="008565AA" w:rsidP="008565AA">
      <w:pPr>
        <w:tabs>
          <w:tab w:val="left" w:pos="90"/>
        </w:tabs>
        <w:ind w:left="720"/>
        <w:jc w:val="both"/>
        <w:rPr>
          <w:rFonts w:eastAsia="Calibri"/>
          <w:lang w:val="sq-AL" w:eastAsia="sq-AL"/>
        </w:rPr>
      </w:pPr>
    </w:p>
    <w:p w14:paraId="2ABE0D7B" w14:textId="77777777" w:rsidR="008565AA" w:rsidRPr="008565AA" w:rsidRDefault="008565AA" w:rsidP="008565AA">
      <w:pPr>
        <w:tabs>
          <w:tab w:val="left" w:pos="567"/>
        </w:tabs>
        <w:ind w:left="567"/>
        <w:jc w:val="both"/>
        <w:rPr>
          <w:rFonts w:eastAsia="Calibri"/>
        </w:rPr>
      </w:pPr>
      <w:r>
        <w:rPr>
          <w:i/>
        </w:rPr>
        <w:t xml:space="preserve">Other financial intermediaries -includes all institutions that perform or </w:t>
      </w:r>
      <w:r w:rsidRPr="00E11AC3">
        <w:rPr>
          <w:i/>
        </w:rPr>
        <w:t>facilitate</w:t>
      </w:r>
      <w:r>
        <w:rPr>
          <w:i/>
        </w:rPr>
        <w:t xml:space="preserve"> financial intermediation (excluding insurance and pension funds) such as: credit institutions, institutions that provide financ</w:t>
      </w:r>
      <w:r w:rsidR="00E11AC3">
        <w:rPr>
          <w:i/>
        </w:rPr>
        <w:t>ial</w:t>
      </w:r>
      <w:r>
        <w:rPr>
          <w:i/>
        </w:rPr>
        <w:t xml:space="preserve"> leasing, </w:t>
      </w:r>
      <w:r w:rsidR="00E11AC3">
        <w:rPr>
          <w:i/>
        </w:rPr>
        <w:t xml:space="preserve">institutions financing commercial </w:t>
      </w:r>
      <w:r>
        <w:rPr>
          <w:i/>
        </w:rPr>
        <w:t>transactions, micro-credit institutions, factoring</w:t>
      </w:r>
      <w:r w:rsidR="00E11AC3">
        <w:rPr>
          <w:i/>
        </w:rPr>
        <w:t xml:space="preserve"> institutions</w:t>
      </w:r>
      <w:r>
        <w:rPr>
          <w:i/>
        </w:rPr>
        <w:t>, all paymen</w:t>
      </w:r>
      <w:r w:rsidR="00B71938">
        <w:rPr>
          <w:i/>
        </w:rPr>
        <w:t xml:space="preserve">t and money transfer services, </w:t>
      </w:r>
      <w:r>
        <w:rPr>
          <w:i/>
        </w:rPr>
        <w:t xml:space="preserve">Savings and Loan Unions, management companies of investment funds and voluntary pension funds, </w:t>
      </w:r>
      <w:r w:rsidR="00E11AC3">
        <w:rPr>
          <w:i/>
        </w:rPr>
        <w:t xml:space="preserve">foreign </w:t>
      </w:r>
      <w:r>
        <w:rPr>
          <w:i/>
        </w:rPr>
        <w:t xml:space="preserve">exchange </w:t>
      </w:r>
      <w:r w:rsidR="00E11AC3">
        <w:rPr>
          <w:i/>
        </w:rPr>
        <w:t>bureaus</w:t>
      </w:r>
      <w:r>
        <w:rPr>
          <w:i/>
        </w:rPr>
        <w:t>, etc.</w:t>
      </w:r>
    </w:p>
    <w:p w14:paraId="5817E63F" w14:textId="77777777" w:rsidR="008565AA" w:rsidRPr="008565AA" w:rsidRDefault="008565AA" w:rsidP="008565AA">
      <w:pPr>
        <w:tabs>
          <w:tab w:val="left" w:pos="90"/>
        </w:tabs>
        <w:ind w:left="720"/>
        <w:jc w:val="both"/>
        <w:rPr>
          <w:rFonts w:eastAsia="Calibri"/>
          <w:lang w:val="sq-AL" w:eastAsia="sq-AL"/>
        </w:rPr>
      </w:pPr>
    </w:p>
    <w:p w14:paraId="27E8F26E" w14:textId="77777777" w:rsidR="008565AA" w:rsidRPr="008565AA" w:rsidRDefault="008565AA" w:rsidP="008565AA">
      <w:pPr>
        <w:numPr>
          <w:ilvl w:val="0"/>
          <w:numId w:val="7"/>
        </w:numPr>
        <w:tabs>
          <w:tab w:val="left" w:pos="567"/>
        </w:tabs>
        <w:spacing w:after="200" w:line="276" w:lineRule="auto"/>
        <w:ind w:left="567" w:hanging="283"/>
        <w:jc w:val="both"/>
        <w:rPr>
          <w:rFonts w:eastAsia="Calibri"/>
        </w:rPr>
      </w:pPr>
      <w:r>
        <w:t xml:space="preserve">Article 6, paragraph 1 is amended </w:t>
      </w:r>
      <w:r w:rsidR="00B71938">
        <w:t>as follows</w:t>
      </w:r>
      <w:r>
        <w:t>:</w:t>
      </w:r>
    </w:p>
    <w:p w14:paraId="2EA91CE2" w14:textId="77777777" w:rsidR="008565AA" w:rsidRPr="008565AA" w:rsidRDefault="008565AA" w:rsidP="008565AA">
      <w:pPr>
        <w:tabs>
          <w:tab w:val="left" w:pos="90"/>
        </w:tabs>
        <w:ind w:left="567"/>
        <w:jc w:val="both"/>
        <w:rPr>
          <w:rFonts w:eastAsia="Calibri"/>
          <w:i/>
        </w:rPr>
      </w:pPr>
      <w:r>
        <w:rPr>
          <w:i/>
        </w:rPr>
        <w:lastRenderedPageBreak/>
        <w:t xml:space="preserve">“The reserve base shall comprise the liabilities resulting from the acceptance of funds by banks, in the form of deposits and debt instruments issued by banks themselves, reflected in their reported balance sheet, both in </w:t>
      </w:r>
      <w:r w:rsidR="00E11AC3">
        <w:rPr>
          <w:i/>
        </w:rPr>
        <w:t xml:space="preserve">Albanian </w:t>
      </w:r>
      <w:proofErr w:type="spellStart"/>
      <w:r w:rsidR="00E11AC3">
        <w:rPr>
          <w:i/>
        </w:rPr>
        <w:t>lek</w:t>
      </w:r>
      <w:proofErr w:type="spellEnd"/>
      <w:r>
        <w:rPr>
          <w:i/>
        </w:rPr>
        <w:t xml:space="preserve"> and foreign currency. These liabilities shall comprise: </w:t>
      </w:r>
    </w:p>
    <w:p w14:paraId="28C5E969" w14:textId="77777777" w:rsidR="008565AA" w:rsidRPr="008565AA" w:rsidRDefault="008565AA" w:rsidP="008565AA">
      <w:pPr>
        <w:tabs>
          <w:tab w:val="left" w:pos="180"/>
        </w:tabs>
        <w:ind w:left="567"/>
        <w:jc w:val="both"/>
        <w:rPr>
          <w:rFonts w:eastAsia="Calibri"/>
          <w:i/>
        </w:rPr>
      </w:pPr>
      <w:r>
        <w:rPr>
          <w:i/>
        </w:rPr>
        <w:t xml:space="preserve">a) </w:t>
      </w:r>
      <w:proofErr w:type="gramStart"/>
      <w:r>
        <w:rPr>
          <w:i/>
        </w:rPr>
        <w:t>liabilities</w:t>
      </w:r>
      <w:proofErr w:type="gramEnd"/>
      <w:r>
        <w:rPr>
          <w:i/>
        </w:rPr>
        <w:t xml:space="preserve"> to savings and loan associations;</w:t>
      </w:r>
    </w:p>
    <w:p w14:paraId="4B983CC8" w14:textId="77777777" w:rsidR="008565AA" w:rsidRPr="008565AA" w:rsidRDefault="008565AA" w:rsidP="008565AA">
      <w:pPr>
        <w:tabs>
          <w:tab w:val="left" w:pos="180"/>
        </w:tabs>
        <w:ind w:left="567"/>
        <w:jc w:val="both"/>
        <w:rPr>
          <w:rFonts w:eastAsia="Calibri"/>
          <w:i/>
        </w:rPr>
      </w:pPr>
      <w:proofErr w:type="gramStart"/>
      <w:r>
        <w:rPr>
          <w:i/>
        </w:rPr>
        <w:t>b)liabilities</w:t>
      </w:r>
      <w:proofErr w:type="gramEnd"/>
      <w:r>
        <w:rPr>
          <w:i/>
        </w:rPr>
        <w:t xml:space="preserve"> to investment fund;</w:t>
      </w:r>
    </w:p>
    <w:p w14:paraId="2A60A41E" w14:textId="77777777" w:rsidR="008565AA" w:rsidRPr="008565AA" w:rsidRDefault="008565AA" w:rsidP="008565AA">
      <w:pPr>
        <w:tabs>
          <w:tab w:val="left" w:pos="180"/>
        </w:tabs>
        <w:ind w:left="567"/>
        <w:jc w:val="both"/>
        <w:rPr>
          <w:rFonts w:eastAsia="Calibri"/>
          <w:i/>
        </w:rPr>
      </w:pPr>
      <w:r>
        <w:rPr>
          <w:i/>
        </w:rPr>
        <w:t xml:space="preserve">c) </w:t>
      </w:r>
      <w:proofErr w:type="gramStart"/>
      <w:r>
        <w:rPr>
          <w:i/>
        </w:rPr>
        <w:t>liabilities</w:t>
      </w:r>
      <w:proofErr w:type="gramEnd"/>
      <w:r>
        <w:rPr>
          <w:i/>
        </w:rPr>
        <w:t xml:space="preserve"> to voluntary pension funds;</w:t>
      </w:r>
    </w:p>
    <w:p w14:paraId="5884D61C" w14:textId="77777777" w:rsidR="008565AA" w:rsidRPr="008565AA" w:rsidRDefault="008565AA" w:rsidP="008565AA">
      <w:pPr>
        <w:tabs>
          <w:tab w:val="left" w:pos="180"/>
        </w:tabs>
        <w:ind w:left="567"/>
        <w:jc w:val="both"/>
        <w:rPr>
          <w:rFonts w:eastAsia="Calibri"/>
          <w:i/>
        </w:rPr>
      </w:pPr>
      <w:r>
        <w:rPr>
          <w:i/>
        </w:rPr>
        <w:t xml:space="preserve">d) </w:t>
      </w:r>
      <w:proofErr w:type="gramStart"/>
      <w:r>
        <w:rPr>
          <w:i/>
        </w:rPr>
        <w:t>liabilities</w:t>
      </w:r>
      <w:proofErr w:type="gramEnd"/>
      <w:r>
        <w:rPr>
          <w:i/>
        </w:rPr>
        <w:t xml:space="preserve"> to insurance companies;</w:t>
      </w:r>
    </w:p>
    <w:p w14:paraId="7B16C763" w14:textId="77777777" w:rsidR="008565AA" w:rsidRPr="008565AA" w:rsidRDefault="008565AA" w:rsidP="008565AA">
      <w:pPr>
        <w:tabs>
          <w:tab w:val="left" w:pos="90"/>
        </w:tabs>
        <w:ind w:left="567"/>
        <w:jc w:val="both"/>
        <w:rPr>
          <w:rFonts w:eastAsia="Calibri"/>
          <w:i/>
        </w:rPr>
      </w:pPr>
      <w:r>
        <w:rPr>
          <w:i/>
        </w:rPr>
        <w:t xml:space="preserve">e) </w:t>
      </w:r>
      <w:proofErr w:type="gramStart"/>
      <w:r>
        <w:rPr>
          <w:i/>
        </w:rPr>
        <w:t>liabilities</w:t>
      </w:r>
      <w:proofErr w:type="gramEnd"/>
      <w:r>
        <w:rPr>
          <w:i/>
        </w:rPr>
        <w:t xml:space="preserve"> to other financial intermediaries and financial auxiliaries.” </w:t>
      </w:r>
    </w:p>
    <w:p w14:paraId="33EC0B4A" w14:textId="77777777" w:rsidR="008565AA" w:rsidRPr="008565AA" w:rsidRDefault="008565AA" w:rsidP="008565AA">
      <w:pPr>
        <w:tabs>
          <w:tab w:val="left" w:pos="90"/>
        </w:tabs>
        <w:jc w:val="both"/>
        <w:rPr>
          <w:rFonts w:eastAsiaTheme="minorHAnsi"/>
          <w:i/>
          <w:lang w:val="sq-AL"/>
        </w:rPr>
      </w:pPr>
    </w:p>
    <w:p w14:paraId="0179E623" w14:textId="77777777" w:rsidR="008565AA" w:rsidRPr="008565AA" w:rsidRDefault="008565AA" w:rsidP="008565AA">
      <w:pPr>
        <w:numPr>
          <w:ilvl w:val="0"/>
          <w:numId w:val="7"/>
        </w:numPr>
        <w:tabs>
          <w:tab w:val="left" w:pos="90"/>
        </w:tabs>
        <w:spacing w:after="200" w:line="276" w:lineRule="auto"/>
        <w:ind w:left="567" w:hanging="283"/>
        <w:jc w:val="both"/>
        <w:rPr>
          <w:rFonts w:eastAsia="Calibri"/>
        </w:rPr>
      </w:pPr>
      <w:r>
        <w:t>Article 7, paragraph 1,  “d” is added after “c”, to be read as follows:</w:t>
      </w:r>
    </w:p>
    <w:p w14:paraId="3C7E6E6F" w14:textId="77777777" w:rsidR="008565AA" w:rsidRPr="008565AA" w:rsidRDefault="008565AA" w:rsidP="008565AA">
      <w:pPr>
        <w:tabs>
          <w:tab w:val="left" w:pos="90"/>
        </w:tabs>
        <w:ind w:left="567"/>
        <w:jc w:val="both"/>
        <w:rPr>
          <w:rFonts w:eastAsia="Calibri"/>
          <w:i/>
        </w:rPr>
      </w:pPr>
      <w:r>
        <w:rPr>
          <w:i/>
        </w:rPr>
        <w:t xml:space="preserve">“d) </w:t>
      </w:r>
      <w:proofErr w:type="gramStart"/>
      <w:r>
        <w:rPr>
          <w:i/>
        </w:rPr>
        <w:t>debt</w:t>
      </w:r>
      <w:proofErr w:type="gramEnd"/>
      <w:r>
        <w:rPr>
          <w:i/>
        </w:rPr>
        <w:t xml:space="preserve"> instruments issued by </w:t>
      </w:r>
      <w:bookmarkStart w:id="0" w:name="_GoBack"/>
      <w:bookmarkEnd w:id="0"/>
      <w:r w:rsidRPr="00120093">
        <w:rPr>
          <w:i/>
        </w:rPr>
        <w:t>banks with agreed maturity over two</w:t>
      </w:r>
      <w:r>
        <w:rPr>
          <w:i/>
        </w:rPr>
        <w:t xml:space="preserve"> years.”</w:t>
      </w:r>
    </w:p>
    <w:p w14:paraId="595F681F" w14:textId="77777777" w:rsidR="008565AA" w:rsidRPr="008565AA" w:rsidRDefault="008565AA" w:rsidP="008565AA">
      <w:pPr>
        <w:tabs>
          <w:tab w:val="left" w:pos="90"/>
        </w:tabs>
        <w:ind w:left="720"/>
        <w:jc w:val="both"/>
        <w:rPr>
          <w:rFonts w:eastAsia="Calibri"/>
          <w:color w:val="FF0000"/>
        </w:rPr>
      </w:pPr>
      <w:r>
        <w:rPr>
          <w:color w:val="FF0000"/>
        </w:rPr>
        <w:t xml:space="preserve"> </w:t>
      </w:r>
    </w:p>
    <w:p w14:paraId="3C2A63B9" w14:textId="77777777" w:rsidR="008565AA" w:rsidRPr="008565AA" w:rsidRDefault="008565AA" w:rsidP="008565AA">
      <w:pPr>
        <w:numPr>
          <w:ilvl w:val="0"/>
          <w:numId w:val="7"/>
        </w:numPr>
        <w:tabs>
          <w:tab w:val="left" w:pos="90"/>
        </w:tabs>
        <w:spacing w:after="200" w:line="276" w:lineRule="auto"/>
        <w:ind w:left="567" w:hanging="283"/>
        <w:jc w:val="both"/>
        <w:rPr>
          <w:rFonts w:eastAsia="Calibri"/>
        </w:rPr>
      </w:pPr>
      <w:r>
        <w:t>Article 9, paragraph 3 is amended to be read:</w:t>
      </w:r>
    </w:p>
    <w:p w14:paraId="414090B7" w14:textId="77777777" w:rsidR="008565AA" w:rsidRPr="008565AA" w:rsidRDefault="008565AA" w:rsidP="008565AA">
      <w:pPr>
        <w:tabs>
          <w:tab w:val="left" w:pos="90"/>
        </w:tabs>
        <w:ind w:left="567"/>
        <w:jc w:val="both"/>
        <w:rPr>
          <w:rFonts w:eastAsia="Calibri"/>
          <w:i/>
        </w:rPr>
      </w:pPr>
      <w:r>
        <w:rPr>
          <w:i/>
        </w:rPr>
        <w:t xml:space="preserve">“Banks shall submit to the Bank of Albania the </w:t>
      </w:r>
      <w:r w:rsidR="00E11AC3">
        <w:rPr>
          <w:i/>
        </w:rPr>
        <w:t xml:space="preserve">calculation </w:t>
      </w:r>
      <w:r>
        <w:rPr>
          <w:i/>
        </w:rPr>
        <w:t>statement</w:t>
      </w:r>
      <w:r w:rsidR="00E11AC3">
        <w:rPr>
          <w:i/>
        </w:rPr>
        <w:t>/s</w:t>
      </w:r>
      <w:r>
        <w:rPr>
          <w:i/>
        </w:rPr>
        <w:t xml:space="preserve"> </w:t>
      </w:r>
      <w:r w:rsidR="00E11AC3">
        <w:rPr>
          <w:i/>
        </w:rPr>
        <w:t xml:space="preserve">for </w:t>
      </w:r>
      <w:r>
        <w:rPr>
          <w:i/>
        </w:rPr>
        <w:t xml:space="preserve">the reserve requirements in </w:t>
      </w:r>
      <w:r w:rsidR="00E11AC3">
        <w:rPr>
          <w:i/>
        </w:rPr>
        <w:t xml:space="preserve">Albanian </w:t>
      </w:r>
      <w:proofErr w:type="spellStart"/>
      <w:r w:rsidR="00E11AC3">
        <w:rPr>
          <w:i/>
        </w:rPr>
        <w:t>lek</w:t>
      </w:r>
      <w:proofErr w:type="spellEnd"/>
      <w:r>
        <w:rPr>
          <w:i/>
        </w:rPr>
        <w:t xml:space="preserve"> and in foreign currency</w:t>
      </w:r>
      <w:r w:rsidR="00E11AC3">
        <w:rPr>
          <w:i/>
        </w:rPr>
        <w:t>,</w:t>
      </w:r>
      <w:r>
        <w:rPr>
          <w:i/>
        </w:rPr>
        <w:t xml:space="preserve"> in accordance with annexes No. 1 and No. 2 attached to this Regulation, within </w:t>
      </w:r>
      <w:r w:rsidR="00E11AC3">
        <w:rPr>
          <w:i/>
        </w:rPr>
        <w:t>the</w:t>
      </w:r>
      <w:r>
        <w:rPr>
          <w:i/>
        </w:rPr>
        <w:t xml:space="preserve"> 10</w:t>
      </w:r>
      <w:r w:rsidR="00E11AC3" w:rsidRPr="00E11AC3">
        <w:rPr>
          <w:i/>
          <w:vertAlign w:val="superscript"/>
        </w:rPr>
        <w:t>th</w:t>
      </w:r>
      <w:r w:rsidR="00E11AC3">
        <w:rPr>
          <w:i/>
        </w:rPr>
        <w:t xml:space="preserve"> </w:t>
      </w:r>
      <w:r>
        <w:rPr>
          <w:i/>
        </w:rPr>
        <w:t xml:space="preserve">of the month in which the </w:t>
      </w:r>
      <w:r w:rsidR="00B71938">
        <w:rPr>
          <w:i/>
        </w:rPr>
        <w:t>maintenance period</w:t>
      </w:r>
      <w:r>
        <w:rPr>
          <w:i/>
        </w:rPr>
        <w:t xml:space="preserve"> of reserve requirements holding starts.” </w:t>
      </w:r>
    </w:p>
    <w:p w14:paraId="64FC9485" w14:textId="77777777" w:rsidR="008565AA" w:rsidRPr="008565AA" w:rsidRDefault="008565AA" w:rsidP="008565AA">
      <w:pPr>
        <w:tabs>
          <w:tab w:val="left" w:pos="90"/>
        </w:tabs>
        <w:ind w:left="720"/>
        <w:jc w:val="both"/>
        <w:rPr>
          <w:rFonts w:eastAsia="Calibri"/>
          <w:i/>
          <w:lang w:val="sq-AL" w:eastAsia="sq-AL"/>
        </w:rPr>
      </w:pPr>
    </w:p>
    <w:p w14:paraId="48DA9C91" w14:textId="77777777" w:rsidR="008565AA" w:rsidRPr="008565AA" w:rsidRDefault="008565AA" w:rsidP="008565AA">
      <w:pPr>
        <w:numPr>
          <w:ilvl w:val="0"/>
          <w:numId w:val="7"/>
        </w:numPr>
        <w:tabs>
          <w:tab w:val="left" w:pos="90"/>
        </w:tabs>
        <w:spacing w:after="200" w:line="276" w:lineRule="auto"/>
        <w:ind w:left="567" w:hanging="283"/>
        <w:jc w:val="both"/>
        <w:rPr>
          <w:rFonts w:eastAsia="Calibri"/>
        </w:rPr>
      </w:pPr>
      <w:r>
        <w:t xml:space="preserve">Article 10, paragraph 1 is amended to be read: </w:t>
      </w:r>
    </w:p>
    <w:p w14:paraId="05B52FE2" w14:textId="77777777" w:rsidR="008565AA" w:rsidRPr="008565AA" w:rsidRDefault="008565AA" w:rsidP="008565AA">
      <w:pPr>
        <w:tabs>
          <w:tab w:val="left" w:pos="90"/>
        </w:tabs>
        <w:ind w:left="567"/>
        <w:jc w:val="both"/>
        <w:rPr>
          <w:rFonts w:eastAsia="Calibri"/>
          <w:i/>
        </w:rPr>
      </w:pPr>
      <w:r>
        <w:rPr>
          <w:i/>
        </w:rPr>
        <w:t xml:space="preserve">“Banks shall hold the reserve requirements on their reserve accounts in </w:t>
      </w:r>
      <w:r w:rsidR="00E11AC3">
        <w:rPr>
          <w:i/>
        </w:rPr>
        <w:t xml:space="preserve">Albanian </w:t>
      </w:r>
      <w:proofErr w:type="spellStart"/>
      <w:r w:rsidR="00E11AC3">
        <w:rPr>
          <w:i/>
        </w:rPr>
        <w:t>lek</w:t>
      </w:r>
      <w:proofErr w:type="spellEnd"/>
      <w:r>
        <w:rPr>
          <w:i/>
        </w:rPr>
        <w:t xml:space="preserve"> and in foreign currency (E</w:t>
      </w:r>
      <w:r w:rsidR="00E11AC3">
        <w:rPr>
          <w:i/>
        </w:rPr>
        <w:t>uro</w:t>
      </w:r>
      <w:r>
        <w:rPr>
          <w:i/>
        </w:rPr>
        <w:t xml:space="preserve"> and US dollar) with the Bank of Albania, as determined</w:t>
      </w:r>
      <w:r w:rsidR="00B71938">
        <w:rPr>
          <w:i/>
        </w:rPr>
        <w:t xml:space="preserve"> in the Decision</w:t>
      </w:r>
      <w:r>
        <w:rPr>
          <w:i/>
        </w:rPr>
        <w:t xml:space="preserve"> of the Supervisory Council of the Bank of Albania.”</w:t>
      </w:r>
    </w:p>
    <w:p w14:paraId="12FAB657" w14:textId="77777777" w:rsidR="008565AA" w:rsidRPr="008565AA" w:rsidRDefault="008565AA" w:rsidP="008565AA">
      <w:pPr>
        <w:tabs>
          <w:tab w:val="left" w:pos="90"/>
        </w:tabs>
        <w:jc w:val="both"/>
        <w:rPr>
          <w:rFonts w:eastAsiaTheme="minorHAnsi"/>
          <w:lang w:val="sq-AL"/>
        </w:rPr>
      </w:pPr>
    </w:p>
    <w:p w14:paraId="3731D4CA" w14:textId="77777777" w:rsidR="008565AA" w:rsidRPr="008565AA" w:rsidRDefault="008565AA" w:rsidP="008565AA">
      <w:pPr>
        <w:numPr>
          <w:ilvl w:val="0"/>
          <w:numId w:val="7"/>
        </w:numPr>
        <w:tabs>
          <w:tab w:val="left" w:pos="567"/>
        </w:tabs>
        <w:spacing w:after="200" w:line="276" w:lineRule="auto"/>
        <w:ind w:left="567" w:hanging="283"/>
        <w:jc w:val="both"/>
        <w:rPr>
          <w:rFonts w:eastAsia="Calibri"/>
        </w:rPr>
      </w:pPr>
      <w:r>
        <w:t>Article 12/1, paragraph 2 is amended to be read:</w:t>
      </w:r>
    </w:p>
    <w:p w14:paraId="0DBD112B" w14:textId="77777777" w:rsidR="008565AA" w:rsidRPr="008565AA" w:rsidRDefault="008565AA" w:rsidP="008565AA">
      <w:pPr>
        <w:tabs>
          <w:tab w:val="left" w:pos="90"/>
        </w:tabs>
        <w:ind w:left="567"/>
        <w:jc w:val="both"/>
        <w:rPr>
          <w:rFonts w:eastAsia="Calibri"/>
          <w:i/>
        </w:rPr>
      </w:pPr>
      <w:r>
        <w:rPr>
          <w:i/>
        </w:rPr>
        <w:t>“</w:t>
      </w:r>
      <w:proofErr w:type="gramStart"/>
      <w:r>
        <w:rPr>
          <w:i/>
        </w:rPr>
        <w:t xml:space="preserve">Excess reserves in </w:t>
      </w:r>
      <w:r w:rsidR="00E11AC3">
        <w:rPr>
          <w:i/>
        </w:rPr>
        <w:t>euro</w:t>
      </w:r>
      <w:r>
        <w:rPr>
          <w:i/>
        </w:rPr>
        <w:t xml:space="preserve"> is</w:t>
      </w:r>
      <w:proofErr w:type="gramEnd"/>
      <w:r>
        <w:rPr>
          <w:i/>
        </w:rPr>
        <w:t xml:space="preserve"> the </w:t>
      </w:r>
      <w:r w:rsidRPr="00E11AC3">
        <w:rPr>
          <w:i/>
        </w:rPr>
        <w:t>difference</w:t>
      </w:r>
      <w:r>
        <w:rPr>
          <w:i/>
        </w:rPr>
        <w:t xml:space="preserve"> between the balance in the reserves account with the </w:t>
      </w:r>
      <w:r w:rsidRPr="00E11AC3">
        <w:rPr>
          <w:i/>
        </w:rPr>
        <w:t>required reserves</w:t>
      </w:r>
      <w:r>
        <w:rPr>
          <w:i/>
        </w:rPr>
        <w:t xml:space="preserve"> held in </w:t>
      </w:r>
      <w:r w:rsidR="00E11AC3">
        <w:rPr>
          <w:i/>
        </w:rPr>
        <w:t>euro</w:t>
      </w:r>
      <w:r>
        <w:rPr>
          <w:i/>
        </w:rPr>
        <w:t>, being calculated on daily basis.</w:t>
      </w:r>
    </w:p>
    <w:p w14:paraId="2948528C" w14:textId="77777777" w:rsidR="008565AA" w:rsidRPr="008565AA" w:rsidRDefault="008565AA" w:rsidP="008565AA">
      <w:pPr>
        <w:tabs>
          <w:tab w:val="left" w:pos="90"/>
        </w:tabs>
        <w:ind w:left="720"/>
        <w:jc w:val="both"/>
        <w:rPr>
          <w:rFonts w:eastAsia="Calibri"/>
          <w:lang w:val="sq-AL" w:eastAsia="sq-AL"/>
        </w:rPr>
      </w:pPr>
    </w:p>
    <w:p w14:paraId="569399FA" w14:textId="77777777" w:rsidR="008565AA" w:rsidRPr="008565AA" w:rsidRDefault="008565AA" w:rsidP="008565AA">
      <w:pPr>
        <w:numPr>
          <w:ilvl w:val="0"/>
          <w:numId w:val="7"/>
        </w:numPr>
        <w:tabs>
          <w:tab w:val="left" w:pos="567"/>
        </w:tabs>
        <w:spacing w:after="200" w:line="276" w:lineRule="auto"/>
        <w:ind w:left="567" w:hanging="283"/>
        <w:jc w:val="both"/>
        <w:rPr>
          <w:rFonts w:eastAsia="Calibri"/>
        </w:rPr>
      </w:pPr>
      <w:r>
        <w:t>Article 12/1, paragraph 2/a is amended to be read:</w:t>
      </w:r>
    </w:p>
    <w:p w14:paraId="7786F2D8" w14:textId="77777777" w:rsidR="008565AA" w:rsidRPr="008565AA" w:rsidRDefault="008565AA" w:rsidP="008565AA">
      <w:pPr>
        <w:tabs>
          <w:tab w:val="left" w:pos="90"/>
        </w:tabs>
        <w:ind w:left="567"/>
        <w:jc w:val="both"/>
        <w:rPr>
          <w:rFonts w:eastAsia="Calibri"/>
          <w:i/>
        </w:rPr>
      </w:pPr>
      <w:r>
        <w:rPr>
          <w:i/>
        </w:rPr>
        <w:t>“</w:t>
      </w:r>
      <w:proofErr w:type="gramStart"/>
      <w:r>
        <w:rPr>
          <w:i/>
        </w:rPr>
        <w:t>Excess reserves in US dollar is</w:t>
      </w:r>
      <w:proofErr w:type="gramEnd"/>
      <w:r>
        <w:rPr>
          <w:i/>
        </w:rPr>
        <w:t xml:space="preserve"> the difference between the balance in the reserves account with the required reserves held in US dollar, being calculated on daily basis, but not lower than the minimum excess level.</w:t>
      </w:r>
    </w:p>
    <w:p w14:paraId="0F1F3F4F" w14:textId="77777777" w:rsidR="008565AA" w:rsidRPr="008565AA" w:rsidRDefault="008565AA" w:rsidP="008565AA">
      <w:pPr>
        <w:tabs>
          <w:tab w:val="left" w:pos="90"/>
        </w:tabs>
        <w:ind w:left="720"/>
        <w:jc w:val="both"/>
        <w:rPr>
          <w:rFonts w:eastAsia="Calibri"/>
          <w:lang w:val="sq-AL" w:eastAsia="sq-AL"/>
        </w:rPr>
      </w:pPr>
    </w:p>
    <w:p w14:paraId="3CCC7079" w14:textId="77777777" w:rsidR="008565AA" w:rsidRPr="008565AA" w:rsidRDefault="008565AA" w:rsidP="008565AA">
      <w:pPr>
        <w:numPr>
          <w:ilvl w:val="0"/>
          <w:numId w:val="7"/>
        </w:numPr>
        <w:tabs>
          <w:tab w:val="left" w:pos="567"/>
        </w:tabs>
        <w:spacing w:after="200" w:line="276" w:lineRule="auto"/>
        <w:ind w:left="567" w:hanging="283"/>
        <w:jc w:val="both"/>
        <w:rPr>
          <w:rFonts w:eastAsia="Calibri"/>
        </w:rPr>
      </w:pPr>
      <w:r>
        <w:t>Article 15, paragraph 1 is amended to be read:</w:t>
      </w:r>
    </w:p>
    <w:p w14:paraId="0A03A355" w14:textId="77777777" w:rsidR="008565AA" w:rsidRPr="008565AA" w:rsidRDefault="008565AA" w:rsidP="008565AA">
      <w:pPr>
        <w:tabs>
          <w:tab w:val="left" w:pos="567"/>
        </w:tabs>
        <w:ind w:left="567"/>
        <w:jc w:val="both"/>
        <w:rPr>
          <w:rFonts w:eastAsia="Calibri"/>
          <w:i/>
        </w:rPr>
      </w:pPr>
      <w:r>
        <w:rPr>
          <w:i/>
        </w:rPr>
        <w:t xml:space="preserve">“The Monetary Operations Department shall exercise the right to verify the accuracy of the reported reserves in compliance with the data reported in URS through </w:t>
      </w:r>
      <w:r w:rsidRPr="00117335">
        <w:rPr>
          <w:i/>
        </w:rPr>
        <w:t>ERRS</w:t>
      </w:r>
      <w:r>
        <w:rPr>
          <w:i/>
        </w:rPr>
        <w:t xml:space="preserve"> system, and/or through on-site examinations </w:t>
      </w:r>
      <w:r w:rsidR="00117335">
        <w:rPr>
          <w:i/>
        </w:rPr>
        <w:t>at</w:t>
      </w:r>
      <w:r>
        <w:rPr>
          <w:i/>
        </w:rPr>
        <w:t xml:space="preserve"> the bank, by the Supervision Department.” </w:t>
      </w:r>
    </w:p>
    <w:p w14:paraId="489DB165" w14:textId="77777777" w:rsidR="008565AA" w:rsidRPr="008565AA" w:rsidRDefault="008565AA" w:rsidP="008565AA">
      <w:pPr>
        <w:tabs>
          <w:tab w:val="left" w:pos="90"/>
        </w:tabs>
        <w:jc w:val="both"/>
        <w:rPr>
          <w:rFonts w:eastAsiaTheme="minorHAnsi"/>
          <w:lang w:val="sq-AL"/>
        </w:rPr>
      </w:pPr>
    </w:p>
    <w:p w14:paraId="64AB4E66" w14:textId="77777777" w:rsidR="008565AA" w:rsidRPr="008565AA" w:rsidRDefault="008565AA" w:rsidP="008565AA">
      <w:pPr>
        <w:numPr>
          <w:ilvl w:val="0"/>
          <w:numId w:val="7"/>
        </w:numPr>
        <w:tabs>
          <w:tab w:val="left" w:pos="90"/>
        </w:tabs>
        <w:spacing w:after="200" w:line="276" w:lineRule="auto"/>
        <w:ind w:left="567" w:hanging="283"/>
        <w:jc w:val="both"/>
        <w:rPr>
          <w:rFonts w:eastAsia="Calibri"/>
        </w:rPr>
      </w:pPr>
      <w:r>
        <w:t>Article 15, paragraph 2 “b” shall be repealed.</w:t>
      </w:r>
    </w:p>
    <w:p w14:paraId="1AEB8FAD" w14:textId="77777777" w:rsidR="008565AA" w:rsidRPr="008565AA" w:rsidRDefault="008565AA" w:rsidP="008565AA">
      <w:pPr>
        <w:tabs>
          <w:tab w:val="left" w:pos="180"/>
        </w:tabs>
        <w:jc w:val="both"/>
        <w:rPr>
          <w:rFonts w:eastAsiaTheme="minorHAnsi"/>
          <w:lang w:val="sq-AL"/>
        </w:rPr>
      </w:pPr>
    </w:p>
    <w:p w14:paraId="59F3938C" w14:textId="77777777" w:rsidR="008565AA" w:rsidRPr="008565AA" w:rsidRDefault="008565AA" w:rsidP="008565AA">
      <w:pPr>
        <w:numPr>
          <w:ilvl w:val="0"/>
          <w:numId w:val="8"/>
        </w:numPr>
        <w:tabs>
          <w:tab w:val="left" w:pos="284"/>
        </w:tabs>
        <w:spacing w:after="200" w:line="276" w:lineRule="auto"/>
        <w:ind w:left="284" w:hanging="284"/>
        <w:jc w:val="both"/>
        <w:rPr>
          <w:rFonts w:eastAsia="Calibri"/>
        </w:rPr>
      </w:pPr>
      <w:r>
        <w:t>The Monetary Operations Department</w:t>
      </w:r>
      <w:r w:rsidR="00B71938">
        <w:t xml:space="preserve"> and Supervision Department</w:t>
      </w:r>
      <w:r>
        <w:t xml:space="preserve"> </w:t>
      </w:r>
      <w:r w:rsidR="00B71938">
        <w:t>are</w:t>
      </w:r>
      <w:r>
        <w:t xml:space="preserve"> responsible for the implementation of this Decision. </w:t>
      </w:r>
    </w:p>
    <w:p w14:paraId="7070486F" w14:textId="77777777" w:rsidR="008565AA" w:rsidRPr="008565AA" w:rsidRDefault="008565AA" w:rsidP="008565AA">
      <w:pPr>
        <w:tabs>
          <w:tab w:val="left" w:pos="284"/>
        </w:tabs>
        <w:ind w:left="284" w:hanging="284"/>
        <w:jc w:val="both"/>
        <w:rPr>
          <w:rFonts w:eastAsiaTheme="minorHAnsi"/>
          <w:lang w:val="sq-AL"/>
        </w:rPr>
      </w:pPr>
    </w:p>
    <w:p w14:paraId="1E97BDB7" w14:textId="77777777" w:rsidR="008565AA" w:rsidRPr="008565AA" w:rsidRDefault="008565AA" w:rsidP="008565AA">
      <w:pPr>
        <w:numPr>
          <w:ilvl w:val="0"/>
          <w:numId w:val="8"/>
        </w:numPr>
        <w:tabs>
          <w:tab w:val="left" w:pos="284"/>
        </w:tabs>
        <w:spacing w:after="200" w:line="276" w:lineRule="auto"/>
        <w:ind w:left="284" w:hanging="284"/>
        <w:jc w:val="both"/>
        <w:rPr>
          <w:rFonts w:eastAsia="Calibri"/>
        </w:rPr>
      </w:pPr>
      <w:r>
        <w:t xml:space="preserve">The Governor's Office is responsible for the publication of this Decision in the Official Journal of the Republic of Albania and </w:t>
      </w:r>
      <w:r w:rsidR="00117335">
        <w:t xml:space="preserve">the </w:t>
      </w:r>
      <w:r w:rsidRPr="00117335">
        <w:t>website</w:t>
      </w:r>
      <w:r>
        <w:t xml:space="preserve"> of the Bank of Albania. The Research Department is responsible for the publication of this Decision in the Official Bulletin of the Bank of Albania.</w:t>
      </w:r>
    </w:p>
    <w:p w14:paraId="3E55E4D4" w14:textId="77777777" w:rsidR="008565AA" w:rsidRPr="008565AA" w:rsidRDefault="008565AA" w:rsidP="008565AA">
      <w:pPr>
        <w:tabs>
          <w:tab w:val="left" w:pos="284"/>
        </w:tabs>
        <w:ind w:left="284" w:hanging="284"/>
        <w:jc w:val="both"/>
        <w:rPr>
          <w:rFonts w:eastAsiaTheme="minorHAnsi"/>
          <w:lang w:val="sq-AL"/>
        </w:rPr>
      </w:pPr>
    </w:p>
    <w:p w14:paraId="00388092" w14:textId="77777777" w:rsidR="008565AA" w:rsidRPr="008565AA" w:rsidRDefault="008565AA" w:rsidP="008565AA">
      <w:pPr>
        <w:numPr>
          <w:ilvl w:val="0"/>
          <w:numId w:val="8"/>
        </w:numPr>
        <w:tabs>
          <w:tab w:val="left" w:pos="90"/>
          <w:tab w:val="left" w:pos="284"/>
        </w:tabs>
        <w:spacing w:after="200" w:line="276" w:lineRule="auto"/>
        <w:ind w:left="284" w:hanging="284"/>
        <w:jc w:val="both"/>
        <w:rPr>
          <w:rFonts w:eastAsia="Calibri"/>
        </w:rPr>
      </w:pPr>
      <w:r>
        <w:t xml:space="preserve">Article 1 “b” of the Supervisory Council's Decision No.38, dated 25.06.2014 “Approval of some amendments in the Regulation </w:t>
      </w:r>
      <w:r w:rsidR="00B71938">
        <w:t>“On</w:t>
      </w:r>
      <w:r>
        <w:t xml:space="preserve"> minimum reserve requirement</w:t>
      </w:r>
      <w:r w:rsidR="00B71938">
        <w:t>s</w:t>
      </w:r>
      <w:r>
        <w:t xml:space="preserve"> held by banks with the Bank of Albania” shall be repealed upon the entry into force of this Decision.</w:t>
      </w:r>
    </w:p>
    <w:p w14:paraId="12A91591" w14:textId="77777777" w:rsidR="008565AA" w:rsidRPr="008565AA" w:rsidRDefault="008565AA" w:rsidP="008565AA">
      <w:pPr>
        <w:tabs>
          <w:tab w:val="left" w:pos="180"/>
        </w:tabs>
        <w:jc w:val="both"/>
        <w:rPr>
          <w:rFonts w:eastAsia="Calibri"/>
          <w:lang w:val="sq-AL" w:eastAsia="sq-AL"/>
        </w:rPr>
      </w:pPr>
    </w:p>
    <w:p w14:paraId="7BAD1BD0" w14:textId="77777777" w:rsidR="008565AA" w:rsidRPr="008565AA" w:rsidRDefault="008565AA" w:rsidP="008565AA">
      <w:pPr>
        <w:tabs>
          <w:tab w:val="left" w:pos="180"/>
        </w:tabs>
        <w:jc w:val="both"/>
        <w:rPr>
          <w:rFonts w:eastAsia="Calibri"/>
        </w:rPr>
      </w:pPr>
      <w:r>
        <w:t>This Decision shall enter into force on 24 February 2018.</w:t>
      </w:r>
    </w:p>
    <w:p w14:paraId="3B10F55A" w14:textId="77777777" w:rsidR="008565AA" w:rsidRPr="008565AA" w:rsidRDefault="008565AA" w:rsidP="008565AA">
      <w:pPr>
        <w:rPr>
          <w:rFonts w:eastAsiaTheme="minorHAnsi"/>
          <w:b/>
          <w:bCs/>
          <w:caps/>
          <w:lang w:val="sq-AL"/>
        </w:rPr>
      </w:pPr>
    </w:p>
    <w:tbl>
      <w:tblPr>
        <w:tblW w:w="0" w:type="auto"/>
        <w:tblLook w:val="04A0" w:firstRow="1" w:lastRow="0" w:firstColumn="1" w:lastColumn="0" w:noHBand="0" w:noVBand="1"/>
      </w:tblPr>
      <w:tblGrid>
        <w:gridCol w:w="2892"/>
        <w:gridCol w:w="2892"/>
        <w:gridCol w:w="2892"/>
      </w:tblGrid>
      <w:tr w:rsidR="008565AA" w:rsidRPr="008565AA" w14:paraId="4A84305B" w14:textId="77777777" w:rsidTr="00F645F0">
        <w:trPr>
          <w:trHeight w:val="378"/>
        </w:trPr>
        <w:tc>
          <w:tcPr>
            <w:tcW w:w="2892" w:type="dxa"/>
            <w:vAlign w:val="center"/>
          </w:tcPr>
          <w:p w14:paraId="14A1543E" w14:textId="77777777" w:rsidR="008565AA" w:rsidRPr="008565AA" w:rsidRDefault="008565AA" w:rsidP="008565AA">
            <w:pPr>
              <w:jc w:val="center"/>
            </w:pPr>
            <w:r>
              <w:rPr>
                <w:b/>
              </w:rPr>
              <w:t>SECRETARY</w:t>
            </w:r>
          </w:p>
        </w:tc>
        <w:tc>
          <w:tcPr>
            <w:tcW w:w="2892" w:type="dxa"/>
            <w:vAlign w:val="center"/>
          </w:tcPr>
          <w:p w14:paraId="0C297A23" w14:textId="77777777" w:rsidR="008565AA" w:rsidRPr="008565AA" w:rsidRDefault="008565AA" w:rsidP="008565AA">
            <w:pPr>
              <w:jc w:val="center"/>
              <w:rPr>
                <w:lang w:val="sq-AL"/>
              </w:rPr>
            </w:pPr>
          </w:p>
        </w:tc>
        <w:tc>
          <w:tcPr>
            <w:tcW w:w="2892" w:type="dxa"/>
            <w:vAlign w:val="center"/>
          </w:tcPr>
          <w:p w14:paraId="2E3F3941" w14:textId="77777777" w:rsidR="008565AA" w:rsidRPr="008565AA" w:rsidRDefault="008565AA" w:rsidP="008565AA">
            <w:pPr>
              <w:jc w:val="center"/>
            </w:pPr>
            <w:r>
              <w:rPr>
                <w:b/>
              </w:rPr>
              <w:t>CHAIR</w:t>
            </w:r>
          </w:p>
        </w:tc>
      </w:tr>
      <w:tr w:rsidR="008565AA" w:rsidRPr="008565AA" w14:paraId="23FDEA08" w14:textId="77777777" w:rsidTr="00F645F0">
        <w:tc>
          <w:tcPr>
            <w:tcW w:w="2892" w:type="dxa"/>
            <w:vAlign w:val="center"/>
          </w:tcPr>
          <w:p w14:paraId="4C3FE04F" w14:textId="77777777" w:rsidR="008565AA" w:rsidRPr="008565AA" w:rsidRDefault="008565AA" w:rsidP="008565AA">
            <w:pPr>
              <w:jc w:val="center"/>
              <w:rPr>
                <w:lang w:val="sq-AL"/>
              </w:rPr>
            </w:pPr>
          </w:p>
        </w:tc>
        <w:tc>
          <w:tcPr>
            <w:tcW w:w="2892" w:type="dxa"/>
            <w:vAlign w:val="center"/>
          </w:tcPr>
          <w:p w14:paraId="498D1AF4" w14:textId="77777777" w:rsidR="008565AA" w:rsidRPr="008565AA" w:rsidRDefault="008565AA" w:rsidP="008565AA">
            <w:pPr>
              <w:jc w:val="center"/>
              <w:rPr>
                <w:lang w:val="sq-AL"/>
              </w:rPr>
            </w:pPr>
          </w:p>
        </w:tc>
        <w:tc>
          <w:tcPr>
            <w:tcW w:w="2892" w:type="dxa"/>
            <w:vAlign w:val="center"/>
          </w:tcPr>
          <w:p w14:paraId="454FDDD4" w14:textId="77777777" w:rsidR="008565AA" w:rsidRPr="008565AA" w:rsidRDefault="008565AA" w:rsidP="008565AA">
            <w:pPr>
              <w:jc w:val="center"/>
              <w:rPr>
                <w:lang w:val="sq-AL"/>
              </w:rPr>
            </w:pPr>
          </w:p>
        </w:tc>
      </w:tr>
      <w:tr w:rsidR="008565AA" w:rsidRPr="008565AA" w14:paraId="5C001B31" w14:textId="77777777" w:rsidTr="00F645F0">
        <w:tc>
          <w:tcPr>
            <w:tcW w:w="2892" w:type="dxa"/>
            <w:vAlign w:val="center"/>
          </w:tcPr>
          <w:p w14:paraId="5F07EA7A" w14:textId="77777777" w:rsidR="008565AA" w:rsidRPr="008565AA" w:rsidRDefault="008565AA" w:rsidP="008565AA">
            <w:pPr>
              <w:jc w:val="center"/>
              <w:rPr>
                <w:lang w:val="sq-AL"/>
              </w:rPr>
            </w:pPr>
          </w:p>
        </w:tc>
        <w:tc>
          <w:tcPr>
            <w:tcW w:w="2892" w:type="dxa"/>
            <w:vAlign w:val="center"/>
          </w:tcPr>
          <w:p w14:paraId="4DBB45A7" w14:textId="77777777" w:rsidR="008565AA" w:rsidRPr="008565AA" w:rsidRDefault="008565AA" w:rsidP="008565AA">
            <w:pPr>
              <w:jc w:val="center"/>
              <w:rPr>
                <w:lang w:val="sq-AL"/>
              </w:rPr>
            </w:pPr>
          </w:p>
        </w:tc>
        <w:tc>
          <w:tcPr>
            <w:tcW w:w="2892" w:type="dxa"/>
            <w:vAlign w:val="center"/>
          </w:tcPr>
          <w:p w14:paraId="246BF0C2" w14:textId="77777777" w:rsidR="008565AA" w:rsidRPr="008565AA" w:rsidRDefault="008565AA" w:rsidP="008565AA">
            <w:pPr>
              <w:jc w:val="center"/>
              <w:rPr>
                <w:lang w:val="sq-AL"/>
              </w:rPr>
            </w:pPr>
          </w:p>
        </w:tc>
      </w:tr>
      <w:tr w:rsidR="008565AA" w:rsidRPr="008565AA" w14:paraId="2F03654B" w14:textId="77777777" w:rsidTr="00F645F0">
        <w:tc>
          <w:tcPr>
            <w:tcW w:w="2892" w:type="dxa"/>
            <w:vAlign w:val="center"/>
          </w:tcPr>
          <w:p w14:paraId="0B20030B" w14:textId="77777777" w:rsidR="008565AA" w:rsidRPr="008565AA" w:rsidRDefault="008565AA" w:rsidP="008565AA">
            <w:pPr>
              <w:jc w:val="center"/>
              <w:rPr>
                <w:lang w:val="sq-AL"/>
              </w:rPr>
            </w:pPr>
          </w:p>
        </w:tc>
        <w:tc>
          <w:tcPr>
            <w:tcW w:w="2892" w:type="dxa"/>
            <w:vAlign w:val="center"/>
          </w:tcPr>
          <w:p w14:paraId="6621611C" w14:textId="77777777" w:rsidR="008565AA" w:rsidRPr="008565AA" w:rsidRDefault="008565AA" w:rsidP="008565AA">
            <w:pPr>
              <w:jc w:val="center"/>
              <w:rPr>
                <w:lang w:val="sq-AL"/>
              </w:rPr>
            </w:pPr>
          </w:p>
        </w:tc>
        <w:tc>
          <w:tcPr>
            <w:tcW w:w="2892" w:type="dxa"/>
            <w:vAlign w:val="center"/>
          </w:tcPr>
          <w:p w14:paraId="29975E24" w14:textId="77777777" w:rsidR="008565AA" w:rsidRPr="008565AA" w:rsidRDefault="008565AA" w:rsidP="008565AA">
            <w:pPr>
              <w:jc w:val="center"/>
              <w:rPr>
                <w:lang w:val="sq-AL"/>
              </w:rPr>
            </w:pPr>
          </w:p>
        </w:tc>
      </w:tr>
      <w:tr w:rsidR="008565AA" w:rsidRPr="008565AA" w14:paraId="1BB87467" w14:textId="77777777" w:rsidTr="00F645F0">
        <w:tc>
          <w:tcPr>
            <w:tcW w:w="2892" w:type="dxa"/>
            <w:vAlign w:val="center"/>
          </w:tcPr>
          <w:p w14:paraId="3051BC66" w14:textId="77777777" w:rsidR="008565AA" w:rsidRPr="008565AA" w:rsidRDefault="008565AA" w:rsidP="008565AA">
            <w:pPr>
              <w:jc w:val="center"/>
              <w:rPr>
                <w:lang w:val="sq-AL"/>
              </w:rPr>
            </w:pPr>
          </w:p>
        </w:tc>
        <w:tc>
          <w:tcPr>
            <w:tcW w:w="2892" w:type="dxa"/>
            <w:vAlign w:val="center"/>
          </w:tcPr>
          <w:p w14:paraId="4AB559D7" w14:textId="77777777" w:rsidR="008565AA" w:rsidRPr="008565AA" w:rsidRDefault="008565AA" w:rsidP="008565AA">
            <w:pPr>
              <w:jc w:val="center"/>
              <w:rPr>
                <w:lang w:val="sq-AL"/>
              </w:rPr>
            </w:pPr>
          </w:p>
        </w:tc>
        <w:tc>
          <w:tcPr>
            <w:tcW w:w="2892" w:type="dxa"/>
            <w:vAlign w:val="center"/>
          </w:tcPr>
          <w:p w14:paraId="2A445D35" w14:textId="77777777" w:rsidR="008565AA" w:rsidRPr="008565AA" w:rsidRDefault="008565AA" w:rsidP="008565AA">
            <w:pPr>
              <w:jc w:val="center"/>
              <w:rPr>
                <w:lang w:val="sq-AL"/>
              </w:rPr>
            </w:pPr>
          </w:p>
        </w:tc>
      </w:tr>
      <w:tr w:rsidR="008565AA" w:rsidRPr="008565AA" w14:paraId="60D70134" w14:textId="77777777" w:rsidTr="00F645F0">
        <w:tc>
          <w:tcPr>
            <w:tcW w:w="2892" w:type="dxa"/>
            <w:vAlign w:val="center"/>
          </w:tcPr>
          <w:p w14:paraId="0E564519" w14:textId="77777777" w:rsidR="008565AA" w:rsidRPr="008565AA" w:rsidRDefault="008565AA" w:rsidP="008565AA">
            <w:pPr>
              <w:jc w:val="center"/>
            </w:pPr>
            <w:r>
              <w:rPr>
                <w:b/>
                <w:bCs/>
              </w:rPr>
              <w:t>Elvis ÇIBUKU</w:t>
            </w:r>
          </w:p>
        </w:tc>
        <w:tc>
          <w:tcPr>
            <w:tcW w:w="2892" w:type="dxa"/>
            <w:vAlign w:val="center"/>
          </w:tcPr>
          <w:p w14:paraId="1EA593F8" w14:textId="77777777" w:rsidR="008565AA" w:rsidRPr="008565AA" w:rsidRDefault="008565AA" w:rsidP="008565AA">
            <w:pPr>
              <w:jc w:val="center"/>
              <w:rPr>
                <w:lang w:val="sq-AL"/>
              </w:rPr>
            </w:pPr>
          </w:p>
        </w:tc>
        <w:tc>
          <w:tcPr>
            <w:tcW w:w="2892" w:type="dxa"/>
            <w:vAlign w:val="center"/>
          </w:tcPr>
          <w:p w14:paraId="512A5A4C" w14:textId="77777777" w:rsidR="008565AA" w:rsidRPr="008565AA" w:rsidRDefault="008565AA" w:rsidP="008565AA">
            <w:pPr>
              <w:jc w:val="center"/>
            </w:pPr>
            <w:r>
              <w:rPr>
                <w:b/>
                <w:bCs/>
              </w:rPr>
              <w:t>Gent SEJKO</w:t>
            </w:r>
          </w:p>
        </w:tc>
      </w:tr>
    </w:tbl>
    <w:p w14:paraId="335621CD" w14:textId="77777777" w:rsidR="008565AA" w:rsidRPr="008565AA" w:rsidRDefault="008565AA" w:rsidP="008565AA">
      <w:pPr>
        <w:spacing w:after="200" w:line="276" w:lineRule="auto"/>
        <w:rPr>
          <w:rFonts w:eastAsiaTheme="minorHAnsi"/>
          <w:lang w:val="sq-AL"/>
        </w:rPr>
      </w:pPr>
    </w:p>
    <w:p w14:paraId="0A5B7D42" w14:textId="77777777" w:rsidR="00582CB7" w:rsidRDefault="00582CB7" w:rsidP="000471B6">
      <w:pPr>
        <w:spacing w:line="276" w:lineRule="auto"/>
        <w:jc w:val="center"/>
        <w:rPr>
          <w:b/>
          <w:lang w:val="sq-AL"/>
        </w:rPr>
      </w:pPr>
    </w:p>
    <w:p w14:paraId="72E100E6" w14:textId="77777777" w:rsidR="00582CB7" w:rsidRDefault="00582CB7" w:rsidP="000471B6">
      <w:pPr>
        <w:spacing w:line="276" w:lineRule="auto"/>
        <w:jc w:val="center"/>
        <w:rPr>
          <w:b/>
          <w:lang w:val="sq-AL"/>
        </w:rPr>
      </w:pPr>
    </w:p>
    <w:p w14:paraId="3CEC7309" w14:textId="77777777" w:rsidR="00582CB7" w:rsidRDefault="00582CB7" w:rsidP="000471B6">
      <w:pPr>
        <w:spacing w:line="276" w:lineRule="auto"/>
        <w:jc w:val="center"/>
        <w:rPr>
          <w:b/>
          <w:lang w:val="sq-AL"/>
        </w:rPr>
      </w:pPr>
    </w:p>
    <w:p w14:paraId="5606074B" w14:textId="77777777" w:rsidR="00582CB7" w:rsidRPr="00F60D14" w:rsidRDefault="00582CB7" w:rsidP="000471B6">
      <w:pPr>
        <w:spacing w:line="276" w:lineRule="auto"/>
        <w:jc w:val="center"/>
        <w:rPr>
          <w:b/>
          <w:lang w:val="sq-AL"/>
        </w:rPr>
      </w:pPr>
    </w:p>
    <w:p w14:paraId="4052BF15" w14:textId="77777777" w:rsidR="00582CB7" w:rsidRPr="00582CB7" w:rsidRDefault="00582CB7" w:rsidP="00582CB7">
      <w:pPr>
        <w:rPr>
          <w:rFonts w:eastAsiaTheme="minorHAnsi"/>
          <w:lang w:val="sq-AL"/>
        </w:rPr>
      </w:pPr>
    </w:p>
    <w:p w14:paraId="4179659D" w14:textId="77777777" w:rsidR="00582CB7" w:rsidRPr="00582CB7" w:rsidRDefault="00582CB7" w:rsidP="00582CB7">
      <w:pPr>
        <w:rPr>
          <w:rFonts w:asciiTheme="minorHAnsi" w:eastAsiaTheme="minorHAnsi" w:hAnsiTheme="minorHAnsi" w:cstheme="minorBidi"/>
          <w:sz w:val="22"/>
          <w:szCs w:val="22"/>
        </w:rPr>
      </w:pPr>
    </w:p>
    <w:p w14:paraId="693C21D5" w14:textId="77777777" w:rsidR="007077D1" w:rsidRPr="007077D1" w:rsidRDefault="007077D1" w:rsidP="003345F7">
      <w:pPr>
        <w:spacing w:line="276" w:lineRule="auto"/>
        <w:jc w:val="both"/>
        <w:rPr>
          <w:sz w:val="20"/>
          <w:lang w:val="sq-AL"/>
        </w:rPr>
      </w:pPr>
    </w:p>
    <w:sectPr w:rsidR="007077D1" w:rsidRPr="007077D1" w:rsidSect="00591903">
      <w:footerReference w:type="default" r:id="rId9"/>
      <w:headerReference w:type="first" r:id="rId10"/>
      <w:pgSz w:w="11907" w:h="16839" w:code="9"/>
      <w:pgMar w:top="1134" w:right="1701" w:bottom="1134" w:left="1701" w:header="1134" w:footer="136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F50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BEB62" w14:textId="77777777" w:rsidR="00C92E86" w:rsidRDefault="00C92E86" w:rsidP="007E4EA2">
      <w:r>
        <w:separator/>
      </w:r>
    </w:p>
  </w:endnote>
  <w:endnote w:type="continuationSeparator" w:id="0">
    <w:p w14:paraId="31631B84" w14:textId="77777777" w:rsidR="00C92E86" w:rsidRDefault="00C92E86" w:rsidP="007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1C48" w14:textId="77777777" w:rsidR="00930FDD" w:rsidRDefault="00930FDD" w:rsidP="00930FDD">
    <w:pPr>
      <w:pStyle w:val="Footer"/>
    </w:pPr>
    <w:r w:rsidRPr="007E4EA2">
      <w:rPr>
        <w:bCs/>
        <w:noProof/>
        <w:color w:val="808080"/>
        <w:sz w:val="18"/>
        <w:lang w:val="sq-AL" w:eastAsia="sq-AL"/>
      </w:rPr>
      <mc:AlternateContent>
        <mc:Choice Requires="wps">
          <w:drawing>
            <wp:anchor distT="0" distB="0" distL="114300" distR="114300" simplePos="0" relativeHeight="251675648" behindDoc="1" locked="0" layoutInCell="1" allowOverlap="1" wp14:anchorId="2E7C4604" wp14:editId="7096DD8B">
              <wp:simplePos x="0" y="0"/>
              <wp:positionH relativeFrom="column">
                <wp:posOffset>-579120</wp:posOffset>
              </wp:positionH>
              <wp:positionV relativeFrom="paragraph">
                <wp:posOffset>188595</wp:posOffset>
              </wp:positionV>
              <wp:extent cx="653415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7175"/>
                      </a:xfrm>
                      <a:prstGeom prst="rect">
                        <a:avLst/>
                      </a:prstGeom>
                      <a:noFill/>
                      <a:ln w="9525">
                        <a:noFill/>
                        <a:miter lim="800000"/>
                        <a:headEnd/>
                        <a:tailEnd/>
                      </a:ln>
                    </wps:spPr>
                    <wps:txbx>
                      <w:txbxContent>
                        <w:p w14:paraId="1CBAC5E6" w14:textId="77777777" w:rsidR="00930FDD" w:rsidRPr="00F60E99" w:rsidRDefault="00930FDD" w:rsidP="00930FDD">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C4604" id="_x0000_t202" coordsize="21600,21600" o:spt="202" path="m,l,21600r21600,l21600,xe">
              <v:stroke joinstyle="miter"/>
              <v:path gradientshapeok="t" o:connecttype="rect"/>
            </v:shapetype>
            <v:shape id="Text Box 2" o:spid="_x0000_s1026" type="#_x0000_t202" style="position:absolute;margin-left:-45.6pt;margin-top:14.85pt;width:514.5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" filled="f" stroked="f">
              <v:textbox>
                <w:txbxContent>
                  <w:p w14:paraId="1CBAC5E6" w14:textId="77777777" w:rsidR="00930FDD" w:rsidRPr="00F60E99" w:rsidRDefault="00930FDD" w:rsidP="00930FDD">
                    <w:pPr>
                      <w:jc w:val="cente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FBF29" w14:textId="77777777" w:rsidR="00C92E86" w:rsidRDefault="00C92E86" w:rsidP="007E4EA2">
      <w:r>
        <w:separator/>
      </w:r>
    </w:p>
  </w:footnote>
  <w:footnote w:type="continuationSeparator" w:id="0">
    <w:p w14:paraId="7F251DD4" w14:textId="77777777" w:rsidR="00C92E86" w:rsidRDefault="00C92E86" w:rsidP="007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BDE5" w14:textId="77777777" w:rsidR="00591903" w:rsidRPr="007E4EA2" w:rsidRDefault="00A77524" w:rsidP="00591903">
    <w:pPr>
      <w:ind w:left="714"/>
      <w:jc w:val="both"/>
      <w:rPr>
        <w:sz w:val="16"/>
      </w:rPr>
    </w:pPr>
    <w:r>
      <w:rPr>
        <w:rFonts w:ascii="Arial" w:eastAsia="Times New Roman" w:hAnsi="Arial"/>
        <w:noProof/>
        <w:sz w:val="26"/>
        <w:szCs w:val="26"/>
        <w:lang w:val="sq-AL" w:eastAsia="sq-AL"/>
      </w:rPr>
      <w:drawing>
        <wp:anchor distT="0" distB="0" distL="114300" distR="114300" simplePos="0" relativeHeight="251677696" behindDoc="1" locked="0" layoutInCell="1" allowOverlap="1" wp14:anchorId="66BE1262" wp14:editId="24D4213B">
          <wp:simplePos x="0" y="0"/>
          <wp:positionH relativeFrom="column">
            <wp:posOffset>-477256</wp:posOffset>
          </wp:positionH>
          <wp:positionV relativeFrom="paragraph">
            <wp:posOffset>-160020</wp:posOffset>
          </wp:positionV>
          <wp:extent cx="1304925" cy="1219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e-jubileut-te-Skenderbeut.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219200"/>
                  </a:xfrm>
                  <a:prstGeom prst="rect">
                    <a:avLst/>
                  </a:prstGeom>
                </pic:spPr>
              </pic:pic>
            </a:graphicData>
          </a:graphic>
          <wp14:sizeRelH relativeFrom="page">
            <wp14:pctWidth>0</wp14:pctWidth>
          </wp14:sizeRelH>
          <wp14:sizeRelV relativeFrom="page">
            <wp14:pctHeight>0</wp14:pctHeight>
          </wp14:sizeRelV>
        </wp:anchor>
      </w:drawing>
    </w:r>
    <w:r w:rsidR="00472F1C" w:rsidRPr="007E4EA2">
      <w:rPr>
        <w:rFonts w:ascii="Arial" w:eastAsia="Times New Roman" w:hAnsi="Arial"/>
        <w:noProof/>
        <w:sz w:val="26"/>
        <w:szCs w:val="26"/>
        <w:lang w:val="sq-AL" w:eastAsia="sq-AL"/>
      </w:rPr>
      <w:drawing>
        <wp:anchor distT="0" distB="0" distL="114300" distR="114300" simplePos="0" relativeHeight="251668480" behindDoc="1" locked="0" layoutInCell="1" allowOverlap="1" wp14:anchorId="790B8FEC" wp14:editId="4B9D597A">
          <wp:simplePos x="0" y="0"/>
          <wp:positionH relativeFrom="column">
            <wp:posOffset>2466975</wp:posOffset>
          </wp:positionH>
          <wp:positionV relativeFrom="paragraph">
            <wp:posOffset>-99060</wp:posOffset>
          </wp:positionV>
          <wp:extent cx="464820" cy="699770"/>
          <wp:effectExtent l="0" t="0" r="0" b="5080"/>
          <wp:wrapTight wrapText="bothSides">
            <wp:wrapPolygon edited="0">
              <wp:start x="0" y="0"/>
              <wp:lineTo x="0" y="19405"/>
              <wp:lineTo x="6197" y="21169"/>
              <wp:lineTo x="15049" y="21169"/>
              <wp:lineTo x="20361" y="19405"/>
              <wp:lineTo x="20361"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482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EE" w:rsidRPr="007E4EA2">
      <w:rPr>
        <w:rFonts w:ascii="Arial" w:eastAsia="Times New Roman" w:hAnsi="Arial"/>
        <w:noProof/>
        <w:sz w:val="26"/>
        <w:szCs w:val="26"/>
        <w:lang w:val="sq-AL" w:eastAsia="sq-AL"/>
      </w:rPr>
      <mc:AlternateContent>
        <mc:Choice Requires="wps">
          <w:drawing>
            <wp:anchor distT="4294967295" distB="4294967295" distL="114300" distR="114300" simplePos="0" relativeHeight="251667456" behindDoc="1" locked="0" layoutInCell="1" allowOverlap="1" wp14:anchorId="6E7E8A30" wp14:editId="078850B9">
              <wp:simplePos x="0" y="0"/>
              <wp:positionH relativeFrom="column">
                <wp:posOffset>-323850</wp:posOffset>
              </wp:positionH>
              <wp:positionV relativeFrom="paragraph">
                <wp:posOffset>509270</wp:posOffset>
              </wp:positionV>
              <wp:extent cx="2782570" cy="0"/>
              <wp:effectExtent l="0" t="0" r="1778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95E6FC5" id="Straight Connector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40.1pt" to="193.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" strokeweight="1pt">
              <o:lock v:ext="edit" shapetype="f"/>
            </v:line>
          </w:pict>
        </mc:Fallback>
      </mc:AlternateContent>
    </w:r>
  </w:p>
  <w:p w14:paraId="39A7D947" w14:textId="77777777" w:rsidR="00591903" w:rsidRPr="007E4EA2" w:rsidRDefault="00591903" w:rsidP="00591903">
    <w:pPr>
      <w:spacing w:line="360" w:lineRule="auto"/>
      <w:jc w:val="center"/>
      <w:rPr>
        <w:rFonts w:ascii="Helvetica" w:hAnsi="Helvetica" w:cs="Helvetica"/>
        <w:b/>
        <w:spacing w:val="20"/>
        <w:sz w:val="15"/>
        <w:szCs w:val="15"/>
        <w:lang w:val="it-IT"/>
      </w:rPr>
    </w:pPr>
  </w:p>
  <w:p w14:paraId="77473F86" w14:textId="77777777" w:rsidR="00591903" w:rsidRPr="007E4EA2" w:rsidRDefault="00591903" w:rsidP="00591903">
    <w:pPr>
      <w:spacing w:line="360" w:lineRule="auto"/>
      <w:jc w:val="center"/>
      <w:rPr>
        <w:rFonts w:ascii="Helvetica" w:hAnsi="Helvetica" w:cs="Helvetica"/>
        <w:b/>
        <w:spacing w:val="20"/>
        <w:sz w:val="13"/>
        <w:szCs w:val="15"/>
        <w:lang w:val="it-IT"/>
      </w:rPr>
    </w:pPr>
  </w:p>
  <w:p w14:paraId="035CE381" w14:textId="77777777" w:rsidR="00591903" w:rsidRPr="007E4EA2" w:rsidRDefault="00591903" w:rsidP="00591903">
    <w:pPr>
      <w:spacing w:line="360" w:lineRule="auto"/>
      <w:rPr>
        <w:rFonts w:ascii="Helvetica" w:hAnsi="Helvetica" w:cs="Helvetica"/>
        <w:b/>
        <w:spacing w:val="20"/>
        <w:sz w:val="15"/>
        <w:szCs w:val="15"/>
      </w:rPr>
    </w:pPr>
    <w:r w:rsidRPr="007E4EA2">
      <w:rPr>
        <w:rFonts w:ascii="Arial" w:eastAsia="Times New Roman" w:hAnsi="Arial"/>
        <w:noProof/>
        <w:sz w:val="26"/>
        <w:szCs w:val="26"/>
        <w:lang w:val="sq-AL" w:eastAsia="sq-AL"/>
      </w:rPr>
      <mc:AlternateContent>
        <mc:Choice Requires="wps">
          <w:drawing>
            <wp:anchor distT="4294967295" distB="4294967295" distL="114300" distR="114300" simplePos="0" relativeHeight="251669504" behindDoc="1" locked="0" layoutInCell="1" allowOverlap="1" wp14:anchorId="138D714C" wp14:editId="34402AE8">
              <wp:simplePos x="0" y="0"/>
              <wp:positionH relativeFrom="column">
                <wp:posOffset>2934071</wp:posOffset>
              </wp:positionH>
              <wp:positionV relativeFrom="paragraph">
                <wp:posOffset>74930</wp:posOffset>
              </wp:positionV>
              <wp:extent cx="2782570" cy="0"/>
              <wp:effectExtent l="0" t="0" r="1778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677EE40"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1.05pt,5.9pt" to="450.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" strokeweight="1pt">
              <o:lock v:ext="edit" shapetype="f"/>
            </v:line>
          </w:pict>
        </mc:Fallback>
      </mc:AlternateContent>
    </w:r>
  </w:p>
  <w:p w14:paraId="1D908E07" w14:textId="77777777" w:rsidR="00591903" w:rsidRPr="007E4EA2" w:rsidRDefault="00591903" w:rsidP="00591903">
    <w:pPr>
      <w:jc w:val="center"/>
      <w:rPr>
        <w:rFonts w:ascii="Helvetica" w:hAnsi="Helvetica"/>
        <w:b/>
        <w:spacing w:val="20"/>
        <w:sz w:val="4"/>
        <w:szCs w:val="4"/>
        <w:lang w:val="it-IT"/>
      </w:rPr>
    </w:pPr>
  </w:p>
  <w:p w14:paraId="4DA564EE" w14:textId="77777777" w:rsidR="00591903" w:rsidRPr="007E4EA2" w:rsidRDefault="00591903" w:rsidP="00591903">
    <w:pPr>
      <w:jc w:val="center"/>
      <w:rPr>
        <w:rFonts w:ascii="Helvetica" w:hAnsi="Helvetica"/>
        <w:b/>
        <w:spacing w:val="20"/>
        <w:sz w:val="15"/>
        <w:szCs w:val="15"/>
      </w:rPr>
    </w:pPr>
    <w:r>
      <w:rPr>
        <w:rFonts w:ascii="Helvetica" w:hAnsi="Helvetica"/>
        <w:b/>
        <w:sz w:val="15"/>
        <w:szCs w:val="15"/>
      </w:rPr>
      <w:t xml:space="preserve">R E P U B L I </w:t>
    </w:r>
    <w:proofErr w:type="gramStart"/>
    <w:r>
      <w:rPr>
        <w:rFonts w:ascii="Helvetica" w:hAnsi="Helvetica"/>
        <w:b/>
        <w:sz w:val="15"/>
        <w:szCs w:val="15"/>
      </w:rPr>
      <w:t>C  O</w:t>
    </w:r>
    <w:proofErr w:type="gramEnd"/>
    <w:r>
      <w:rPr>
        <w:rFonts w:ascii="Helvetica" w:hAnsi="Helvetica"/>
        <w:b/>
        <w:sz w:val="15"/>
        <w:szCs w:val="15"/>
      </w:rPr>
      <w:t xml:space="preserve"> F  A L B A N I A</w:t>
    </w:r>
  </w:p>
  <w:p w14:paraId="5D1DD5C0" w14:textId="77777777" w:rsidR="00591903" w:rsidRPr="007E4EA2" w:rsidRDefault="00591903" w:rsidP="00591903">
    <w:pPr>
      <w:jc w:val="center"/>
      <w:rPr>
        <w:b/>
      </w:rPr>
    </w:pPr>
    <w:r>
      <w:rPr>
        <w:b/>
      </w:rPr>
      <w:t>BANK OF ALBANIA</w:t>
    </w:r>
  </w:p>
  <w:p w14:paraId="5C9E180A" w14:textId="77777777" w:rsidR="00591903" w:rsidRPr="00591903" w:rsidRDefault="00CC4185" w:rsidP="00591903">
    <w:pPr>
      <w:jc w:val="center"/>
      <w:rPr>
        <w:rFonts w:eastAsia="Times New Roman"/>
        <w:b/>
        <w:sz w:val="20"/>
      </w:rPr>
    </w:pPr>
    <w:r>
      <w:rPr>
        <w:b/>
        <w:sz w:val="20"/>
      </w:rPr>
      <w:t>SUPERVISORY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33A"/>
    <w:multiLevelType w:val="hybridMultilevel"/>
    <w:tmpl w:val="ACB6530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85B0A37"/>
    <w:multiLevelType w:val="hybridMultilevel"/>
    <w:tmpl w:val="71D80A3C"/>
    <w:lvl w:ilvl="0" w:tplc="347A9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779AD"/>
    <w:multiLevelType w:val="hybridMultilevel"/>
    <w:tmpl w:val="0F605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82F77"/>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nsid w:val="43915ACD"/>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14FC8"/>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6735B"/>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1"/>
  </w:num>
  <w:num w:numId="7">
    <w:abstractNumId w:val="2"/>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tjan Suli">
    <w15:presenceInfo w15:providerId="AD" w15:userId="S-1-5-21-1835080030-92430221-452798024-4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85"/>
    <w:rsid w:val="000471B6"/>
    <w:rsid w:val="00050529"/>
    <w:rsid w:val="0005265A"/>
    <w:rsid w:val="00070856"/>
    <w:rsid w:val="000C3D0E"/>
    <w:rsid w:val="00102759"/>
    <w:rsid w:val="001057D6"/>
    <w:rsid w:val="00117335"/>
    <w:rsid w:val="00120093"/>
    <w:rsid w:val="00126BF8"/>
    <w:rsid w:val="001936EE"/>
    <w:rsid w:val="001A7595"/>
    <w:rsid w:val="001C1F82"/>
    <w:rsid w:val="00217566"/>
    <w:rsid w:val="00225A6F"/>
    <w:rsid w:val="00284A81"/>
    <w:rsid w:val="002951DA"/>
    <w:rsid w:val="002B7B50"/>
    <w:rsid w:val="002D4BB6"/>
    <w:rsid w:val="003306CC"/>
    <w:rsid w:val="003322A4"/>
    <w:rsid w:val="003345F7"/>
    <w:rsid w:val="0036060F"/>
    <w:rsid w:val="00472F1C"/>
    <w:rsid w:val="004C773C"/>
    <w:rsid w:val="00502B77"/>
    <w:rsid w:val="0054017B"/>
    <w:rsid w:val="0054537B"/>
    <w:rsid w:val="00560B61"/>
    <w:rsid w:val="0056399C"/>
    <w:rsid w:val="00582CB7"/>
    <w:rsid w:val="00591903"/>
    <w:rsid w:val="005F438B"/>
    <w:rsid w:val="005F4E4F"/>
    <w:rsid w:val="006C0068"/>
    <w:rsid w:val="006F24E7"/>
    <w:rsid w:val="007018E7"/>
    <w:rsid w:val="00701BAA"/>
    <w:rsid w:val="007077D1"/>
    <w:rsid w:val="00740501"/>
    <w:rsid w:val="007E4EA2"/>
    <w:rsid w:val="008565AA"/>
    <w:rsid w:val="00872F91"/>
    <w:rsid w:val="00925364"/>
    <w:rsid w:val="00930FDD"/>
    <w:rsid w:val="009609F6"/>
    <w:rsid w:val="009C35A4"/>
    <w:rsid w:val="00A6568B"/>
    <w:rsid w:val="00A70A28"/>
    <w:rsid w:val="00A77524"/>
    <w:rsid w:val="00A77C1C"/>
    <w:rsid w:val="00A77CFB"/>
    <w:rsid w:val="00A9639D"/>
    <w:rsid w:val="00AF2E5D"/>
    <w:rsid w:val="00AF435F"/>
    <w:rsid w:val="00B36FCF"/>
    <w:rsid w:val="00B60B94"/>
    <w:rsid w:val="00B71938"/>
    <w:rsid w:val="00B95F61"/>
    <w:rsid w:val="00C11B0D"/>
    <w:rsid w:val="00C21579"/>
    <w:rsid w:val="00C40BD5"/>
    <w:rsid w:val="00C50BE4"/>
    <w:rsid w:val="00C92E86"/>
    <w:rsid w:val="00CA74C1"/>
    <w:rsid w:val="00CB388E"/>
    <w:rsid w:val="00CC4185"/>
    <w:rsid w:val="00CC4C2A"/>
    <w:rsid w:val="00CC6FC3"/>
    <w:rsid w:val="00D00F92"/>
    <w:rsid w:val="00D1611F"/>
    <w:rsid w:val="00D24E68"/>
    <w:rsid w:val="00DE58CB"/>
    <w:rsid w:val="00DF14B9"/>
    <w:rsid w:val="00E11AC3"/>
    <w:rsid w:val="00E64D27"/>
    <w:rsid w:val="00E804C2"/>
    <w:rsid w:val="00E97137"/>
    <w:rsid w:val="00EB2D38"/>
    <w:rsid w:val="00EE34A4"/>
    <w:rsid w:val="00EE745A"/>
    <w:rsid w:val="00F60E99"/>
    <w:rsid w:val="00F749EC"/>
    <w:rsid w:val="00FB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B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11AC3"/>
    <w:rPr>
      <w:sz w:val="16"/>
      <w:szCs w:val="16"/>
    </w:rPr>
  </w:style>
  <w:style w:type="paragraph" w:styleId="CommentText">
    <w:name w:val="annotation text"/>
    <w:basedOn w:val="Normal"/>
    <w:link w:val="CommentTextChar"/>
    <w:uiPriority w:val="99"/>
    <w:semiHidden/>
    <w:unhideWhenUsed/>
    <w:rsid w:val="00E11AC3"/>
    <w:rPr>
      <w:sz w:val="20"/>
      <w:szCs w:val="20"/>
    </w:rPr>
  </w:style>
  <w:style w:type="character" w:customStyle="1" w:styleId="CommentTextChar">
    <w:name w:val="Comment Text Char"/>
    <w:basedOn w:val="DefaultParagraphFont"/>
    <w:link w:val="CommentText"/>
    <w:uiPriority w:val="99"/>
    <w:semiHidden/>
    <w:rsid w:val="00E11AC3"/>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AC3"/>
    <w:rPr>
      <w:b/>
      <w:bCs/>
    </w:rPr>
  </w:style>
  <w:style w:type="character" w:customStyle="1" w:styleId="CommentSubjectChar">
    <w:name w:val="Comment Subject Char"/>
    <w:basedOn w:val="CommentTextChar"/>
    <w:link w:val="CommentSubject"/>
    <w:uiPriority w:val="99"/>
    <w:semiHidden/>
    <w:rsid w:val="00E11AC3"/>
    <w:rPr>
      <w:rFonts w:ascii="Times New Roman" w:eastAsia="MS Mincho"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11AC3"/>
    <w:rPr>
      <w:sz w:val="16"/>
      <w:szCs w:val="16"/>
    </w:rPr>
  </w:style>
  <w:style w:type="paragraph" w:styleId="CommentText">
    <w:name w:val="annotation text"/>
    <w:basedOn w:val="Normal"/>
    <w:link w:val="CommentTextChar"/>
    <w:uiPriority w:val="99"/>
    <w:semiHidden/>
    <w:unhideWhenUsed/>
    <w:rsid w:val="00E11AC3"/>
    <w:rPr>
      <w:sz w:val="20"/>
      <w:szCs w:val="20"/>
    </w:rPr>
  </w:style>
  <w:style w:type="character" w:customStyle="1" w:styleId="CommentTextChar">
    <w:name w:val="Comment Text Char"/>
    <w:basedOn w:val="DefaultParagraphFont"/>
    <w:link w:val="CommentText"/>
    <w:uiPriority w:val="99"/>
    <w:semiHidden/>
    <w:rsid w:val="00E11AC3"/>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AC3"/>
    <w:rPr>
      <w:b/>
      <w:bCs/>
    </w:rPr>
  </w:style>
  <w:style w:type="character" w:customStyle="1" w:styleId="CommentSubjectChar">
    <w:name w:val="Comment Subject Char"/>
    <w:basedOn w:val="CommentTextChar"/>
    <w:link w:val="CommentSubject"/>
    <w:uiPriority w:val="99"/>
    <w:semiHidden/>
    <w:rsid w:val="00E11AC3"/>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li\Desktop\format%20shkrese%20I%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5071-F89E-4868-B377-511A7C98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shkrese I (2)</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Pegi Luli</dc:creator>
  <cp:lastModifiedBy>Megi Karamani</cp:lastModifiedBy>
  <cp:revision>3</cp:revision>
  <cp:lastPrinted>2017-10-18T11:59:00Z</cp:lastPrinted>
  <dcterms:created xsi:type="dcterms:W3CDTF">2018-10-12T10:02:00Z</dcterms:created>
  <dcterms:modified xsi:type="dcterms:W3CDTF">2018-11-05T13:14:00Z</dcterms:modified>
</cp:coreProperties>
</file>