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B6" w:rsidRPr="00967FF6" w:rsidRDefault="000471B6" w:rsidP="000471B6">
      <w:pPr>
        <w:spacing w:line="276" w:lineRule="auto"/>
        <w:jc w:val="center"/>
        <w:rPr>
          <w:b/>
        </w:rPr>
      </w:pPr>
    </w:p>
    <w:p w:rsidR="00582CB7" w:rsidRDefault="00582CB7" w:rsidP="00FC7146">
      <w:pPr>
        <w:spacing w:line="276" w:lineRule="auto"/>
        <w:rPr>
          <w:b/>
          <w:lang w:val="sq-AL"/>
        </w:rPr>
      </w:pPr>
    </w:p>
    <w:p w:rsidR="00FC7146" w:rsidRDefault="00FC7146" w:rsidP="00FC7146">
      <w:pPr>
        <w:spacing w:line="276" w:lineRule="auto"/>
        <w:rPr>
          <w:b/>
          <w:lang w:val="sq-AL"/>
        </w:rPr>
      </w:pPr>
    </w:p>
    <w:p w:rsidR="00FC7146" w:rsidRDefault="00FC7146" w:rsidP="00FC7146">
      <w:pPr>
        <w:spacing w:line="276" w:lineRule="auto"/>
        <w:rPr>
          <w:b/>
          <w:lang w:val="sq-AL"/>
        </w:rPr>
      </w:pPr>
    </w:p>
    <w:p w:rsidR="00FC7146" w:rsidRDefault="00FC7146" w:rsidP="00FC7146">
      <w:pPr>
        <w:spacing w:line="276" w:lineRule="auto"/>
        <w:rPr>
          <w:b/>
          <w:lang w:val="sq-AL"/>
        </w:rPr>
      </w:pPr>
    </w:p>
    <w:p w:rsidR="00FC7146" w:rsidRPr="003B4697" w:rsidRDefault="00FC7146" w:rsidP="00FC7146">
      <w:pPr>
        <w:jc w:val="center"/>
        <w:rPr>
          <w:rFonts w:eastAsia="MS Mincho"/>
          <w:b/>
          <w:szCs w:val="24"/>
        </w:rPr>
      </w:pPr>
      <w:r>
        <w:rPr>
          <w:b/>
          <w:szCs w:val="24"/>
        </w:rPr>
        <w:t>DECISION</w:t>
      </w:r>
    </w:p>
    <w:p w:rsidR="00FC7146" w:rsidRPr="003B4697" w:rsidRDefault="00FC7146" w:rsidP="00FC7146">
      <w:pPr>
        <w:jc w:val="center"/>
        <w:rPr>
          <w:rFonts w:eastAsia="MS Mincho"/>
          <w:b/>
          <w:szCs w:val="24"/>
          <w:lang w:val="sq-AL"/>
        </w:rPr>
      </w:pPr>
    </w:p>
    <w:p w:rsidR="00FC7146" w:rsidRPr="003B4697" w:rsidRDefault="00FC7146" w:rsidP="00FC7146">
      <w:pPr>
        <w:jc w:val="center"/>
        <w:rPr>
          <w:rFonts w:eastAsia="MS Mincho"/>
          <w:b/>
          <w:szCs w:val="24"/>
        </w:rPr>
      </w:pPr>
      <w:r>
        <w:rPr>
          <w:b/>
          <w:szCs w:val="24"/>
        </w:rPr>
        <w:t>No. 11, dated 7.2.2018</w:t>
      </w:r>
    </w:p>
    <w:p w:rsidR="00FC7146" w:rsidRPr="003B4697" w:rsidRDefault="00FC7146" w:rsidP="00FC7146">
      <w:pPr>
        <w:jc w:val="center"/>
        <w:rPr>
          <w:szCs w:val="24"/>
          <w:lang w:val="sq-AL"/>
        </w:rPr>
      </w:pPr>
    </w:p>
    <w:p w:rsidR="00FC7146" w:rsidRPr="003B4697" w:rsidRDefault="00FC7146" w:rsidP="00FC7146">
      <w:pPr>
        <w:pStyle w:val="Heading9"/>
        <w:ind w:firstLine="0"/>
        <w:jc w:val="left"/>
        <w:rPr>
          <w:szCs w:val="24"/>
          <w:lang w:val="sq-AL"/>
        </w:rPr>
      </w:pPr>
    </w:p>
    <w:p w:rsidR="00FC7146" w:rsidRDefault="00FC7146" w:rsidP="00FC7146">
      <w:pPr>
        <w:jc w:val="center"/>
        <w:rPr>
          <w:b/>
          <w:smallCaps/>
          <w:szCs w:val="24"/>
        </w:rPr>
      </w:pPr>
      <w:r>
        <w:rPr>
          <w:b/>
          <w:smallCaps/>
          <w:szCs w:val="24"/>
        </w:rPr>
        <w:t>On</w:t>
      </w:r>
    </w:p>
    <w:p w:rsidR="00FC7146" w:rsidRPr="00BB150E" w:rsidRDefault="00FC7146" w:rsidP="00FC7146">
      <w:pPr>
        <w:rPr>
          <w:lang w:val="sq-AL"/>
        </w:rPr>
      </w:pPr>
    </w:p>
    <w:p w:rsidR="00FC7146" w:rsidRPr="003B4697" w:rsidRDefault="00FC7146" w:rsidP="00FC7146">
      <w:pPr>
        <w:jc w:val="center"/>
        <w:rPr>
          <w:b/>
          <w:smallCaps/>
          <w:szCs w:val="24"/>
        </w:rPr>
      </w:pPr>
      <w:proofErr w:type="gramStart"/>
      <w:r>
        <w:rPr>
          <w:b/>
          <w:smallCaps/>
          <w:szCs w:val="24"/>
        </w:rPr>
        <w:t>Amendments in the Decision No.</w:t>
      </w:r>
      <w:proofErr w:type="gramEnd"/>
      <w:r>
        <w:rPr>
          <w:b/>
          <w:smallCaps/>
          <w:szCs w:val="24"/>
        </w:rPr>
        <w:t xml:space="preserve"> 39</w:t>
      </w:r>
      <w:r w:rsidR="005F7B84">
        <w:rPr>
          <w:b/>
          <w:smallCaps/>
          <w:szCs w:val="24"/>
        </w:rPr>
        <w:t xml:space="preserve"> dated </w:t>
      </w:r>
      <w:r w:rsidR="005F7B84" w:rsidRPr="003B4697">
        <w:rPr>
          <w:b/>
          <w:smallCaps/>
          <w:szCs w:val="24"/>
          <w:lang w:val="sq-AL"/>
        </w:rPr>
        <w:t xml:space="preserve">25.06.2014 </w:t>
      </w:r>
      <w:r>
        <w:rPr>
          <w:b/>
          <w:smallCaps/>
          <w:szCs w:val="24"/>
        </w:rPr>
        <w:t xml:space="preserve">“On the approval of </w:t>
      </w:r>
      <w:r w:rsidR="00DC3D91">
        <w:rPr>
          <w:b/>
          <w:smallCaps/>
          <w:szCs w:val="24"/>
        </w:rPr>
        <w:t xml:space="preserve">remuneration </w:t>
      </w:r>
      <w:r>
        <w:rPr>
          <w:b/>
          <w:smallCaps/>
          <w:szCs w:val="24"/>
        </w:rPr>
        <w:t xml:space="preserve">rate applied on the required reserve and surpluses of banking entities", as amended </w:t>
      </w:r>
    </w:p>
    <w:p w:rsidR="00FC7146" w:rsidRPr="003B4697" w:rsidRDefault="00FC7146" w:rsidP="00FC7146">
      <w:pPr>
        <w:jc w:val="center"/>
        <w:rPr>
          <w:b/>
          <w:szCs w:val="24"/>
        </w:rPr>
      </w:pPr>
      <w:r>
        <w:rPr>
          <w:b/>
          <w:szCs w:val="24"/>
        </w:rPr>
        <w:t xml:space="preserve"> </w:t>
      </w:r>
    </w:p>
    <w:p w:rsidR="00FC7146" w:rsidRPr="003B4697" w:rsidRDefault="00FC7146" w:rsidP="00FC7146">
      <w:pPr>
        <w:pStyle w:val="IndexHeading"/>
        <w:spacing w:before="0" w:after="0"/>
        <w:jc w:val="center"/>
        <w:rPr>
          <w:rFonts w:ascii="Times New Roman" w:hAnsi="Times New Roman"/>
          <w:b w:val="0"/>
          <w:szCs w:val="24"/>
          <w:lang w:val="sq-AL"/>
        </w:rPr>
      </w:pPr>
    </w:p>
    <w:p w:rsidR="00BE183B" w:rsidRPr="00BE183B" w:rsidRDefault="00BE183B" w:rsidP="00BE183B">
      <w:pPr>
        <w:jc w:val="both"/>
        <w:rPr>
          <w:szCs w:val="24"/>
        </w:rPr>
      </w:pPr>
      <w:r>
        <w:t xml:space="preserve">In accordance with Article 12, paragraph 4, of the Regulation “On minimum reserve requirements held by banks with the Bank of Albania”, adopted with the Decision No. 29, dated 16.05.2012, "On banks in the Republic of Albania", as amended, having regard to the proposal from the Monetary Operations Department, the Supervisory Council of the Bank of Albania, </w:t>
      </w:r>
    </w:p>
    <w:p w:rsidR="00BE183B" w:rsidRPr="00BE183B" w:rsidRDefault="00BE183B" w:rsidP="00BE183B">
      <w:pPr>
        <w:jc w:val="both"/>
        <w:rPr>
          <w:szCs w:val="24"/>
        </w:rPr>
      </w:pPr>
      <w:r>
        <w:t xml:space="preserve"> </w:t>
      </w:r>
    </w:p>
    <w:p w:rsidR="00BE183B" w:rsidRPr="00BE183B" w:rsidRDefault="00BE183B" w:rsidP="00BE183B">
      <w:pPr>
        <w:jc w:val="center"/>
        <w:rPr>
          <w:szCs w:val="24"/>
        </w:rPr>
      </w:pPr>
      <w:r>
        <w:t>DECIDED:</w:t>
      </w:r>
    </w:p>
    <w:p w:rsidR="00BE183B" w:rsidRPr="00BE183B" w:rsidRDefault="00BE183B" w:rsidP="00BE183B">
      <w:pPr>
        <w:jc w:val="both"/>
        <w:rPr>
          <w:szCs w:val="24"/>
          <w:lang w:val="sq-AL"/>
        </w:rPr>
      </w:pPr>
    </w:p>
    <w:p w:rsidR="00BE183B" w:rsidRPr="00BE183B" w:rsidRDefault="00BE183B" w:rsidP="00BE183B">
      <w:pPr>
        <w:numPr>
          <w:ilvl w:val="0"/>
          <w:numId w:val="7"/>
        </w:numPr>
        <w:ind w:left="426" w:hanging="426"/>
        <w:jc w:val="both"/>
        <w:rPr>
          <w:szCs w:val="24"/>
        </w:rPr>
      </w:pPr>
      <w:r>
        <w:t xml:space="preserve">Paragraph 1, in the Decision of the Supervisory Council, No. 39, dated 25.06.2014  “On the approval of remuneration rate applied </w:t>
      </w:r>
      <w:r w:rsidR="00212C08">
        <w:t>to</w:t>
      </w:r>
      <w:r>
        <w:t xml:space="preserve"> the reserve requirements and excess reserves", as amended, is amended to be read:</w:t>
      </w:r>
    </w:p>
    <w:p w:rsidR="00BE183B" w:rsidRPr="00BE183B" w:rsidRDefault="00BE183B" w:rsidP="00BE183B">
      <w:pPr>
        <w:ind w:left="426"/>
        <w:jc w:val="both"/>
        <w:rPr>
          <w:szCs w:val="24"/>
          <w:lang w:val="sq-AL"/>
        </w:rPr>
      </w:pPr>
    </w:p>
    <w:p w:rsidR="00BE183B" w:rsidRPr="00BE183B" w:rsidRDefault="00BE183B" w:rsidP="00BE183B">
      <w:pPr>
        <w:ind w:left="426"/>
        <w:jc w:val="both"/>
        <w:rPr>
          <w:i/>
          <w:szCs w:val="24"/>
        </w:rPr>
      </w:pPr>
      <w:r>
        <w:rPr>
          <w:i/>
          <w:szCs w:val="24"/>
        </w:rPr>
        <w:t xml:space="preserve">“1. The remuneration rate applied </w:t>
      </w:r>
      <w:r w:rsidR="00DC3D91">
        <w:rPr>
          <w:i/>
          <w:szCs w:val="24"/>
        </w:rPr>
        <w:t>to</w:t>
      </w:r>
      <w:r>
        <w:rPr>
          <w:i/>
          <w:szCs w:val="24"/>
        </w:rPr>
        <w:t xml:space="preserve"> reserve requirements denominated in </w:t>
      </w:r>
      <w:proofErr w:type="spellStart"/>
      <w:r>
        <w:rPr>
          <w:i/>
          <w:szCs w:val="24"/>
        </w:rPr>
        <w:t>Lek</w:t>
      </w:r>
      <w:proofErr w:type="spellEnd"/>
      <w:r>
        <w:rPr>
          <w:i/>
          <w:szCs w:val="24"/>
        </w:rPr>
        <w:t xml:space="preserve"> shall be 100% (one hundred) of the interest rate applied </w:t>
      </w:r>
      <w:r w:rsidR="00DC3D91">
        <w:rPr>
          <w:i/>
          <w:szCs w:val="24"/>
        </w:rPr>
        <w:t>to</w:t>
      </w:r>
      <w:r>
        <w:rPr>
          <w:i/>
          <w:szCs w:val="24"/>
        </w:rPr>
        <w:t xml:space="preserve"> repurchase and reverse repurchase agreements, adopted by the Supervisory Council of the Bank of Albania at the last day of the </w:t>
      </w:r>
      <w:r w:rsidRPr="00097120">
        <w:rPr>
          <w:i/>
          <w:szCs w:val="24"/>
        </w:rPr>
        <w:t>base</w:t>
      </w:r>
      <w:r>
        <w:rPr>
          <w:i/>
          <w:szCs w:val="24"/>
        </w:rPr>
        <w:t xml:space="preserve"> period.</w:t>
      </w:r>
    </w:p>
    <w:p w:rsidR="00BE183B" w:rsidRPr="00BE183B" w:rsidRDefault="00BE183B" w:rsidP="00BE183B">
      <w:pPr>
        <w:ind w:left="426"/>
        <w:jc w:val="both"/>
        <w:rPr>
          <w:i/>
          <w:szCs w:val="24"/>
          <w:lang w:val="sq-AL"/>
        </w:rPr>
      </w:pPr>
    </w:p>
    <w:p w:rsidR="00BE183B" w:rsidRPr="00BE183B" w:rsidRDefault="00BE183B" w:rsidP="00BE183B">
      <w:pPr>
        <w:numPr>
          <w:ilvl w:val="0"/>
          <w:numId w:val="7"/>
        </w:numPr>
        <w:ind w:left="426" w:hanging="426"/>
        <w:jc w:val="both"/>
        <w:rPr>
          <w:szCs w:val="24"/>
        </w:rPr>
      </w:pPr>
      <w:r>
        <w:t xml:space="preserve">Paragraph 2, in the Decision of the Supervisory Council, No. 39, dated 25.06.2014  “On the approval of remuneration rate applied </w:t>
      </w:r>
      <w:r w:rsidR="00DC3D91">
        <w:t>to</w:t>
      </w:r>
      <w:r>
        <w:t xml:space="preserve"> the reserve requirements and excess reserves", as amended, is amended to be read:</w:t>
      </w:r>
    </w:p>
    <w:p w:rsidR="00BE183B" w:rsidRPr="00BE183B" w:rsidRDefault="00BE183B" w:rsidP="00BE183B">
      <w:pPr>
        <w:ind w:left="426" w:hanging="426"/>
        <w:jc w:val="both"/>
        <w:rPr>
          <w:szCs w:val="24"/>
          <w:lang w:val="sq-AL"/>
        </w:rPr>
      </w:pPr>
    </w:p>
    <w:p w:rsidR="00BE183B" w:rsidRPr="00BE183B" w:rsidRDefault="00BE183B" w:rsidP="00BE183B">
      <w:pPr>
        <w:ind w:left="450"/>
        <w:jc w:val="both"/>
        <w:rPr>
          <w:i/>
          <w:szCs w:val="24"/>
        </w:rPr>
      </w:pPr>
      <w:r>
        <w:rPr>
          <w:i/>
          <w:szCs w:val="24"/>
        </w:rPr>
        <w:t xml:space="preserve">“2.1 For the maintenance period of reserve requirements from June 2018 to June 2019, the remuneration rate applied </w:t>
      </w:r>
      <w:r w:rsidR="00DC3D91">
        <w:rPr>
          <w:i/>
          <w:szCs w:val="24"/>
        </w:rPr>
        <w:t>to</w:t>
      </w:r>
      <w:r>
        <w:rPr>
          <w:i/>
          <w:szCs w:val="24"/>
        </w:rPr>
        <w:t xml:space="preserve"> reserve requirements in US</w:t>
      </w:r>
      <w:r w:rsidR="00E47D69">
        <w:rPr>
          <w:i/>
          <w:szCs w:val="24"/>
        </w:rPr>
        <w:t xml:space="preserve"> dollar</w:t>
      </w:r>
      <w:r>
        <w:rPr>
          <w:i/>
          <w:szCs w:val="24"/>
        </w:rPr>
        <w:t xml:space="preserve">, held in </w:t>
      </w:r>
      <w:r w:rsidR="00E47D69">
        <w:rPr>
          <w:i/>
          <w:szCs w:val="24"/>
        </w:rPr>
        <w:t xml:space="preserve">US dollar </w:t>
      </w:r>
      <w:r>
        <w:rPr>
          <w:i/>
          <w:szCs w:val="24"/>
        </w:rPr>
        <w:t>and A</w:t>
      </w:r>
      <w:r w:rsidR="00E47D69">
        <w:rPr>
          <w:i/>
          <w:szCs w:val="24"/>
        </w:rPr>
        <w:t xml:space="preserve">lbanian </w:t>
      </w:r>
      <w:proofErr w:type="spellStart"/>
      <w:r w:rsidR="00E47D69">
        <w:rPr>
          <w:i/>
          <w:szCs w:val="24"/>
        </w:rPr>
        <w:t>lek</w:t>
      </w:r>
      <w:proofErr w:type="spellEnd"/>
      <w:r>
        <w:rPr>
          <w:i/>
          <w:szCs w:val="24"/>
        </w:rPr>
        <w:t xml:space="preserve">, respectively, in accordance with Decision No 13. Dated 07.02.2018 </w:t>
      </w:r>
      <w:r w:rsidR="00967FF6">
        <w:rPr>
          <w:i/>
          <w:szCs w:val="24"/>
        </w:rPr>
        <w:t>“On</w:t>
      </w:r>
      <w:r>
        <w:rPr>
          <w:i/>
          <w:szCs w:val="24"/>
        </w:rPr>
        <w:t xml:space="preserve"> the approval of reserve requirements ratio held by banks with the Bank of Albania”, shall be 0%.</w:t>
      </w:r>
    </w:p>
    <w:p w:rsidR="00BE183B" w:rsidRPr="00BE183B" w:rsidRDefault="00BE183B" w:rsidP="00BE183B">
      <w:pPr>
        <w:ind w:left="450"/>
        <w:jc w:val="both"/>
        <w:rPr>
          <w:i/>
          <w:szCs w:val="24"/>
          <w:lang w:val="sq-AL"/>
        </w:rPr>
      </w:pPr>
    </w:p>
    <w:p w:rsidR="00BE183B" w:rsidRPr="00BE183B" w:rsidRDefault="00BE183B" w:rsidP="00BE183B">
      <w:pPr>
        <w:ind w:left="450"/>
        <w:jc w:val="both"/>
        <w:rPr>
          <w:i/>
          <w:szCs w:val="24"/>
        </w:rPr>
      </w:pPr>
      <w:r>
        <w:rPr>
          <w:i/>
          <w:szCs w:val="24"/>
        </w:rPr>
        <w:t xml:space="preserve">2.2 Starting </w:t>
      </w:r>
      <w:r w:rsidR="00DC3D91">
        <w:rPr>
          <w:i/>
          <w:szCs w:val="24"/>
        </w:rPr>
        <w:t>from</w:t>
      </w:r>
      <w:r>
        <w:rPr>
          <w:i/>
          <w:szCs w:val="24"/>
        </w:rPr>
        <w:t xml:space="preserve"> the </w:t>
      </w:r>
      <w:r w:rsidRPr="00097120">
        <w:rPr>
          <w:i/>
          <w:szCs w:val="24"/>
        </w:rPr>
        <w:t>base period</w:t>
      </w:r>
      <w:r>
        <w:rPr>
          <w:i/>
          <w:szCs w:val="24"/>
        </w:rPr>
        <w:t xml:space="preserve"> of </w:t>
      </w:r>
      <w:r w:rsidR="00097120">
        <w:rPr>
          <w:i/>
          <w:szCs w:val="24"/>
        </w:rPr>
        <w:t xml:space="preserve">the </w:t>
      </w:r>
      <w:r>
        <w:rPr>
          <w:i/>
          <w:szCs w:val="24"/>
        </w:rPr>
        <w:t xml:space="preserve">reserve requirements, July 2019, the remuneration rate applied </w:t>
      </w:r>
      <w:r w:rsidR="00097120">
        <w:rPr>
          <w:i/>
          <w:szCs w:val="24"/>
        </w:rPr>
        <w:t>to</w:t>
      </w:r>
      <w:r>
        <w:rPr>
          <w:i/>
          <w:szCs w:val="24"/>
        </w:rPr>
        <w:t xml:space="preserve"> reserve requirements in US</w:t>
      </w:r>
      <w:r w:rsidR="00097120">
        <w:rPr>
          <w:i/>
          <w:szCs w:val="24"/>
        </w:rPr>
        <w:t xml:space="preserve"> dollar</w:t>
      </w:r>
      <w:r>
        <w:rPr>
          <w:i/>
          <w:szCs w:val="24"/>
        </w:rPr>
        <w:t xml:space="preserve">, in compliance </w:t>
      </w:r>
      <w:r>
        <w:rPr>
          <w:i/>
          <w:szCs w:val="24"/>
        </w:rPr>
        <w:lastRenderedPageBreak/>
        <w:t>with the Decision, No. 13, dated 07.02.2018 “On the approval of the reserve requirements rate held by banks with the Bank of Albania” shall be 0%.”</w:t>
      </w:r>
    </w:p>
    <w:p w:rsidR="00BE183B" w:rsidRPr="00BE183B" w:rsidRDefault="00BE183B" w:rsidP="00BE183B">
      <w:pPr>
        <w:jc w:val="both"/>
        <w:rPr>
          <w:i/>
          <w:szCs w:val="24"/>
          <w:lang w:val="sq-AL"/>
        </w:rPr>
      </w:pPr>
    </w:p>
    <w:p w:rsidR="00BE183B" w:rsidRPr="00BE183B" w:rsidRDefault="00BE183B" w:rsidP="00BE183B">
      <w:pPr>
        <w:numPr>
          <w:ilvl w:val="0"/>
          <w:numId w:val="7"/>
        </w:numPr>
        <w:ind w:left="426" w:hanging="426"/>
        <w:jc w:val="both"/>
        <w:rPr>
          <w:szCs w:val="24"/>
        </w:rPr>
      </w:pPr>
      <w:r>
        <w:t xml:space="preserve">Paragraph 3, in the Decision of the Supervisory Council, No. 39, dated 25.06.2014  “On the approval of remuneration rate applied </w:t>
      </w:r>
      <w:r w:rsidR="00DC3D91">
        <w:t>to</w:t>
      </w:r>
      <w:r>
        <w:t xml:space="preserve"> the reserve requirements and excess reserves", as amended, is amended to be read:</w:t>
      </w:r>
    </w:p>
    <w:p w:rsidR="00BE183B" w:rsidRPr="00BE183B" w:rsidRDefault="00BE183B" w:rsidP="00BE183B">
      <w:pPr>
        <w:ind w:left="426"/>
        <w:jc w:val="both"/>
        <w:rPr>
          <w:szCs w:val="24"/>
          <w:lang w:val="sq-AL"/>
        </w:rPr>
      </w:pPr>
    </w:p>
    <w:p w:rsidR="00BE183B" w:rsidRPr="00BE183B" w:rsidRDefault="00BE183B" w:rsidP="00BE183B">
      <w:pPr>
        <w:ind w:left="450"/>
        <w:jc w:val="both"/>
        <w:rPr>
          <w:i/>
          <w:szCs w:val="24"/>
        </w:rPr>
      </w:pPr>
      <w:r>
        <w:rPr>
          <w:i/>
          <w:szCs w:val="24"/>
        </w:rPr>
        <w:t xml:space="preserve">“3.1 For the maintenance period of the reserve requirements from June 2018 to June 2019, the remuneration rate applied </w:t>
      </w:r>
      <w:r w:rsidR="00DC3D91">
        <w:rPr>
          <w:i/>
          <w:szCs w:val="24"/>
        </w:rPr>
        <w:t>to</w:t>
      </w:r>
      <w:r>
        <w:rPr>
          <w:i/>
          <w:szCs w:val="24"/>
        </w:rPr>
        <w:t xml:space="preserve"> reserve requirements in </w:t>
      </w:r>
      <w:r w:rsidR="00097120">
        <w:rPr>
          <w:i/>
          <w:szCs w:val="24"/>
        </w:rPr>
        <w:t>euro</w:t>
      </w:r>
      <w:r>
        <w:rPr>
          <w:i/>
          <w:szCs w:val="24"/>
        </w:rPr>
        <w:t xml:space="preserve">, held in </w:t>
      </w:r>
      <w:r w:rsidR="00097120">
        <w:rPr>
          <w:i/>
          <w:szCs w:val="24"/>
        </w:rPr>
        <w:t>euro</w:t>
      </w:r>
      <w:r>
        <w:rPr>
          <w:i/>
          <w:szCs w:val="24"/>
        </w:rPr>
        <w:t xml:space="preserve">, in accordance with Decision No 13. Dated 07.02.2018 </w:t>
      </w:r>
      <w:r w:rsidR="00DC3D91">
        <w:rPr>
          <w:i/>
          <w:szCs w:val="24"/>
        </w:rPr>
        <w:t>“On</w:t>
      </w:r>
      <w:r>
        <w:rPr>
          <w:i/>
          <w:szCs w:val="24"/>
        </w:rPr>
        <w:t xml:space="preserve"> the approval of reserve requirements ration held by banks with the Bank of Albania</w:t>
      </w:r>
      <w:r w:rsidR="00097120">
        <w:rPr>
          <w:i/>
          <w:szCs w:val="24"/>
        </w:rPr>
        <w:t>”</w:t>
      </w:r>
      <w:r>
        <w:rPr>
          <w:i/>
          <w:szCs w:val="24"/>
        </w:rPr>
        <w:t xml:space="preserve"> shall be equal to the deposit rate set forth by </w:t>
      </w:r>
      <w:r w:rsidR="00DC3D91">
        <w:rPr>
          <w:i/>
          <w:szCs w:val="24"/>
        </w:rPr>
        <w:t>the</w:t>
      </w:r>
      <w:r>
        <w:rPr>
          <w:i/>
          <w:szCs w:val="24"/>
        </w:rPr>
        <w:t xml:space="preserve"> European Central Bank (ECB). The remuneration rate applied </w:t>
      </w:r>
      <w:r w:rsidR="00097120">
        <w:rPr>
          <w:i/>
          <w:szCs w:val="24"/>
        </w:rPr>
        <w:t>to</w:t>
      </w:r>
      <w:r>
        <w:rPr>
          <w:i/>
          <w:szCs w:val="24"/>
        </w:rPr>
        <w:t xml:space="preserve"> reserve requirements in </w:t>
      </w:r>
      <w:r w:rsidR="00097120">
        <w:rPr>
          <w:i/>
          <w:szCs w:val="24"/>
        </w:rPr>
        <w:t>euro</w:t>
      </w:r>
      <w:r>
        <w:rPr>
          <w:i/>
          <w:szCs w:val="24"/>
        </w:rPr>
        <w:t xml:space="preserve"> held in </w:t>
      </w:r>
      <w:r w:rsidR="00097120">
        <w:rPr>
          <w:i/>
          <w:szCs w:val="24"/>
        </w:rPr>
        <w:t xml:space="preserve">Albanian </w:t>
      </w:r>
      <w:proofErr w:type="spellStart"/>
      <w:r w:rsidR="00097120">
        <w:rPr>
          <w:i/>
          <w:szCs w:val="24"/>
        </w:rPr>
        <w:t>lek</w:t>
      </w:r>
      <w:proofErr w:type="spellEnd"/>
      <w:r w:rsidR="00097120">
        <w:rPr>
          <w:i/>
          <w:szCs w:val="24"/>
        </w:rPr>
        <w:t xml:space="preserve"> </w:t>
      </w:r>
      <w:r>
        <w:rPr>
          <w:i/>
          <w:szCs w:val="24"/>
        </w:rPr>
        <w:t>shall be 0%.</w:t>
      </w:r>
    </w:p>
    <w:p w:rsidR="00BE183B" w:rsidRPr="00BE183B" w:rsidRDefault="00BE183B" w:rsidP="00BE183B">
      <w:pPr>
        <w:ind w:left="450"/>
        <w:jc w:val="both"/>
        <w:rPr>
          <w:i/>
          <w:szCs w:val="24"/>
          <w:lang w:val="sq-AL"/>
        </w:rPr>
      </w:pPr>
    </w:p>
    <w:p w:rsidR="00BE183B" w:rsidRPr="00BE183B" w:rsidRDefault="00BE183B" w:rsidP="00BE183B">
      <w:pPr>
        <w:ind w:left="450"/>
        <w:jc w:val="both"/>
        <w:rPr>
          <w:i/>
          <w:szCs w:val="24"/>
        </w:rPr>
      </w:pPr>
      <w:r>
        <w:rPr>
          <w:i/>
          <w:szCs w:val="24"/>
        </w:rPr>
        <w:t xml:space="preserve">“3.2 </w:t>
      </w:r>
      <w:r w:rsidR="00DC3D91">
        <w:rPr>
          <w:i/>
          <w:szCs w:val="24"/>
        </w:rPr>
        <w:t>Starting</w:t>
      </w:r>
      <w:r>
        <w:rPr>
          <w:i/>
          <w:szCs w:val="24"/>
        </w:rPr>
        <w:t xml:space="preserve"> from the maintenance period of the reserve requirements, July 2019, the remuneration rate applied </w:t>
      </w:r>
      <w:r w:rsidR="00DC3D91">
        <w:rPr>
          <w:i/>
          <w:szCs w:val="24"/>
        </w:rPr>
        <w:t>to</w:t>
      </w:r>
      <w:r>
        <w:rPr>
          <w:i/>
          <w:szCs w:val="24"/>
        </w:rPr>
        <w:t xml:space="preserve"> reserve requirements in </w:t>
      </w:r>
      <w:r w:rsidR="00097120">
        <w:rPr>
          <w:i/>
          <w:szCs w:val="24"/>
        </w:rPr>
        <w:t>euro</w:t>
      </w:r>
      <w:r>
        <w:rPr>
          <w:i/>
          <w:szCs w:val="24"/>
        </w:rPr>
        <w:t xml:space="preserve">, in accordance with Decision No 13. Dated 07.02.2018 </w:t>
      </w:r>
      <w:r w:rsidR="00DC3D91">
        <w:rPr>
          <w:i/>
          <w:szCs w:val="24"/>
        </w:rPr>
        <w:t>“On</w:t>
      </w:r>
      <w:r>
        <w:rPr>
          <w:i/>
          <w:szCs w:val="24"/>
        </w:rPr>
        <w:t xml:space="preserve"> the approval of reserve requirements ration held by banks with the Bank of Albania</w:t>
      </w:r>
      <w:r w:rsidR="00097120">
        <w:rPr>
          <w:i/>
          <w:szCs w:val="24"/>
        </w:rPr>
        <w:t>”</w:t>
      </w:r>
      <w:r>
        <w:rPr>
          <w:i/>
          <w:szCs w:val="24"/>
        </w:rPr>
        <w:t xml:space="preserve"> shall be equal to the deposit rate set forth by the European Central Bank (ECB).</w:t>
      </w:r>
    </w:p>
    <w:p w:rsidR="00BE183B" w:rsidRPr="00BE183B" w:rsidRDefault="00BE183B" w:rsidP="00BE183B">
      <w:pPr>
        <w:jc w:val="both"/>
        <w:rPr>
          <w:szCs w:val="24"/>
          <w:lang w:val="sq-AL"/>
        </w:rPr>
      </w:pPr>
    </w:p>
    <w:p w:rsidR="00BE183B" w:rsidRPr="00BE183B" w:rsidRDefault="00BE183B" w:rsidP="00BE183B">
      <w:pPr>
        <w:numPr>
          <w:ilvl w:val="0"/>
          <w:numId w:val="7"/>
        </w:numPr>
        <w:ind w:left="426" w:hanging="426"/>
        <w:jc w:val="both"/>
        <w:rPr>
          <w:szCs w:val="24"/>
        </w:rPr>
      </w:pPr>
      <w:r>
        <w:t xml:space="preserve">The Monetary Operations Department and the </w:t>
      </w:r>
      <w:r w:rsidR="00DC3D91" w:rsidRPr="00DC3D91">
        <w:rPr>
          <w:color w:val="212529"/>
          <w:shd w:val="clear" w:color="auto" w:fill="FFFFFF"/>
        </w:rPr>
        <w:t>Payment Systems and Accounting and Financ</w:t>
      </w:r>
      <w:r w:rsidR="00DC3D91">
        <w:rPr>
          <w:color w:val="212529"/>
          <w:shd w:val="clear" w:color="auto" w:fill="FFFFFF"/>
        </w:rPr>
        <w:t>e</w:t>
      </w:r>
      <w:r>
        <w:t xml:space="preserve"> </w:t>
      </w:r>
      <w:r w:rsidR="00097120">
        <w:t xml:space="preserve">Department </w:t>
      </w:r>
      <w:r w:rsidR="00DC3D91">
        <w:t>are</w:t>
      </w:r>
      <w:r>
        <w:t xml:space="preserve"> responsible for the implementation of this Decision.</w:t>
      </w:r>
    </w:p>
    <w:p w:rsidR="00BE183B" w:rsidRPr="00BE183B" w:rsidRDefault="00BE183B" w:rsidP="00BE183B">
      <w:pPr>
        <w:ind w:left="426" w:hanging="426"/>
        <w:jc w:val="both"/>
        <w:rPr>
          <w:szCs w:val="24"/>
          <w:lang w:val="sq-AL"/>
        </w:rPr>
      </w:pPr>
    </w:p>
    <w:p w:rsidR="00BE183B" w:rsidRPr="00BE183B" w:rsidRDefault="00BE183B" w:rsidP="00BE183B">
      <w:pPr>
        <w:numPr>
          <w:ilvl w:val="0"/>
          <w:numId w:val="7"/>
        </w:numPr>
        <w:ind w:left="426" w:hanging="426"/>
        <w:jc w:val="both"/>
        <w:rPr>
          <w:szCs w:val="24"/>
        </w:rPr>
      </w:pPr>
      <w:r>
        <w:t xml:space="preserve">The Monetary Operations Department </w:t>
      </w:r>
      <w:r w:rsidR="00DC3D91">
        <w:t>is</w:t>
      </w:r>
      <w:r>
        <w:t xml:space="preserve"> responsible to inform all banks upon the approval of this Decision.</w:t>
      </w:r>
    </w:p>
    <w:p w:rsidR="00BE183B" w:rsidRPr="00BE183B" w:rsidRDefault="00BE183B" w:rsidP="00BE183B">
      <w:pPr>
        <w:ind w:left="426" w:hanging="426"/>
        <w:jc w:val="both"/>
        <w:rPr>
          <w:szCs w:val="24"/>
          <w:lang w:val="sq-AL"/>
        </w:rPr>
      </w:pPr>
    </w:p>
    <w:p w:rsidR="00BE183B" w:rsidRPr="00BE183B" w:rsidRDefault="00BE183B" w:rsidP="00BE183B">
      <w:pPr>
        <w:numPr>
          <w:ilvl w:val="0"/>
          <w:numId w:val="7"/>
        </w:numPr>
        <w:ind w:left="426" w:hanging="426"/>
        <w:jc w:val="both"/>
        <w:rPr>
          <w:szCs w:val="24"/>
        </w:rPr>
      </w:pPr>
      <w:r>
        <w:t>The Research Department is responsible for the publication of this Decision in the Official Bulletin and website of the Bank of Albania</w:t>
      </w:r>
      <w:bookmarkStart w:id="0" w:name="_GoBack"/>
      <w:bookmarkEnd w:id="0"/>
      <w:r>
        <w:t>.</w:t>
      </w:r>
    </w:p>
    <w:p w:rsidR="00BE183B" w:rsidRPr="00BE183B" w:rsidRDefault="00BE183B" w:rsidP="00BE183B">
      <w:pPr>
        <w:jc w:val="both"/>
        <w:rPr>
          <w:szCs w:val="24"/>
          <w:lang w:val="sq-AL"/>
        </w:rPr>
      </w:pPr>
    </w:p>
    <w:p w:rsidR="00BE183B" w:rsidRPr="00BE183B" w:rsidRDefault="00BE183B" w:rsidP="00BE183B">
      <w:pPr>
        <w:jc w:val="both"/>
        <w:rPr>
          <w:szCs w:val="24"/>
        </w:rPr>
      </w:pPr>
      <w:r>
        <w:t>This Decision shall enter into force on 24 July 2018.</w:t>
      </w:r>
    </w:p>
    <w:p w:rsidR="00FC7146" w:rsidRPr="003B4697" w:rsidRDefault="00FC7146" w:rsidP="00FC7146">
      <w:pPr>
        <w:jc w:val="both"/>
        <w:rPr>
          <w:szCs w:val="24"/>
          <w:lang w:val="sq-AL"/>
        </w:rPr>
      </w:pPr>
    </w:p>
    <w:p w:rsidR="00FC7146" w:rsidRPr="003B4697" w:rsidRDefault="00FC7146" w:rsidP="00FC7146">
      <w:pPr>
        <w:jc w:val="both"/>
        <w:rPr>
          <w:szCs w:val="24"/>
          <w:lang w:val="sq-AL"/>
        </w:rPr>
      </w:pPr>
    </w:p>
    <w:tbl>
      <w:tblPr>
        <w:tblW w:w="0" w:type="auto"/>
        <w:tblLook w:val="04A0" w:firstRow="1" w:lastRow="0" w:firstColumn="1" w:lastColumn="0" w:noHBand="0" w:noVBand="1"/>
      </w:tblPr>
      <w:tblGrid>
        <w:gridCol w:w="2892"/>
        <w:gridCol w:w="2892"/>
        <w:gridCol w:w="2892"/>
      </w:tblGrid>
      <w:tr w:rsidR="00FC7146" w:rsidRPr="003B4697" w:rsidTr="00BC3132">
        <w:trPr>
          <w:trHeight w:val="378"/>
        </w:trPr>
        <w:tc>
          <w:tcPr>
            <w:tcW w:w="2892" w:type="dxa"/>
            <w:vAlign w:val="center"/>
          </w:tcPr>
          <w:p w:rsidR="00FC7146" w:rsidRPr="003B4697" w:rsidRDefault="00FC7146" w:rsidP="00BC3132">
            <w:pPr>
              <w:jc w:val="center"/>
              <w:rPr>
                <w:rFonts w:eastAsia="MS Mincho"/>
                <w:szCs w:val="24"/>
              </w:rPr>
            </w:pPr>
            <w:r>
              <w:rPr>
                <w:b/>
                <w:szCs w:val="24"/>
              </w:rPr>
              <w:t>SECRETARY</w:t>
            </w:r>
          </w:p>
        </w:tc>
        <w:tc>
          <w:tcPr>
            <w:tcW w:w="2892" w:type="dxa"/>
            <w:vAlign w:val="center"/>
          </w:tcPr>
          <w:p w:rsidR="00FC7146" w:rsidRPr="003B4697" w:rsidRDefault="00FC7146" w:rsidP="00BC3132">
            <w:pPr>
              <w:jc w:val="center"/>
              <w:rPr>
                <w:rFonts w:eastAsia="MS Mincho"/>
                <w:szCs w:val="24"/>
                <w:lang w:val="sq-AL"/>
              </w:rPr>
            </w:pPr>
          </w:p>
        </w:tc>
        <w:tc>
          <w:tcPr>
            <w:tcW w:w="2892" w:type="dxa"/>
            <w:vAlign w:val="center"/>
          </w:tcPr>
          <w:p w:rsidR="00FC7146" w:rsidRPr="003B4697" w:rsidRDefault="00FC7146" w:rsidP="00BC3132">
            <w:pPr>
              <w:jc w:val="center"/>
              <w:rPr>
                <w:rFonts w:eastAsia="MS Mincho"/>
                <w:szCs w:val="24"/>
              </w:rPr>
            </w:pPr>
            <w:r>
              <w:rPr>
                <w:b/>
                <w:szCs w:val="24"/>
              </w:rPr>
              <w:t>CHAIR</w:t>
            </w:r>
          </w:p>
        </w:tc>
      </w:tr>
      <w:tr w:rsidR="00FC7146" w:rsidRPr="003B4697" w:rsidTr="00BC3132">
        <w:tc>
          <w:tcPr>
            <w:tcW w:w="2892" w:type="dxa"/>
            <w:vAlign w:val="center"/>
          </w:tcPr>
          <w:p w:rsidR="00FC7146" w:rsidRPr="003B4697" w:rsidRDefault="00FC7146" w:rsidP="00BC3132">
            <w:pPr>
              <w:jc w:val="cente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r>
      <w:tr w:rsidR="00FC7146" w:rsidRPr="003B4697" w:rsidTr="00BC3132">
        <w:tc>
          <w:tcPr>
            <w:tcW w:w="2892" w:type="dxa"/>
            <w:vAlign w:val="center"/>
          </w:tcPr>
          <w:p w:rsidR="00FC7146" w:rsidRPr="003B4697" w:rsidRDefault="00FC7146" w:rsidP="00BC3132">
            <w:pP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r>
      <w:tr w:rsidR="00FC7146" w:rsidRPr="003B4697" w:rsidTr="00BC3132">
        <w:tc>
          <w:tcPr>
            <w:tcW w:w="2892" w:type="dxa"/>
            <w:vAlign w:val="center"/>
          </w:tcPr>
          <w:p w:rsidR="00FC7146" w:rsidRPr="003B4697" w:rsidRDefault="00FC7146" w:rsidP="00BC3132">
            <w:pP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r>
      <w:tr w:rsidR="00FC7146" w:rsidRPr="003B4697" w:rsidTr="00BC3132">
        <w:tc>
          <w:tcPr>
            <w:tcW w:w="2892" w:type="dxa"/>
            <w:vAlign w:val="center"/>
          </w:tcPr>
          <w:p w:rsidR="00FC7146" w:rsidRPr="003B4697" w:rsidRDefault="00FC7146" w:rsidP="00BC3132">
            <w:pP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c>
          <w:tcPr>
            <w:tcW w:w="2892" w:type="dxa"/>
            <w:vAlign w:val="center"/>
          </w:tcPr>
          <w:p w:rsidR="00FC7146" w:rsidRPr="003B4697" w:rsidRDefault="00FC7146" w:rsidP="00BC3132">
            <w:pPr>
              <w:jc w:val="center"/>
              <w:rPr>
                <w:rFonts w:eastAsia="MS Mincho"/>
                <w:szCs w:val="24"/>
                <w:lang w:val="sq-AL"/>
              </w:rPr>
            </w:pPr>
          </w:p>
        </w:tc>
      </w:tr>
      <w:tr w:rsidR="00FC7146" w:rsidRPr="003B4697" w:rsidTr="00BC3132">
        <w:tc>
          <w:tcPr>
            <w:tcW w:w="2892" w:type="dxa"/>
            <w:vAlign w:val="center"/>
          </w:tcPr>
          <w:p w:rsidR="00FC7146" w:rsidRPr="003B4697" w:rsidRDefault="00FC7146" w:rsidP="00BC3132">
            <w:pPr>
              <w:jc w:val="center"/>
              <w:rPr>
                <w:rFonts w:eastAsia="MS Mincho"/>
                <w:szCs w:val="24"/>
              </w:rPr>
            </w:pPr>
            <w:r>
              <w:rPr>
                <w:b/>
                <w:bCs/>
                <w:szCs w:val="24"/>
              </w:rPr>
              <w:t>Elvis ÇIBUKU</w:t>
            </w:r>
          </w:p>
        </w:tc>
        <w:tc>
          <w:tcPr>
            <w:tcW w:w="2892" w:type="dxa"/>
            <w:vAlign w:val="center"/>
          </w:tcPr>
          <w:p w:rsidR="00FC7146" w:rsidRPr="003B4697" w:rsidRDefault="00FC7146" w:rsidP="00BC3132">
            <w:pPr>
              <w:jc w:val="center"/>
              <w:rPr>
                <w:rFonts w:eastAsia="MS Mincho"/>
                <w:szCs w:val="24"/>
                <w:lang w:val="sq-AL"/>
              </w:rPr>
            </w:pPr>
          </w:p>
        </w:tc>
        <w:tc>
          <w:tcPr>
            <w:tcW w:w="2892" w:type="dxa"/>
            <w:vAlign w:val="center"/>
          </w:tcPr>
          <w:p w:rsidR="00FC7146" w:rsidRPr="003B4697" w:rsidRDefault="00FC7146" w:rsidP="00BC3132">
            <w:pPr>
              <w:jc w:val="center"/>
              <w:rPr>
                <w:rFonts w:eastAsia="MS Mincho"/>
                <w:szCs w:val="24"/>
              </w:rPr>
            </w:pPr>
            <w:r>
              <w:rPr>
                <w:b/>
                <w:bCs/>
                <w:szCs w:val="24"/>
              </w:rPr>
              <w:t>Gent SEJKO</w:t>
            </w:r>
          </w:p>
        </w:tc>
      </w:tr>
    </w:tbl>
    <w:p w:rsidR="00FC7146" w:rsidRPr="003B4697" w:rsidRDefault="00FC7146" w:rsidP="00FC7146">
      <w:pPr>
        <w:jc w:val="both"/>
        <w:rPr>
          <w:szCs w:val="24"/>
          <w:lang w:val="sq-AL"/>
        </w:rPr>
      </w:pPr>
    </w:p>
    <w:p w:rsidR="00582CB7" w:rsidRPr="00F60D14" w:rsidRDefault="00582CB7" w:rsidP="000471B6">
      <w:pPr>
        <w:spacing w:line="276" w:lineRule="auto"/>
        <w:jc w:val="center"/>
        <w:rPr>
          <w:b/>
          <w:lang w:val="sq-AL"/>
        </w:rPr>
      </w:pPr>
    </w:p>
    <w:p w:rsidR="00582CB7" w:rsidRPr="00582CB7" w:rsidRDefault="00582CB7" w:rsidP="00582CB7">
      <w:pPr>
        <w:rPr>
          <w:rFonts w:eastAsiaTheme="minorHAnsi"/>
          <w:lang w:val="sq-AL"/>
        </w:rPr>
      </w:pPr>
    </w:p>
    <w:p w:rsidR="00582CB7" w:rsidRPr="00582CB7" w:rsidRDefault="00582CB7" w:rsidP="00582CB7">
      <w:pPr>
        <w:rPr>
          <w:rFonts w:asciiTheme="minorHAnsi" w:eastAsiaTheme="minorHAnsi" w:hAnsiTheme="minorHAnsi" w:cstheme="minorBidi"/>
          <w:sz w:val="22"/>
          <w:szCs w:val="22"/>
        </w:rPr>
      </w:pPr>
    </w:p>
    <w:p w:rsidR="007077D1" w:rsidRPr="007077D1" w:rsidRDefault="007077D1" w:rsidP="003345F7">
      <w:pPr>
        <w:spacing w:line="276" w:lineRule="auto"/>
        <w:jc w:val="both"/>
        <w:rPr>
          <w:sz w:val="20"/>
          <w:lang w:val="sq-AL"/>
        </w:rPr>
      </w:pPr>
    </w:p>
    <w:sectPr w:rsidR="007077D1" w:rsidRPr="007077D1" w:rsidSect="00591903">
      <w:headerReference w:type="first" r:id="rId9"/>
      <w:pgSz w:w="11907" w:h="16839" w:code="9"/>
      <w:pgMar w:top="1134" w:right="1701" w:bottom="1134" w:left="1701" w:header="1134" w:footer="13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78" w:rsidRDefault="00CC5C78" w:rsidP="007E4EA2">
      <w:r>
        <w:separator/>
      </w:r>
    </w:p>
  </w:endnote>
  <w:endnote w:type="continuationSeparator" w:id="0">
    <w:p w:rsidR="00CC5C78" w:rsidRDefault="00CC5C78" w:rsidP="007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78" w:rsidRDefault="00CC5C78" w:rsidP="007E4EA2">
      <w:r>
        <w:separator/>
      </w:r>
    </w:p>
  </w:footnote>
  <w:footnote w:type="continuationSeparator" w:id="0">
    <w:p w:rsidR="00CC5C78" w:rsidRDefault="00CC5C78" w:rsidP="007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03" w:rsidRPr="007E4EA2" w:rsidRDefault="00A77524" w:rsidP="00591903">
    <w:pPr>
      <w:ind w:left="714"/>
      <w:jc w:val="both"/>
      <w:rPr>
        <w:sz w:val="16"/>
      </w:rPr>
    </w:pPr>
    <w:r>
      <w:rPr>
        <w:rFonts w:ascii="Arial" w:hAnsi="Arial"/>
        <w:noProof/>
        <w:sz w:val="26"/>
        <w:szCs w:val="26"/>
        <w:lang w:val="sq-AL" w:eastAsia="sq-AL"/>
      </w:rPr>
      <w:drawing>
        <wp:anchor distT="0" distB="0" distL="114300" distR="114300" simplePos="0" relativeHeight="251677696" behindDoc="1" locked="0" layoutInCell="1" allowOverlap="1" wp14:anchorId="2142425E" wp14:editId="05F8D310">
          <wp:simplePos x="0" y="0"/>
          <wp:positionH relativeFrom="column">
            <wp:posOffset>-477256</wp:posOffset>
          </wp:positionH>
          <wp:positionV relativeFrom="paragraph">
            <wp:posOffset>-160020</wp:posOffset>
          </wp:positionV>
          <wp:extent cx="1304925" cy="1219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e-jubileut-te-Skenderbeut.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219200"/>
                  </a:xfrm>
                  <a:prstGeom prst="rect">
                    <a:avLst/>
                  </a:prstGeom>
                </pic:spPr>
              </pic:pic>
            </a:graphicData>
          </a:graphic>
          <wp14:sizeRelH relativeFrom="page">
            <wp14:pctWidth>0</wp14:pctWidth>
          </wp14:sizeRelH>
          <wp14:sizeRelV relativeFrom="page">
            <wp14:pctHeight>0</wp14:pctHeight>
          </wp14:sizeRelV>
        </wp:anchor>
      </w:drawing>
    </w:r>
    <w:r w:rsidR="00472F1C" w:rsidRPr="007E4EA2">
      <w:rPr>
        <w:rFonts w:ascii="Arial" w:hAnsi="Arial"/>
        <w:noProof/>
        <w:sz w:val="26"/>
        <w:szCs w:val="26"/>
        <w:lang w:val="sq-AL" w:eastAsia="sq-AL"/>
      </w:rPr>
      <w:drawing>
        <wp:anchor distT="0" distB="0" distL="114300" distR="114300" simplePos="0" relativeHeight="251668480" behindDoc="1" locked="0" layoutInCell="1" allowOverlap="1" wp14:anchorId="35C5C828" wp14:editId="7F9C7AF9">
          <wp:simplePos x="0" y="0"/>
          <wp:positionH relativeFrom="column">
            <wp:posOffset>2466975</wp:posOffset>
          </wp:positionH>
          <wp:positionV relativeFrom="paragraph">
            <wp:posOffset>-99060</wp:posOffset>
          </wp:positionV>
          <wp:extent cx="464820" cy="699770"/>
          <wp:effectExtent l="0" t="0" r="0" b="5080"/>
          <wp:wrapTight wrapText="bothSides">
            <wp:wrapPolygon edited="0">
              <wp:start x="0" y="0"/>
              <wp:lineTo x="0" y="19405"/>
              <wp:lineTo x="6197" y="21169"/>
              <wp:lineTo x="15049" y="21169"/>
              <wp:lineTo x="20361" y="19405"/>
              <wp:lineTo x="20361"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482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EE" w:rsidRPr="007E4EA2">
      <w:rPr>
        <w:rFonts w:ascii="Arial" w:hAnsi="Arial"/>
        <w:noProof/>
        <w:sz w:val="26"/>
        <w:szCs w:val="26"/>
        <w:lang w:val="sq-AL" w:eastAsia="sq-AL"/>
      </w:rPr>
      <mc:AlternateContent>
        <mc:Choice Requires="wps">
          <w:drawing>
            <wp:anchor distT="4294967295" distB="4294967295" distL="114300" distR="114300" simplePos="0" relativeHeight="251667456" behindDoc="1" locked="0" layoutInCell="1" allowOverlap="1" wp14:anchorId="3126977F" wp14:editId="308EB27D">
              <wp:simplePos x="0" y="0"/>
              <wp:positionH relativeFrom="column">
                <wp:posOffset>-323850</wp:posOffset>
              </wp:positionH>
              <wp:positionV relativeFrom="paragraph">
                <wp:posOffset>509270</wp:posOffset>
              </wp:positionV>
              <wp:extent cx="2782570" cy="0"/>
              <wp:effectExtent l="0" t="0" r="1778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1577BB5" id="Straight Connector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40.1pt" to="193.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" strokeweight="1pt">
              <o:lock v:ext="edit" shapetype="f"/>
            </v:line>
          </w:pict>
        </mc:Fallback>
      </mc:AlternateContent>
    </w:r>
  </w:p>
  <w:p w:rsidR="00591903" w:rsidRPr="007E4EA2" w:rsidRDefault="00591903" w:rsidP="00591903">
    <w:pPr>
      <w:spacing w:line="360" w:lineRule="auto"/>
      <w:jc w:val="center"/>
      <w:rPr>
        <w:rFonts w:ascii="Helvetica" w:hAnsi="Helvetica" w:cs="Helvetica"/>
        <w:b/>
        <w:spacing w:val="20"/>
        <w:sz w:val="15"/>
        <w:szCs w:val="15"/>
        <w:lang w:val="it-IT"/>
      </w:rPr>
    </w:pPr>
  </w:p>
  <w:p w:rsidR="00591903" w:rsidRPr="007E4EA2" w:rsidRDefault="00591903" w:rsidP="00591903">
    <w:pPr>
      <w:spacing w:line="360" w:lineRule="auto"/>
      <w:jc w:val="center"/>
      <w:rPr>
        <w:rFonts w:ascii="Helvetica" w:hAnsi="Helvetica" w:cs="Helvetica"/>
        <w:b/>
        <w:spacing w:val="20"/>
        <w:sz w:val="13"/>
        <w:szCs w:val="15"/>
        <w:lang w:val="it-IT"/>
      </w:rPr>
    </w:pPr>
  </w:p>
  <w:p w:rsidR="00591903" w:rsidRPr="007E4EA2" w:rsidRDefault="00591903" w:rsidP="00591903">
    <w:pPr>
      <w:spacing w:line="360" w:lineRule="auto"/>
      <w:rPr>
        <w:rFonts w:ascii="Helvetica" w:hAnsi="Helvetica" w:cs="Helvetica"/>
        <w:b/>
        <w:spacing w:val="20"/>
        <w:sz w:val="15"/>
        <w:szCs w:val="15"/>
      </w:rPr>
    </w:pPr>
    <w:r w:rsidRPr="007E4EA2">
      <w:rPr>
        <w:rFonts w:ascii="Arial" w:hAnsi="Arial"/>
        <w:noProof/>
        <w:sz w:val="26"/>
        <w:szCs w:val="26"/>
        <w:lang w:val="sq-AL" w:eastAsia="sq-AL"/>
      </w:rPr>
      <mc:AlternateContent>
        <mc:Choice Requires="wps">
          <w:drawing>
            <wp:anchor distT="4294967295" distB="4294967295" distL="114300" distR="114300" simplePos="0" relativeHeight="251669504" behindDoc="1" locked="0" layoutInCell="1" allowOverlap="1" wp14:anchorId="6D622698" wp14:editId="696F9678">
              <wp:simplePos x="0" y="0"/>
              <wp:positionH relativeFrom="column">
                <wp:posOffset>2934071</wp:posOffset>
              </wp:positionH>
              <wp:positionV relativeFrom="paragraph">
                <wp:posOffset>74930</wp:posOffset>
              </wp:positionV>
              <wp:extent cx="2782570" cy="0"/>
              <wp:effectExtent l="0" t="0" r="1778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0291089"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1.05pt,5.9pt" to="450.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" strokeweight="1pt">
              <o:lock v:ext="edit" shapetype="f"/>
            </v:line>
          </w:pict>
        </mc:Fallback>
      </mc:AlternateContent>
    </w:r>
  </w:p>
  <w:p w:rsidR="00591903" w:rsidRPr="007E4EA2" w:rsidRDefault="00591903" w:rsidP="00591903">
    <w:pPr>
      <w:jc w:val="center"/>
      <w:rPr>
        <w:rFonts w:ascii="Helvetica" w:hAnsi="Helvetica"/>
        <w:b/>
        <w:spacing w:val="20"/>
        <w:sz w:val="4"/>
        <w:szCs w:val="4"/>
        <w:lang w:val="it-IT"/>
      </w:rPr>
    </w:pPr>
  </w:p>
  <w:p w:rsidR="00591903" w:rsidRPr="007E4EA2" w:rsidRDefault="00591903" w:rsidP="00591903">
    <w:pPr>
      <w:jc w:val="center"/>
      <w:rPr>
        <w:rFonts w:ascii="Helvetica" w:hAnsi="Helvetica"/>
        <w:b/>
        <w:spacing w:val="20"/>
        <w:sz w:val="15"/>
        <w:szCs w:val="15"/>
      </w:rPr>
    </w:pPr>
    <w:r>
      <w:rPr>
        <w:rFonts w:ascii="Helvetica" w:hAnsi="Helvetica"/>
        <w:b/>
        <w:sz w:val="15"/>
        <w:szCs w:val="15"/>
      </w:rPr>
      <w:t xml:space="preserve">R E P U B L I </w:t>
    </w:r>
    <w:proofErr w:type="gramStart"/>
    <w:r>
      <w:rPr>
        <w:rFonts w:ascii="Helvetica" w:hAnsi="Helvetica"/>
        <w:b/>
        <w:sz w:val="15"/>
        <w:szCs w:val="15"/>
      </w:rPr>
      <w:t>C  O</w:t>
    </w:r>
    <w:proofErr w:type="gramEnd"/>
    <w:r>
      <w:rPr>
        <w:rFonts w:ascii="Helvetica" w:hAnsi="Helvetica"/>
        <w:b/>
        <w:sz w:val="15"/>
        <w:szCs w:val="15"/>
      </w:rPr>
      <w:t xml:space="preserve"> F  A L B A N I A</w:t>
    </w:r>
  </w:p>
  <w:p w:rsidR="00591903" w:rsidRPr="007E4EA2" w:rsidRDefault="00591903" w:rsidP="00591903">
    <w:pPr>
      <w:jc w:val="center"/>
      <w:rPr>
        <w:b/>
      </w:rPr>
    </w:pPr>
    <w:r>
      <w:rPr>
        <w:b/>
      </w:rPr>
      <w:t>BANK OF ALBANIA</w:t>
    </w:r>
  </w:p>
  <w:p w:rsidR="00591903" w:rsidRPr="00591903" w:rsidRDefault="00CC4185" w:rsidP="00591903">
    <w:pPr>
      <w:jc w:val="center"/>
      <w:rPr>
        <w:b/>
        <w:sz w:val="20"/>
      </w:rPr>
    </w:pPr>
    <w:r>
      <w:rPr>
        <w:b/>
        <w:sz w:val="20"/>
      </w:rPr>
      <w:t>SUPERVISORY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A37"/>
    <w:multiLevelType w:val="hybridMultilevel"/>
    <w:tmpl w:val="71D80A3C"/>
    <w:lvl w:ilvl="0" w:tplc="347A9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82F77"/>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nsid w:val="43915ACD"/>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500FB"/>
    <w:multiLevelType w:val="hybridMultilevel"/>
    <w:tmpl w:val="33DE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14FC8"/>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6735B"/>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tjan Suli">
    <w15:presenceInfo w15:providerId="AD" w15:userId="S-1-5-21-1835080030-92430221-452798024-4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85"/>
    <w:rsid w:val="000471B6"/>
    <w:rsid w:val="00050529"/>
    <w:rsid w:val="0005265A"/>
    <w:rsid w:val="00070856"/>
    <w:rsid w:val="00097120"/>
    <w:rsid w:val="000C3D0E"/>
    <w:rsid w:val="00102759"/>
    <w:rsid w:val="001057D6"/>
    <w:rsid w:val="00126BF8"/>
    <w:rsid w:val="001936EE"/>
    <w:rsid w:val="001A5097"/>
    <w:rsid w:val="001A7595"/>
    <w:rsid w:val="001C1F82"/>
    <w:rsid w:val="00212C08"/>
    <w:rsid w:val="00217566"/>
    <w:rsid w:val="00284A81"/>
    <w:rsid w:val="002951DA"/>
    <w:rsid w:val="002B7B50"/>
    <w:rsid w:val="002D4BB6"/>
    <w:rsid w:val="003322A4"/>
    <w:rsid w:val="003345F7"/>
    <w:rsid w:val="0036060F"/>
    <w:rsid w:val="00450234"/>
    <w:rsid w:val="00472F1C"/>
    <w:rsid w:val="004C773C"/>
    <w:rsid w:val="00502B77"/>
    <w:rsid w:val="00530A11"/>
    <w:rsid w:val="0054017B"/>
    <w:rsid w:val="0054537B"/>
    <w:rsid w:val="005502C1"/>
    <w:rsid w:val="0056399C"/>
    <w:rsid w:val="005814BA"/>
    <w:rsid w:val="00582CB7"/>
    <w:rsid w:val="00591903"/>
    <w:rsid w:val="005F4E4F"/>
    <w:rsid w:val="005F7B84"/>
    <w:rsid w:val="00691614"/>
    <w:rsid w:val="006C0068"/>
    <w:rsid w:val="006F24E7"/>
    <w:rsid w:val="007018E7"/>
    <w:rsid w:val="00701BAA"/>
    <w:rsid w:val="007077D1"/>
    <w:rsid w:val="00710D9A"/>
    <w:rsid w:val="00740501"/>
    <w:rsid w:val="007E4EA2"/>
    <w:rsid w:val="00851E36"/>
    <w:rsid w:val="00872F91"/>
    <w:rsid w:val="009174D6"/>
    <w:rsid w:val="00925364"/>
    <w:rsid w:val="00930FDD"/>
    <w:rsid w:val="009609F6"/>
    <w:rsid w:val="00967FF6"/>
    <w:rsid w:val="009C35A4"/>
    <w:rsid w:val="00A6568B"/>
    <w:rsid w:val="00A77524"/>
    <w:rsid w:val="00A77C1C"/>
    <w:rsid w:val="00AF2E5D"/>
    <w:rsid w:val="00AF435F"/>
    <w:rsid w:val="00B36FCF"/>
    <w:rsid w:val="00B60B94"/>
    <w:rsid w:val="00B95F61"/>
    <w:rsid w:val="00BA0DBB"/>
    <w:rsid w:val="00BE183B"/>
    <w:rsid w:val="00C11B0D"/>
    <w:rsid w:val="00C15484"/>
    <w:rsid w:val="00C40BD5"/>
    <w:rsid w:val="00C50BE4"/>
    <w:rsid w:val="00CA74C1"/>
    <w:rsid w:val="00CB388E"/>
    <w:rsid w:val="00CC4185"/>
    <w:rsid w:val="00CC4C2A"/>
    <w:rsid w:val="00CC5C78"/>
    <w:rsid w:val="00CC6FC3"/>
    <w:rsid w:val="00D1611F"/>
    <w:rsid w:val="00D24E68"/>
    <w:rsid w:val="00D618E7"/>
    <w:rsid w:val="00DA7A9D"/>
    <w:rsid w:val="00DC3D91"/>
    <w:rsid w:val="00DF14B9"/>
    <w:rsid w:val="00E47D69"/>
    <w:rsid w:val="00E64D27"/>
    <w:rsid w:val="00E804C2"/>
    <w:rsid w:val="00E97137"/>
    <w:rsid w:val="00EB2D38"/>
    <w:rsid w:val="00EE34A4"/>
    <w:rsid w:val="00EE745A"/>
    <w:rsid w:val="00F60E99"/>
    <w:rsid w:val="00F749EC"/>
    <w:rsid w:val="00FB68EF"/>
    <w:rsid w:val="00FC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46"/>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FC7146"/>
    <w:pPr>
      <w:keepNext/>
      <w:ind w:firstLine="720"/>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 w:type="character" w:customStyle="1" w:styleId="Heading9Char">
    <w:name w:val="Heading 9 Char"/>
    <w:basedOn w:val="DefaultParagraphFont"/>
    <w:link w:val="Heading9"/>
    <w:rsid w:val="00FC7146"/>
    <w:rPr>
      <w:rFonts w:ascii="Times New Roman" w:eastAsia="Times New Roman" w:hAnsi="Times New Roman" w:cs="Times New Roman"/>
      <w:b/>
      <w:snapToGrid w:val="0"/>
      <w:sz w:val="24"/>
      <w:szCs w:val="20"/>
    </w:rPr>
  </w:style>
  <w:style w:type="paragraph" w:styleId="Index1">
    <w:name w:val="index 1"/>
    <w:basedOn w:val="Normal"/>
    <w:next w:val="Normal"/>
    <w:autoRedefine/>
    <w:uiPriority w:val="99"/>
    <w:semiHidden/>
    <w:unhideWhenUsed/>
    <w:rsid w:val="00FC7146"/>
    <w:pPr>
      <w:ind w:left="240" w:hanging="240"/>
    </w:pPr>
  </w:style>
  <w:style w:type="paragraph" w:styleId="IndexHeading">
    <w:name w:val="index heading"/>
    <w:basedOn w:val="Normal"/>
    <w:next w:val="Index1"/>
    <w:semiHidden/>
    <w:rsid w:val="00FC7146"/>
    <w:pPr>
      <w:spacing w:before="120" w:after="120"/>
      <w:jc w:val="both"/>
    </w:pPr>
    <w:rPr>
      <w:rFonts w:ascii="Arial" w:hAnsi="Arial"/>
      <w:b/>
    </w:rPr>
  </w:style>
  <w:style w:type="character" w:styleId="CommentReference">
    <w:name w:val="annotation reference"/>
    <w:basedOn w:val="DefaultParagraphFont"/>
    <w:uiPriority w:val="99"/>
    <w:semiHidden/>
    <w:unhideWhenUsed/>
    <w:rsid w:val="00097120"/>
    <w:rPr>
      <w:sz w:val="16"/>
      <w:szCs w:val="16"/>
    </w:rPr>
  </w:style>
  <w:style w:type="paragraph" w:styleId="CommentText">
    <w:name w:val="annotation text"/>
    <w:basedOn w:val="Normal"/>
    <w:link w:val="CommentTextChar"/>
    <w:uiPriority w:val="99"/>
    <w:semiHidden/>
    <w:unhideWhenUsed/>
    <w:rsid w:val="00097120"/>
    <w:rPr>
      <w:sz w:val="20"/>
    </w:rPr>
  </w:style>
  <w:style w:type="character" w:customStyle="1" w:styleId="CommentTextChar">
    <w:name w:val="Comment Text Char"/>
    <w:basedOn w:val="DefaultParagraphFont"/>
    <w:link w:val="CommentText"/>
    <w:uiPriority w:val="99"/>
    <w:semiHidden/>
    <w:rsid w:val="000971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120"/>
    <w:rPr>
      <w:b/>
      <w:bCs/>
    </w:rPr>
  </w:style>
  <w:style w:type="character" w:customStyle="1" w:styleId="CommentSubjectChar">
    <w:name w:val="Comment Subject Char"/>
    <w:basedOn w:val="CommentTextChar"/>
    <w:link w:val="CommentSubject"/>
    <w:uiPriority w:val="99"/>
    <w:semiHidden/>
    <w:rsid w:val="0009712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46"/>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FC7146"/>
    <w:pPr>
      <w:keepNext/>
      <w:ind w:firstLine="720"/>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 w:type="character" w:customStyle="1" w:styleId="Heading9Char">
    <w:name w:val="Heading 9 Char"/>
    <w:basedOn w:val="DefaultParagraphFont"/>
    <w:link w:val="Heading9"/>
    <w:rsid w:val="00FC7146"/>
    <w:rPr>
      <w:rFonts w:ascii="Times New Roman" w:eastAsia="Times New Roman" w:hAnsi="Times New Roman" w:cs="Times New Roman"/>
      <w:b/>
      <w:snapToGrid w:val="0"/>
      <w:sz w:val="24"/>
      <w:szCs w:val="20"/>
    </w:rPr>
  </w:style>
  <w:style w:type="paragraph" w:styleId="Index1">
    <w:name w:val="index 1"/>
    <w:basedOn w:val="Normal"/>
    <w:next w:val="Normal"/>
    <w:autoRedefine/>
    <w:uiPriority w:val="99"/>
    <w:semiHidden/>
    <w:unhideWhenUsed/>
    <w:rsid w:val="00FC7146"/>
    <w:pPr>
      <w:ind w:left="240" w:hanging="240"/>
    </w:pPr>
  </w:style>
  <w:style w:type="paragraph" w:styleId="IndexHeading">
    <w:name w:val="index heading"/>
    <w:basedOn w:val="Normal"/>
    <w:next w:val="Index1"/>
    <w:semiHidden/>
    <w:rsid w:val="00FC7146"/>
    <w:pPr>
      <w:spacing w:before="120" w:after="120"/>
      <w:jc w:val="both"/>
    </w:pPr>
    <w:rPr>
      <w:rFonts w:ascii="Arial" w:hAnsi="Arial"/>
      <w:b/>
    </w:rPr>
  </w:style>
  <w:style w:type="character" w:styleId="CommentReference">
    <w:name w:val="annotation reference"/>
    <w:basedOn w:val="DefaultParagraphFont"/>
    <w:uiPriority w:val="99"/>
    <w:semiHidden/>
    <w:unhideWhenUsed/>
    <w:rsid w:val="00097120"/>
    <w:rPr>
      <w:sz w:val="16"/>
      <w:szCs w:val="16"/>
    </w:rPr>
  </w:style>
  <w:style w:type="paragraph" w:styleId="CommentText">
    <w:name w:val="annotation text"/>
    <w:basedOn w:val="Normal"/>
    <w:link w:val="CommentTextChar"/>
    <w:uiPriority w:val="99"/>
    <w:semiHidden/>
    <w:unhideWhenUsed/>
    <w:rsid w:val="00097120"/>
    <w:rPr>
      <w:sz w:val="20"/>
    </w:rPr>
  </w:style>
  <w:style w:type="character" w:customStyle="1" w:styleId="CommentTextChar">
    <w:name w:val="Comment Text Char"/>
    <w:basedOn w:val="DefaultParagraphFont"/>
    <w:link w:val="CommentText"/>
    <w:uiPriority w:val="99"/>
    <w:semiHidden/>
    <w:rsid w:val="000971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120"/>
    <w:rPr>
      <w:b/>
      <w:bCs/>
    </w:rPr>
  </w:style>
  <w:style w:type="character" w:customStyle="1" w:styleId="CommentSubjectChar">
    <w:name w:val="Comment Subject Char"/>
    <w:basedOn w:val="CommentTextChar"/>
    <w:link w:val="CommentSubject"/>
    <w:uiPriority w:val="99"/>
    <w:semiHidden/>
    <w:rsid w:val="000971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li\Desktop\format%20shkrese%20I%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4978-A585-45D5-982B-8F66F1D1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shkrese I (2)</Template>
  <TotalTime>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Pegi Luli</dc:creator>
  <cp:lastModifiedBy>Megi Karamani</cp:lastModifiedBy>
  <cp:revision>4</cp:revision>
  <cp:lastPrinted>2017-10-18T11:59:00Z</cp:lastPrinted>
  <dcterms:created xsi:type="dcterms:W3CDTF">2018-10-12T10:02:00Z</dcterms:created>
  <dcterms:modified xsi:type="dcterms:W3CDTF">2018-11-05T13:15:00Z</dcterms:modified>
</cp:coreProperties>
</file>