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B6" w:rsidRDefault="000471B6" w:rsidP="000471B6">
      <w:pPr>
        <w:spacing w:line="276" w:lineRule="auto"/>
        <w:jc w:val="center"/>
        <w:rPr>
          <w:b/>
          <w:lang w:val="sq-AL"/>
        </w:rPr>
      </w:pPr>
    </w:p>
    <w:p w:rsidR="00A05086" w:rsidRDefault="00A05086" w:rsidP="000471B6">
      <w:pPr>
        <w:spacing w:line="276" w:lineRule="auto"/>
        <w:jc w:val="center"/>
        <w:rPr>
          <w:b/>
          <w:lang w:val="sq-AL"/>
        </w:rPr>
      </w:pPr>
    </w:p>
    <w:p w:rsidR="00A05086" w:rsidRDefault="00A05086" w:rsidP="000471B6">
      <w:pPr>
        <w:spacing w:line="276" w:lineRule="auto"/>
        <w:jc w:val="center"/>
        <w:rPr>
          <w:b/>
          <w:lang w:val="sq-AL"/>
        </w:rPr>
      </w:pPr>
    </w:p>
    <w:p w:rsidR="00A05086" w:rsidRDefault="00A05086" w:rsidP="000471B6">
      <w:pPr>
        <w:spacing w:line="276" w:lineRule="auto"/>
        <w:jc w:val="center"/>
        <w:rPr>
          <w:b/>
          <w:lang w:val="sq-AL"/>
        </w:rPr>
      </w:pPr>
    </w:p>
    <w:p w:rsidR="00A05086" w:rsidRDefault="00A05086" w:rsidP="000471B6">
      <w:pPr>
        <w:spacing w:line="276" w:lineRule="auto"/>
        <w:jc w:val="center"/>
        <w:rPr>
          <w:b/>
          <w:lang w:val="sq-AL"/>
        </w:rPr>
      </w:pPr>
    </w:p>
    <w:p w:rsidR="00A05086" w:rsidRPr="00A05086" w:rsidRDefault="00A05086" w:rsidP="00A05086">
      <w:pPr>
        <w:jc w:val="center"/>
        <w:rPr>
          <w:b/>
          <w:lang w:val="sq-AL" w:eastAsia="en-GB"/>
        </w:rPr>
      </w:pPr>
      <w:r w:rsidRPr="00A05086">
        <w:rPr>
          <w:b/>
          <w:lang w:val="sq-AL" w:eastAsia="en-GB"/>
        </w:rPr>
        <w:t>VENDIM</w:t>
      </w:r>
    </w:p>
    <w:p w:rsidR="00A05086" w:rsidRPr="00A05086" w:rsidRDefault="00A05086" w:rsidP="00A05086">
      <w:pPr>
        <w:jc w:val="center"/>
        <w:rPr>
          <w:b/>
          <w:lang w:val="sq-AL" w:eastAsia="en-GB"/>
        </w:rPr>
      </w:pPr>
    </w:p>
    <w:p w:rsidR="00A05086" w:rsidRPr="00A05086" w:rsidRDefault="00A05086" w:rsidP="00A05086">
      <w:pPr>
        <w:keepNext/>
        <w:jc w:val="center"/>
        <w:outlineLvl w:val="1"/>
        <w:rPr>
          <w:b/>
          <w:bCs/>
          <w:lang w:val="sq-AL"/>
        </w:rPr>
      </w:pPr>
      <w:r w:rsidRPr="00A05086">
        <w:rPr>
          <w:b/>
          <w:bCs/>
          <w:lang w:val="sq-AL"/>
        </w:rPr>
        <w:t>Nr. 13, datë 7.2.2018</w:t>
      </w:r>
    </w:p>
    <w:p w:rsidR="00A05086" w:rsidRPr="00A05086" w:rsidRDefault="00A05086" w:rsidP="00A05086">
      <w:pPr>
        <w:rPr>
          <w:lang w:val="sq-AL"/>
        </w:rPr>
      </w:pPr>
    </w:p>
    <w:p w:rsidR="00A05086" w:rsidRPr="00A05086" w:rsidRDefault="00A05086" w:rsidP="00A05086">
      <w:pPr>
        <w:rPr>
          <w:lang w:val="sq-AL"/>
        </w:rPr>
      </w:pPr>
    </w:p>
    <w:p w:rsidR="00A05086" w:rsidRPr="00A05086" w:rsidRDefault="00A05086" w:rsidP="00A05086">
      <w:pPr>
        <w:autoSpaceDE w:val="0"/>
        <w:autoSpaceDN w:val="0"/>
        <w:adjustRightInd w:val="0"/>
        <w:ind w:hanging="360"/>
        <w:jc w:val="center"/>
        <w:rPr>
          <w:rFonts w:eastAsia="Times New Roman"/>
          <w:b/>
          <w:bCs/>
          <w:smallCaps/>
          <w:color w:val="000000"/>
          <w:lang w:val="sq-AL"/>
        </w:rPr>
      </w:pPr>
      <w:r w:rsidRPr="00A05086">
        <w:rPr>
          <w:rFonts w:eastAsia="Times New Roman"/>
          <w:b/>
          <w:bCs/>
          <w:smallCaps/>
          <w:color w:val="000000"/>
          <w:lang w:val="sq-AL"/>
        </w:rPr>
        <w:t>Për</w:t>
      </w:r>
    </w:p>
    <w:p w:rsidR="00A05086" w:rsidRPr="00A05086" w:rsidRDefault="00A05086" w:rsidP="00A05086">
      <w:pPr>
        <w:autoSpaceDE w:val="0"/>
        <w:autoSpaceDN w:val="0"/>
        <w:adjustRightInd w:val="0"/>
        <w:ind w:hanging="360"/>
        <w:jc w:val="center"/>
        <w:rPr>
          <w:rFonts w:eastAsia="Times New Roman"/>
          <w:b/>
          <w:bCs/>
          <w:smallCaps/>
          <w:color w:val="000000"/>
          <w:lang w:val="sq-AL"/>
        </w:rPr>
      </w:pPr>
    </w:p>
    <w:p w:rsidR="00A05086" w:rsidRPr="00A05086" w:rsidRDefault="00A05086" w:rsidP="00A05086">
      <w:pPr>
        <w:autoSpaceDE w:val="0"/>
        <w:autoSpaceDN w:val="0"/>
        <w:adjustRightInd w:val="0"/>
        <w:jc w:val="center"/>
        <w:rPr>
          <w:rFonts w:eastAsia="Times New Roman"/>
          <w:b/>
          <w:bCs/>
          <w:smallCaps/>
          <w:color w:val="000000"/>
          <w:lang w:val="sq-AL"/>
        </w:rPr>
      </w:pPr>
      <w:r w:rsidRPr="00A05086">
        <w:rPr>
          <w:rFonts w:eastAsia="Times New Roman"/>
          <w:b/>
          <w:bCs/>
          <w:smallCaps/>
          <w:color w:val="000000"/>
          <w:lang w:val="sq-AL"/>
        </w:rPr>
        <w:t xml:space="preserve">Miratimin e normës së rezervës së detyruar </w:t>
      </w:r>
    </w:p>
    <w:p w:rsidR="00A05086" w:rsidRPr="00A05086" w:rsidRDefault="00A05086" w:rsidP="00A05086">
      <w:pPr>
        <w:autoSpaceDE w:val="0"/>
        <w:autoSpaceDN w:val="0"/>
        <w:adjustRightInd w:val="0"/>
        <w:jc w:val="center"/>
        <w:rPr>
          <w:rFonts w:eastAsia="Times New Roman"/>
          <w:smallCaps/>
          <w:color w:val="000000"/>
          <w:lang w:val="sq-AL"/>
        </w:rPr>
      </w:pPr>
      <w:r w:rsidRPr="00A05086">
        <w:rPr>
          <w:rFonts w:eastAsia="Times New Roman"/>
          <w:b/>
          <w:bCs/>
          <w:smallCaps/>
          <w:color w:val="000000"/>
          <w:lang w:val="sq-AL"/>
        </w:rPr>
        <w:t>mbajtur në Bankën e Shqipërisë nga bankat</w:t>
      </w:r>
    </w:p>
    <w:p w:rsidR="00A05086" w:rsidRPr="00A05086" w:rsidRDefault="00A05086" w:rsidP="00A05086">
      <w:pPr>
        <w:jc w:val="both"/>
        <w:rPr>
          <w:lang w:val="sq-AL"/>
        </w:rPr>
      </w:pPr>
    </w:p>
    <w:p w:rsidR="00A05086" w:rsidRPr="00A05086" w:rsidRDefault="00A05086" w:rsidP="00A05086">
      <w:pPr>
        <w:jc w:val="both"/>
        <w:rPr>
          <w:lang w:val="sq-AL"/>
        </w:rPr>
      </w:pPr>
      <w:r w:rsidRPr="00A05086">
        <w:rPr>
          <w:lang w:val="sq-AL"/>
        </w:rPr>
        <w:t xml:space="preserve">Në bazë dhe për zbatim të nenit 7, pika 2 të rregullores “Mbi minimumin e rezervës së detyruar mbajtur në Bankën e Shqipërisë nga bankat”, miratuar me vendimin nr. 29, datë 16.05.2012 të Këshillit Mbikëqyrës të Bankës së Shqipërisë, i ndryshuar; me propozim të Departamentit të Stabilitetit Financiar dhe të Departamentit të Operacioneve Monetare, Këshilli Mbikëqyrës i Bankës së Shqipërisë, </w:t>
      </w:r>
    </w:p>
    <w:p w:rsidR="00A05086" w:rsidRPr="00A05086" w:rsidRDefault="00A05086" w:rsidP="00A05086">
      <w:pPr>
        <w:jc w:val="center"/>
        <w:rPr>
          <w:lang w:val="sq-AL"/>
        </w:rPr>
      </w:pPr>
      <w:r w:rsidRPr="00A05086">
        <w:rPr>
          <w:lang w:val="sq-AL"/>
        </w:rPr>
        <w:tab/>
        <w:t xml:space="preserve">           </w:t>
      </w:r>
    </w:p>
    <w:p w:rsidR="00A05086" w:rsidRPr="00A05086" w:rsidRDefault="00A05086" w:rsidP="00A05086">
      <w:pPr>
        <w:jc w:val="center"/>
        <w:rPr>
          <w:lang w:val="sq-AL"/>
        </w:rPr>
      </w:pPr>
      <w:r w:rsidRPr="00A05086">
        <w:rPr>
          <w:bCs/>
          <w:lang w:val="sq-AL"/>
        </w:rPr>
        <w:t>VENDOSI</w:t>
      </w:r>
      <w:r w:rsidRPr="00A05086">
        <w:rPr>
          <w:lang w:val="sq-AL"/>
        </w:rPr>
        <w:t>:</w:t>
      </w:r>
    </w:p>
    <w:p w:rsidR="00A05086" w:rsidRPr="00A05086" w:rsidRDefault="00A05086" w:rsidP="00A05086">
      <w:pPr>
        <w:jc w:val="center"/>
        <w:rPr>
          <w:lang w:val="sq-AL"/>
        </w:rPr>
      </w:pPr>
    </w:p>
    <w:p w:rsidR="00A05086" w:rsidRPr="00A05086" w:rsidRDefault="00A05086" w:rsidP="00A05086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lang w:val="sq-AL"/>
        </w:rPr>
      </w:pPr>
      <w:r w:rsidRPr="00A05086">
        <w:rPr>
          <w:lang w:val="sq-AL"/>
        </w:rPr>
        <w:t>Norma e rezervës së detyruar në lekë, mbajtur në Bankën e Shqipërisë nga bankat, të jetë në nivelin:</w:t>
      </w:r>
    </w:p>
    <w:p w:rsidR="00A05086" w:rsidRPr="00A05086" w:rsidRDefault="00A05086" w:rsidP="00A05086">
      <w:pPr>
        <w:ind w:left="720"/>
        <w:contextualSpacing/>
        <w:jc w:val="both"/>
        <w:rPr>
          <w:lang w:val="sq-AL"/>
        </w:rPr>
      </w:pPr>
    </w:p>
    <w:p w:rsidR="00A05086" w:rsidRPr="00A05086" w:rsidRDefault="00A05086" w:rsidP="00A05086">
      <w:pPr>
        <w:numPr>
          <w:ilvl w:val="0"/>
          <w:numId w:val="8"/>
        </w:numPr>
        <w:spacing w:after="200" w:line="276" w:lineRule="auto"/>
        <w:ind w:left="567" w:hanging="283"/>
        <w:contextualSpacing/>
        <w:jc w:val="both"/>
        <w:rPr>
          <w:lang w:val="sq-AL"/>
        </w:rPr>
      </w:pPr>
      <w:r w:rsidRPr="00A05086">
        <w:rPr>
          <w:lang w:val="sq-AL"/>
        </w:rPr>
        <w:t>7.5 (shtatë pikë pesë) për qind për kategoritë e detyrimeve të përfshira në bazën e rezervës së detyruar ndaj të cilave nuk zbatohet norma 0 (zero) për qind e rezervës së detyruar dhe që kanë një afat maturimi jo më të gjatë se 12 muaj; dhe</w:t>
      </w:r>
    </w:p>
    <w:p w:rsidR="00A05086" w:rsidRPr="00A05086" w:rsidRDefault="00A05086" w:rsidP="00A05086">
      <w:pPr>
        <w:ind w:left="567" w:hanging="283"/>
        <w:contextualSpacing/>
        <w:jc w:val="both"/>
        <w:rPr>
          <w:lang w:val="sq-AL"/>
        </w:rPr>
      </w:pPr>
    </w:p>
    <w:p w:rsidR="00A05086" w:rsidRPr="00A05086" w:rsidRDefault="00A05086" w:rsidP="00A05086">
      <w:pPr>
        <w:numPr>
          <w:ilvl w:val="0"/>
          <w:numId w:val="8"/>
        </w:numPr>
        <w:spacing w:after="200" w:line="276" w:lineRule="auto"/>
        <w:ind w:left="567" w:hanging="283"/>
        <w:contextualSpacing/>
        <w:jc w:val="both"/>
        <w:rPr>
          <w:lang w:val="sq-AL"/>
        </w:rPr>
      </w:pPr>
      <w:r w:rsidRPr="00A05086">
        <w:rPr>
          <w:lang w:val="sq-AL"/>
        </w:rPr>
        <w:t>5.0 (pesë) për qind për kategoritë e detyrimeve të përfshira në bazën e rezervës së detyruar ndaj të cilave nuk zbatohet norma 0 (zero) për qind e rezervës së detyruar dhe që kanë një afat fillestar më të gjatë se 12 muaj deri në 2 vjet.</w:t>
      </w:r>
    </w:p>
    <w:p w:rsidR="00A05086" w:rsidRPr="00A05086" w:rsidRDefault="00A05086" w:rsidP="00A05086">
      <w:pPr>
        <w:ind w:left="1080"/>
        <w:contextualSpacing/>
        <w:jc w:val="both"/>
        <w:rPr>
          <w:lang w:val="sq-AL"/>
        </w:rPr>
      </w:pPr>
    </w:p>
    <w:p w:rsidR="00A05086" w:rsidRPr="00A05086" w:rsidRDefault="00A05086" w:rsidP="00A05086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lang w:val="sq-AL"/>
        </w:rPr>
      </w:pPr>
      <w:r w:rsidRPr="00A05086">
        <w:rPr>
          <w:lang w:val="sq-AL"/>
        </w:rPr>
        <w:t>Norma e rezervës së detyruar në valutë, mbajtur në Bankën e Shqipërisë nga bankat, të jetë në nivelin:</w:t>
      </w:r>
    </w:p>
    <w:p w:rsidR="00A05086" w:rsidRPr="00A05086" w:rsidRDefault="00A05086" w:rsidP="00A05086">
      <w:pPr>
        <w:ind w:left="720"/>
        <w:contextualSpacing/>
        <w:jc w:val="both"/>
        <w:rPr>
          <w:lang w:val="sq-AL"/>
        </w:rPr>
      </w:pPr>
    </w:p>
    <w:p w:rsidR="00A05086" w:rsidRPr="00A05086" w:rsidRDefault="00A05086" w:rsidP="00A05086">
      <w:pPr>
        <w:numPr>
          <w:ilvl w:val="0"/>
          <w:numId w:val="9"/>
        </w:numPr>
        <w:spacing w:after="200" w:line="276" w:lineRule="auto"/>
        <w:contextualSpacing/>
        <w:jc w:val="both"/>
        <w:rPr>
          <w:lang w:val="sq-AL"/>
        </w:rPr>
      </w:pPr>
      <w:r w:rsidRPr="00A05086">
        <w:rPr>
          <w:lang w:val="sq-AL"/>
        </w:rPr>
        <w:t xml:space="preserve">12.5 (dymbëdhjetë pikë pesë) për qind për kategoritë e detyrimeve të përfshira në bazën e rezervës së detyruar ndaj të cilave nuk zbatohet norma 0 (zero) për qind e rezervës së detyruar, kur vlera e raportit “detyrime në valutën përkatëse të përfshira në bazën e rezervës së detyruar ndaj të cilave nuk zbatohet norma 0 (zero) për qind e rezervës së detyruar/totali i detyrimeve të përfshira në bazën e </w:t>
      </w:r>
      <w:r w:rsidRPr="00A05086">
        <w:rPr>
          <w:lang w:val="sq-AL"/>
        </w:rPr>
        <w:lastRenderedPageBreak/>
        <w:t xml:space="preserve">rezervës së detyruar ndaj të cilave nuk zbatohet norma 0 (zero) për qind e rezervës së detyruar” për bankën është deri në 50 (pesëdhjetë) për qind; dhe </w:t>
      </w:r>
    </w:p>
    <w:p w:rsidR="00A05086" w:rsidRPr="00A05086" w:rsidRDefault="00A05086" w:rsidP="00A05086">
      <w:pPr>
        <w:ind w:left="720"/>
        <w:contextualSpacing/>
        <w:jc w:val="both"/>
        <w:rPr>
          <w:lang w:val="sq-AL"/>
        </w:rPr>
      </w:pPr>
    </w:p>
    <w:p w:rsidR="00A05086" w:rsidRPr="00A05086" w:rsidRDefault="00A05086" w:rsidP="00A05086">
      <w:pPr>
        <w:numPr>
          <w:ilvl w:val="0"/>
          <w:numId w:val="9"/>
        </w:numPr>
        <w:spacing w:after="200" w:line="276" w:lineRule="auto"/>
        <w:contextualSpacing/>
        <w:jc w:val="both"/>
        <w:rPr>
          <w:lang w:val="sq-AL"/>
        </w:rPr>
      </w:pPr>
      <w:r w:rsidRPr="00A05086">
        <w:rPr>
          <w:lang w:val="sq-AL"/>
        </w:rPr>
        <w:t>20 (njëzet) për qind për kategoritë e detyrimeve të përfshira në bazën e rezervës së detyruar ndaj të cilave nuk zbatohet norma 0 (zero) për qind e rezervës së detyruar, për vlerën shtesë të këtyre detyrimeve të bankës që tejkalojnë nivelin 50 (pesëdhjetë) për qind të vlerës së raportit “detyrime në valutën përkatëse të përfshira në bazën e rezervës së detyruar ndaj të cilave nuk zbatohet norma 0 (zero) për qind e rezervës së detyruar/ totali i detyrimeve të përfshira në bazën e rezervës së detyruar ndaj të cilave nuk zbatohet norma 0 (zero) për qind e rezervës së detyruar”.</w:t>
      </w:r>
    </w:p>
    <w:p w:rsidR="00A05086" w:rsidRPr="00A05086" w:rsidRDefault="00A05086" w:rsidP="00A05086">
      <w:pPr>
        <w:ind w:left="720"/>
        <w:contextualSpacing/>
        <w:rPr>
          <w:lang w:val="sq-AL"/>
        </w:rPr>
      </w:pPr>
    </w:p>
    <w:p w:rsidR="00A05086" w:rsidRPr="00A05086" w:rsidRDefault="00A05086" w:rsidP="00A05086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lang w:val="sq-AL"/>
        </w:rPr>
      </w:pPr>
      <w:r w:rsidRPr="00A05086">
        <w:rPr>
          <w:lang w:val="sq-AL"/>
        </w:rPr>
        <w:t>Për periudhat bazë të rezervës së detyruar, nga qershori 2018 deri në qershor 2019, mbajtja e rezervës së detyrueshme të jetë:</w:t>
      </w:r>
    </w:p>
    <w:p w:rsidR="00A05086" w:rsidRPr="00A05086" w:rsidRDefault="00A05086" w:rsidP="00A05086">
      <w:pPr>
        <w:ind w:left="284"/>
        <w:contextualSpacing/>
        <w:jc w:val="both"/>
        <w:rPr>
          <w:lang w:val="sq-AL"/>
        </w:rPr>
      </w:pPr>
    </w:p>
    <w:p w:rsidR="00A05086" w:rsidRPr="00A05086" w:rsidRDefault="00A05086" w:rsidP="00A05086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lang w:val="sq-AL"/>
        </w:rPr>
      </w:pPr>
      <w:r w:rsidRPr="00A05086">
        <w:rPr>
          <w:lang w:val="sq-AL"/>
        </w:rPr>
        <w:t>në valutë, për vlerën e rezervës së detyrueshme që i korrespondon normës së rezervës së detyrueshme në valutë në nivelin 10 (dhjetë) për qind; dhe</w:t>
      </w:r>
    </w:p>
    <w:p w:rsidR="00A05086" w:rsidRPr="00A05086" w:rsidRDefault="00A05086" w:rsidP="00A05086">
      <w:pPr>
        <w:ind w:left="709"/>
        <w:contextualSpacing/>
        <w:jc w:val="both"/>
        <w:rPr>
          <w:lang w:val="sq-AL"/>
        </w:rPr>
      </w:pPr>
    </w:p>
    <w:p w:rsidR="00A05086" w:rsidRPr="00A05086" w:rsidRDefault="00A05086" w:rsidP="00A05086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lang w:val="sq-AL"/>
        </w:rPr>
      </w:pPr>
      <w:r w:rsidRPr="00A05086">
        <w:rPr>
          <w:lang w:val="sq-AL"/>
        </w:rPr>
        <w:t xml:space="preserve">në lekë, për vlerën e rezervës së detyrueshme që i korrespondon normës së rezervës së detyrueshme në valutë mbi nivelin 10 (dhjetë) për qind. </w:t>
      </w:r>
    </w:p>
    <w:p w:rsidR="00A05086" w:rsidRPr="00A05086" w:rsidRDefault="00A05086" w:rsidP="00A05086">
      <w:pPr>
        <w:jc w:val="both"/>
        <w:rPr>
          <w:lang w:val="sq-AL"/>
        </w:rPr>
      </w:pPr>
    </w:p>
    <w:p w:rsidR="00A05086" w:rsidRPr="00A05086" w:rsidRDefault="00A05086" w:rsidP="00A05086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lang w:val="sq-AL"/>
        </w:rPr>
      </w:pPr>
      <w:r w:rsidRPr="00A05086">
        <w:rPr>
          <w:lang w:val="sq-AL"/>
        </w:rPr>
        <w:t xml:space="preserve">Duke filluar nga periudha bazë e rezervës së detyruar, korrik 2019, mbajtja e rezervës së detyrueshme në valutë sipas pikës 2 të këtij vendimi, të jetë vetëm në valutë. </w:t>
      </w:r>
    </w:p>
    <w:p w:rsidR="00A05086" w:rsidRPr="00A05086" w:rsidRDefault="00A05086" w:rsidP="00A05086">
      <w:pPr>
        <w:ind w:left="284" w:hanging="284"/>
        <w:jc w:val="both"/>
        <w:rPr>
          <w:lang w:val="sq-AL"/>
        </w:rPr>
      </w:pPr>
    </w:p>
    <w:p w:rsidR="00A05086" w:rsidRPr="00A05086" w:rsidRDefault="00A05086" w:rsidP="00A05086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lang w:val="sq-AL"/>
        </w:rPr>
      </w:pPr>
      <w:r w:rsidRPr="00A05086">
        <w:rPr>
          <w:lang w:val="sq-AL"/>
        </w:rPr>
        <w:t>Ngarkohet Departamenti i Operacioneve Monetare me zbatimin e këtij vendimi.</w:t>
      </w:r>
    </w:p>
    <w:p w:rsidR="00A05086" w:rsidRPr="00A05086" w:rsidRDefault="00A05086" w:rsidP="00A05086">
      <w:pPr>
        <w:ind w:left="284" w:hanging="284"/>
        <w:contextualSpacing/>
        <w:jc w:val="both"/>
        <w:rPr>
          <w:lang w:val="sq-AL"/>
        </w:rPr>
      </w:pPr>
    </w:p>
    <w:p w:rsidR="00A05086" w:rsidRPr="00A05086" w:rsidRDefault="00A05086" w:rsidP="00A05086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HAnsi"/>
          <w:lang w:val="sq-AL"/>
        </w:rPr>
      </w:pPr>
      <w:r w:rsidRPr="00A05086">
        <w:rPr>
          <w:lang w:val="sq-AL"/>
        </w:rPr>
        <w:t>Ngarkohet Departamenti i Kërkimeve për publikimin e këtij vendimi në Buletinin Zyrtar të Bankës së Shqipërisë.</w:t>
      </w:r>
    </w:p>
    <w:p w:rsidR="00A05086" w:rsidRPr="00A05086" w:rsidRDefault="00A05086" w:rsidP="00A05086">
      <w:pPr>
        <w:ind w:left="284" w:hanging="284"/>
        <w:jc w:val="both"/>
        <w:rPr>
          <w:rFonts w:eastAsiaTheme="minorHAnsi"/>
          <w:lang w:val="sq-AL"/>
        </w:rPr>
      </w:pPr>
    </w:p>
    <w:p w:rsidR="00A05086" w:rsidRPr="00A05086" w:rsidRDefault="00A05086" w:rsidP="00A05086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HAnsi"/>
          <w:lang w:val="sq-AL"/>
        </w:rPr>
      </w:pPr>
      <w:r w:rsidRPr="00A05086">
        <w:rPr>
          <w:lang w:val="sq-AL"/>
        </w:rPr>
        <w:t xml:space="preserve">Me hyrjen në fuqi të këtij vendimi, shfuqizohet vendimi i Këshillit Mbikëqyrës nr. 45, datë 16.07.2008. </w:t>
      </w:r>
    </w:p>
    <w:p w:rsidR="00A05086" w:rsidRPr="00A05086" w:rsidRDefault="00A05086" w:rsidP="00A05086">
      <w:pPr>
        <w:ind w:left="360"/>
        <w:jc w:val="both"/>
        <w:rPr>
          <w:rFonts w:eastAsiaTheme="minorHAnsi"/>
          <w:lang w:val="sq-AL"/>
        </w:rPr>
      </w:pPr>
    </w:p>
    <w:p w:rsidR="00A05086" w:rsidRPr="00A05086" w:rsidRDefault="00A05086" w:rsidP="00A05086">
      <w:pPr>
        <w:jc w:val="both"/>
        <w:rPr>
          <w:lang w:val="sq-AL"/>
        </w:rPr>
      </w:pPr>
      <w:r w:rsidRPr="00A05086">
        <w:rPr>
          <w:lang w:val="sq-AL"/>
        </w:rPr>
        <w:t>Ky vendim hyn në fuqi më 24 korrik 2018.</w:t>
      </w:r>
    </w:p>
    <w:p w:rsidR="00A05086" w:rsidRPr="00A05086" w:rsidRDefault="00A05086" w:rsidP="00A05086">
      <w:pPr>
        <w:ind w:left="360"/>
        <w:jc w:val="both"/>
        <w:rPr>
          <w:rFonts w:eastAsiaTheme="minorHAnsi"/>
          <w:lang w:val="sq-AL"/>
        </w:rPr>
      </w:pPr>
    </w:p>
    <w:p w:rsidR="00A05086" w:rsidRPr="00A05086" w:rsidRDefault="00A05086" w:rsidP="00A05086">
      <w:pPr>
        <w:ind w:left="360"/>
        <w:jc w:val="both"/>
        <w:rPr>
          <w:rFonts w:eastAsiaTheme="minorHAnsi"/>
          <w:lang w:val="sq-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2"/>
        <w:gridCol w:w="2892"/>
        <w:gridCol w:w="2892"/>
      </w:tblGrid>
      <w:tr w:rsidR="00A05086" w:rsidRPr="00A05086" w:rsidTr="00C5527A">
        <w:trPr>
          <w:trHeight w:val="315"/>
        </w:trPr>
        <w:tc>
          <w:tcPr>
            <w:tcW w:w="2892" w:type="dxa"/>
            <w:vAlign w:val="center"/>
          </w:tcPr>
          <w:p w:rsidR="00A05086" w:rsidRPr="00A05086" w:rsidRDefault="00A05086" w:rsidP="00A05086">
            <w:pPr>
              <w:jc w:val="center"/>
              <w:rPr>
                <w:lang w:val="sq-AL"/>
              </w:rPr>
            </w:pPr>
            <w:r w:rsidRPr="00A05086">
              <w:rPr>
                <w:b/>
                <w:lang w:val="sq-AL"/>
              </w:rPr>
              <w:t>SEKRETARI</w:t>
            </w:r>
          </w:p>
        </w:tc>
        <w:tc>
          <w:tcPr>
            <w:tcW w:w="2892" w:type="dxa"/>
            <w:vAlign w:val="center"/>
          </w:tcPr>
          <w:p w:rsidR="00A05086" w:rsidRPr="00A05086" w:rsidRDefault="00A05086" w:rsidP="00A05086">
            <w:pPr>
              <w:jc w:val="center"/>
              <w:rPr>
                <w:lang w:val="sq-AL"/>
              </w:rPr>
            </w:pPr>
          </w:p>
        </w:tc>
        <w:tc>
          <w:tcPr>
            <w:tcW w:w="2892" w:type="dxa"/>
            <w:vAlign w:val="center"/>
          </w:tcPr>
          <w:p w:rsidR="00A05086" w:rsidRPr="00A05086" w:rsidRDefault="00A05086" w:rsidP="00A05086">
            <w:pPr>
              <w:jc w:val="center"/>
              <w:rPr>
                <w:lang w:val="sq-AL"/>
              </w:rPr>
            </w:pPr>
            <w:r w:rsidRPr="00A05086">
              <w:rPr>
                <w:b/>
                <w:lang w:val="sq-AL"/>
              </w:rPr>
              <w:t>KRYETARI</w:t>
            </w:r>
          </w:p>
        </w:tc>
      </w:tr>
      <w:tr w:rsidR="00A05086" w:rsidRPr="00A05086" w:rsidTr="00C5527A">
        <w:trPr>
          <w:trHeight w:val="488"/>
        </w:trPr>
        <w:tc>
          <w:tcPr>
            <w:tcW w:w="2892" w:type="dxa"/>
            <w:vAlign w:val="center"/>
          </w:tcPr>
          <w:p w:rsidR="00A05086" w:rsidRPr="00A05086" w:rsidRDefault="00A05086" w:rsidP="00A05086">
            <w:pPr>
              <w:rPr>
                <w:lang w:val="sq-AL"/>
              </w:rPr>
            </w:pPr>
          </w:p>
        </w:tc>
        <w:tc>
          <w:tcPr>
            <w:tcW w:w="2892" w:type="dxa"/>
            <w:vAlign w:val="center"/>
          </w:tcPr>
          <w:p w:rsidR="00A05086" w:rsidRPr="00A05086" w:rsidRDefault="00A05086" w:rsidP="00A05086">
            <w:pPr>
              <w:jc w:val="center"/>
              <w:rPr>
                <w:lang w:val="sq-AL"/>
              </w:rPr>
            </w:pPr>
          </w:p>
        </w:tc>
        <w:tc>
          <w:tcPr>
            <w:tcW w:w="2892" w:type="dxa"/>
            <w:vAlign w:val="center"/>
          </w:tcPr>
          <w:p w:rsidR="00A05086" w:rsidRPr="00A05086" w:rsidRDefault="00A05086" w:rsidP="00A05086">
            <w:pPr>
              <w:jc w:val="center"/>
              <w:rPr>
                <w:lang w:val="sq-AL"/>
              </w:rPr>
            </w:pPr>
          </w:p>
        </w:tc>
      </w:tr>
      <w:tr w:rsidR="00A05086" w:rsidRPr="00A05086" w:rsidTr="00C5527A">
        <w:trPr>
          <w:trHeight w:val="488"/>
        </w:trPr>
        <w:tc>
          <w:tcPr>
            <w:tcW w:w="2892" w:type="dxa"/>
            <w:vAlign w:val="center"/>
          </w:tcPr>
          <w:p w:rsidR="00A05086" w:rsidRPr="00A05086" w:rsidRDefault="00A05086" w:rsidP="00A05086">
            <w:pPr>
              <w:rPr>
                <w:lang w:val="sq-AL"/>
              </w:rPr>
            </w:pPr>
          </w:p>
        </w:tc>
        <w:tc>
          <w:tcPr>
            <w:tcW w:w="2892" w:type="dxa"/>
            <w:vAlign w:val="center"/>
          </w:tcPr>
          <w:p w:rsidR="00A05086" w:rsidRPr="00A05086" w:rsidRDefault="00A05086" w:rsidP="00A05086">
            <w:pPr>
              <w:jc w:val="center"/>
              <w:rPr>
                <w:lang w:val="sq-AL"/>
              </w:rPr>
            </w:pPr>
          </w:p>
        </w:tc>
        <w:tc>
          <w:tcPr>
            <w:tcW w:w="2892" w:type="dxa"/>
            <w:vAlign w:val="center"/>
          </w:tcPr>
          <w:p w:rsidR="00A05086" w:rsidRPr="00A05086" w:rsidRDefault="00A05086" w:rsidP="00A05086">
            <w:pPr>
              <w:jc w:val="center"/>
              <w:rPr>
                <w:lang w:val="sq-AL"/>
              </w:rPr>
            </w:pPr>
          </w:p>
        </w:tc>
      </w:tr>
      <w:tr w:rsidR="00A05086" w:rsidRPr="00A05086" w:rsidTr="00C5527A">
        <w:trPr>
          <w:trHeight w:val="502"/>
        </w:trPr>
        <w:tc>
          <w:tcPr>
            <w:tcW w:w="2892" w:type="dxa"/>
            <w:vAlign w:val="center"/>
          </w:tcPr>
          <w:p w:rsidR="00A05086" w:rsidRPr="00A05086" w:rsidRDefault="00A05086" w:rsidP="00A05086">
            <w:pPr>
              <w:jc w:val="center"/>
              <w:rPr>
                <w:lang w:val="sq-AL"/>
              </w:rPr>
            </w:pPr>
            <w:r w:rsidRPr="00A05086">
              <w:rPr>
                <w:b/>
                <w:bCs/>
                <w:lang w:val="sq-AL"/>
              </w:rPr>
              <w:t>Elvis ÇIBUKU</w:t>
            </w:r>
          </w:p>
        </w:tc>
        <w:tc>
          <w:tcPr>
            <w:tcW w:w="2892" w:type="dxa"/>
            <w:vAlign w:val="center"/>
          </w:tcPr>
          <w:p w:rsidR="00A05086" w:rsidRPr="00A05086" w:rsidRDefault="00A05086" w:rsidP="00A05086">
            <w:pPr>
              <w:jc w:val="center"/>
              <w:rPr>
                <w:lang w:val="sq-AL"/>
              </w:rPr>
            </w:pPr>
          </w:p>
        </w:tc>
        <w:tc>
          <w:tcPr>
            <w:tcW w:w="2892" w:type="dxa"/>
            <w:vAlign w:val="center"/>
          </w:tcPr>
          <w:p w:rsidR="00A05086" w:rsidRPr="00A05086" w:rsidRDefault="00A05086" w:rsidP="00A05086">
            <w:pPr>
              <w:jc w:val="center"/>
              <w:rPr>
                <w:lang w:val="sq-AL"/>
              </w:rPr>
            </w:pPr>
            <w:r w:rsidRPr="00A05086">
              <w:rPr>
                <w:b/>
                <w:bCs/>
                <w:lang w:val="sq-AL"/>
              </w:rPr>
              <w:t>Gent SEJKO</w:t>
            </w:r>
          </w:p>
        </w:tc>
      </w:tr>
    </w:tbl>
    <w:p w:rsidR="00A05086" w:rsidRPr="00A05086" w:rsidRDefault="00A05086" w:rsidP="00A05086">
      <w:pPr>
        <w:rPr>
          <w:lang w:val="sq-AL"/>
        </w:rPr>
      </w:pPr>
    </w:p>
    <w:p w:rsidR="00582CB7" w:rsidRDefault="00582CB7" w:rsidP="000471B6">
      <w:pPr>
        <w:spacing w:line="276" w:lineRule="auto"/>
        <w:jc w:val="center"/>
        <w:rPr>
          <w:b/>
          <w:lang w:val="sq-AL"/>
        </w:rPr>
      </w:pPr>
    </w:p>
    <w:p w:rsidR="00582CB7" w:rsidRDefault="00582CB7" w:rsidP="000471B6">
      <w:pPr>
        <w:spacing w:line="276" w:lineRule="auto"/>
        <w:jc w:val="center"/>
        <w:rPr>
          <w:b/>
          <w:lang w:val="sq-AL"/>
        </w:rPr>
      </w:pPr>
    </w:p>
    <w:p w:rsidR="00582CB7" w:rsidRPr="00F60D14" w:rsidRDefault="00582CB7" w:rsidP="00A05086">
      <w:pPr>
        <w:spacing w:line="276" w:lineRule="auto"/>
        <w:rPr>
          <w:b/>
          <w:lang w:val="sq-AL"/>
        </w:rPr>
      </w:pPr>
    </w:p>
    <w:p w:rsidR="00582CB7" w:rsidRPr="00582CB7" w:rsidRDefault="00582CB7" w:rsidP="00582CB7">
      <w:pPr>
        <w:rPr>
          <w:rFonts w:eastAsiaTheme="minorHAnsi"/>
          <w:lang w:val="sq-AL"/>
        </w:rPr>
      </w:pPr>
    </w:p>
    <w:p w:rsidR="007077D1" w:rsidRPr="007077D1" w:rsidRDefault="007077D1" w:rsidP="003345F7">
      <w:pPr>
        <w:spacing w:line="276" w:lineRule="auto"/>
        <w:jc w:val="both"/>
        <w:rPr>
          <w:sz w:val="20"/>
          <w:lang w:val="sq-AL"/>
        </w:rPr>
      </w:pPr>
      <w:bookmarkStart w:id="0" w:name="_GoBack"/>
      <w:bookmarkEnd w:id="0"/>
    </w:p>
    <w:sectPr w:rsidR="007077D1" w:rsidRPr="007077D1" w:rsidSect="00591903">
      <w:headerReference w:type="first" r:id="rId9"/>
      <w:pgSz w:w="11907" w:h="16839" w:code="9"/>
      <w:pgMar w:top="1134" w:right="1701" w:bottom="1134" w:left="1701" w:header="1134" w:footer="13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21" w:rsidRDefault="007B3621" w:rsidP="007E4EA2">
      <w:r>
        <w:separator/>
      </w:r>
    </w:p>
  </w:endnote>
  <w:endnote w:type="continuationSeparator" w:id="0">
    <w:p w:rsidR="007B3621" w:rsidRDefault="007B3621" w:rsidP="007E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21" w:rsidRDefault="007B3621" w:rsidP="007E4EA2">
      <w:r>
        <w:separator/>
      </w:r>
    </w:p>
  </w:footnote>
  <w:footnote w:type="continuationSeparator" w:id="0">
    <w:p w:rsidR="007B3621" w:rsidRDefault="007B3621" w:rsidP="007E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03" w:rsidRPr="007E4EA2" w:rsidRDefault="00A77524" w:rsidP="00591903">
    <w:pPr>
      <w:ind w:left="714"/>
      <w:jc w:val="both"/>
      <w:rPr>
        <w:sz w:val="16"/>
      </w:rPr>
    </w:pPr>
    <w:r>
      <w:rPr>
        <w:rFonts w:ascii="Arial" w:eastAsia="Times New Roman" w:hAnsi="Arial"/>
        <w:noProof/>
        <w:sz w:val="26"/>
        <w:szCs w:val="26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-477256</wp:posOffset>
          </wp:positionH>
          <wp:positionV relativeFrom="paragraph">
            <wp:posOffset>-160020</wp:posOffset>
          </wp:positionV>
          <wp:extent cx="1304925" cy="12192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a-e-jubileut-te-Skenderbe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F1C" w:rsidRPr="007E4EA2">
      <w:rPr>
        <w:rFonts w:ascii="Arial" w:eastAsia="Times New Roman" w:hAnsi="Arial"/>
        <w:noProof/>
        <w:sz w:val="26"/>
        <w:szCs w:val="26"/>
      </w:rPr>
      <w:drawing>
        <wp:anchor distT="0" distB="0" distL="114300" distR="114300" simplePos="0" relativeHeight="251668480" behindDoc="1" locked="0" layoutInCell="1" allowOverlap="1" wp14:anchorId="276C11C9" wp14:editId="77F326C1">
          <wp:simplePos x="0" y="0"/>
          <wp:positionH relativeFrom="column">
            <wp:posOffset>2466975</wp:posOffset>
          </wp:positionH>
          <wp:positionV relativeFrom="paragraph">
            <wp:posOffset>-99060</wp:posOffset>
          </wp:positionV>
          <wp:extent cx="464820" cy="699770"/>
          <wp:effectExtent l="0" t="0" r="0" b="5080"/>
          <wp:wrapTight wrapText="bothSides">
            <wp:wrapPolygon edited="0">
              <wp:start x="0" y="0"/>
              <wp:lineTo x="0" y="19405"/>
              <wp:lineTo x="6197" y="21169"/>
              <wp:lineTo x="15049" y="21169"/>
              <wp:lineTo x="20361" y="19405"/>
              <wp:lineTo x="20361" y="0"/>
              <wp:lineTo x="0" y="0"/>
            </wp:wrapPolygon>
          </wp:wrapTight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6EE" w:rsidRPr="007E4EA2">
      <w:rPr>
        <w:rFonts w:ascii="Arial" w:eastAsia="Times New Roman" w:hAnsi="Arial"/>
        <w:noProof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7456" behindDoc="1" locked="0" layoutInCell="1" allowOverlap="1" wp14:anchorId="46BFE642" wp14:editId="4AF1558E">
              <wp:simplePos x="0" y="0"/>
              <wp:positionH relativeFrom="column">
                <wp:posOffset>-323850</wp:posOffset>
              </wp:positionH>
              <wp:positionV relativeFrom="paragraph">
                <wp:posOffset>509270</wp:posOffset>
              </wp:positionV>
              <wp:extent cx="2782570" cy="0"/>
              <wp:effectExtent l="0" t="0" r="17780" b="19050"/>
              <wp:wrapNone/>
              <wp:docPr id="1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825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DBEBCF" id="Straight Connector 2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5.5pt,40.1pt" to="193.6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" strokeweight="1pt">
              <o:lock v:ext="edit" shapetype="f"/>
            </v:line>
          </w:pict>
        </mc:Fallback>
      </mc:AlternateContent>
    </w:r>
  </w:p>
  <w:p w:rsidR="00591903" w:rsidRPr="007E4EA2" w:rsidRDefault="00591903" w:rsidP="00591903">
    <w:pPr>
      <w:spacing w:line="360" w:lineRule="auto"/>
      <w:jc w:val="center"/>
      <w:rPr>
        <w:rFonts w:ascii="Helvetica" w:hAnsi="Helvetica" w:cs="Helvetica"/>
        <w:b/>
        <w:spacing w:val="20"/>
        <w:sz w:val="15"/>
        <w:szCs w:val="15"/>
        <w:lang w:val="it-IT"/>
      </w:rPr>
    </w:pPr>
  </w:p>
  <w:p w:rsidR="00591903" w:rsidRPr="007E4EA2" w:rsidRDefault="00591903" w:rsidP="00591903">
    <w:pPr>
      <w:spacing w:line="360" w:lineRule="auto"/>
      <w:jc w:val="center"/>
      <w:rPr>
        <w:rFonts w:ascii="Helvetica" w:hAnsi="Helvetica" w:cs="Helvetica"/>
        <w:b/>
        <w:spacing w:val="20"/>
        <w:sz w:val="13"/>
        <w:szCs w:val="15"/>
        <w:lang w:val="it-IT"/>
      </w:rPr>
    </w:pPr>
  </w:p>
  <w:p w:rsidR="00591903" w:rsidRPr="007E4EA2" w:rsidRDefault="00591903" w:rsidP="00591903">
    <w:pPr>
      <w:spacing w:line="360" w:lineRule="auto"/>
      <w:rPr>
        <w:rFonts w:ascii="Helvetica" w:hAnsi="Helvetica" w:cs="Helvetica"/>
        <w:b/>
        <w:spacing w:val="20"/>
        <w:sz w:val="15"/>
        <w:szCs w:val="15"/>
        <w:lang w:val="it-IT"/>
      </w:rPr>
    </w:pPr>
    <w:r w:rsidRPr="007E4EA2">
      <w:rPr>
        <w:rFonts w:ascii="Arial" w:eastAsia="Times New Roman" w:hAnsi="Arial"/>
        <w:noProof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9504" behindDoc="1" locked="0" layoutInCell="1" allowOverlap="1" wp14:anchorId="0B639564" wp14:editId="0666CEDC">
              <wp:simplePos x="0" y="0"/>
              <wp:positionH relativeFrom="column">
                <wp:posOffset>2934071</wp:posOffset>
              </wp:positionH>
              <wp:positionV relativeFrom="paragraph">
                <wp:posOffset>74930</wp:posOffset>
              </wp:positionV>
              <wp:extent cx="2782570" cy="0"/>
              <wp:effectExtent l="0" t="0" r="17780" b="19050"/>
              <wp:wrapNone/>
              <wp:docPr id="10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825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73A9D1" id="Straight Connector 2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1.05pt,5.9pt" to="450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" strokeweight="1pt">
              <o:lock v:ext="edit" shapetype="f"/>
            </v:line>
          </w:pict>
        </mc:Fallback>
      </mc:AlternateContent>
    </w:r>
  </w:p>
  <w:p w:rsidR="00591903" w:rsidRPr="007E4EA2" w:rsidRDefault="00591903" w:rsidP="00591903">
    <w:pPr>
      <w:jc w:val="center"/>
      <w:rPr>
        <w:rFonts w:ascii="Helvetica" w:hAnsi="Helvetica"/>
        <w:b/>
        <w:spacing w:val="20"/>
        <w:sz w:val="4"/>
        <w:szCs w:val="4"/>
        <w:lang w:val="it-IT"/>
      </w:rPr>
    </w:pPr>
  </w:p>
  <w:p w:rsidR="00591903" w:rsidRPr="007E4EA2" w:rsidRDefault="00591903" w:rsidP="00591903">
    <w:pPr>
      <w:jc w:val="center"/>
      <w:rPr>
        <w:rFonts w:ascii="Helvetica" w:hAnsi="Helvetica"/>
        <w:b/>
        <w:spacing w:val="20"/>
        <w:sz w:val="15"/>
        <w:szCs w:val="15"/>
        <w:lang w:val="sq-AL"/>
      </w:rPr>
    </w:pPr>
    <w:r w:rsidRPr="007E4EA2">
      <w:rPr>
        <w:rFonts w:ascii="Helvetica" w:hAnsi="Helvetica"/>
        <w:b/>
        <w:spacing w:val="20"/>
        <w:sz w:val="15"/>
        <w:szCs w:val="15"/>
        <w:lang w:val="it-IT"/>
      </w:rPr>
      <w:t>R E P U B L I K A  E  S H Q I P Ë R I S Ë</w:t>
    </w:r>
  </w:p>
  <w:p w:rsidR="00591903" w:rsidRPr="007E4EA2" w:rsidRDefault="00591903" w:rsidP="00591903">
    <w:pPr>
      <w:jc w:val="center"/>
      <w:rPr>
        <w:b/>
        <w:lang w:val="sq-AL"/>
      </w:rPr>
    </w:pPr>
    <w:r w:rsidRPr="007E4EA2">
      <w:rPr>
        <w:b/>
        <w:lang w:val="sq-AL"/>
      </w:rPr>
      <w:t>BANKA E SHQIPËRISË</w:t>
    </w:r>
  </w:p>
  <w:p w:rsidR="00591903" w:rsidRPr="00591903" w:rsidRDefault="00CC4185" w:rsidP="00591903">
    <w:pPr>
      <w:jc w:val="center"/>
      <w:rPr>
        <w:rFonts w:eastAsia="Times New Roman"/>
        <w:b/>
        <w:sz w:val="20"/>
        <w:lang w:val="sq-AL"/>
      </w:rPr>
    </w:pPr>
    <w:r>
      <w:rPr>
        <w:rFonts w:eastAsia="Times New Roman"/>
        <w:b/>
        <w:sz w:val="20"/>
        <w:lang w:val="sq-AL"/>
      </w:rPr>
      <w:t>KËSHILLI MBIKËQYRËS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48D"/>
    <w:multiLevelType w:val="hybridMultilevel"/>
    <w:tmpl w:val="32B84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0A37"/>
    <w:multiLevelType w:val="hybridMultilevel"/>
    <w:tmpl w:val="71D80A3C"/>
    <w:lvl w:ilvl="0" w:tplc="347A9F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11C5"/>
    <w:multiLevelType w:val="hybridMultilevel"/>
    <w:tmpl w:val="5EA0BC4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782F77"/>
    <w:multiLevelType w:val="hybridMultilevel"/>
    <w:tmpl w:val="4C78FD4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A7859"/>
    <w:multiLevelType w:val="hybridMultilevel"/>
    <w:tmpl w:val="BE44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15ACD"/>
    <w:multiLevelType w:val="hybridMultilevel"/>
    <w:tmpl w:val="7A6E700E"/>
    <w:lvl w:ilvl="0" w:tplc="36ACE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14FC8"/>
    <w:multiLevelType w:val="hybridMultilevel"/>
    <w:tmpl w:val="7A6E700E"/>
    <w:lvl w:ilvl="0" w:tplc="36ACE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C134F"/>
    <w:multiLevelType w:val="hybridMultilevel"/>
    <w:tmpl w:val="F246267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526735B"/>
    <w:multiLevelType w:val="hybridMultilevel"/>
    <w:tmpl w:val="4C78FD4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85"/>
    <w:rsid w:val="000471B6"/>
    <w:rsid w:val="00050529"/>
    <w:rsid w:val="0005265A"/>
    <w:rsid w:val="00070856"/>
    <w:rsid w:val="00093FA4"/>
    <w:rsid w:val="000C3D0E"/>
    <w:rsid w:val="00102759"/>
    <w:rsid w:val="001057D6"/>
    <w:rsid w:val="00126BF8"/>
    <w:rsid w:val="001936EE"/>
    <w:rsid w:val="001A7595"/>
    <w:rsid w:val="001C1F82"/>
    <w:rsid w:val="00217566"/>
    <w:rsid w:val="00284A81"/>
    <w:rsid w:val="002951DA"/>
    <w:rsid w:val="002B7B50"/>
    <w:rsid w:val="002D4BB6"/>
    <w:rsid w:val="003322A4"/>
    <w:rsid w:val="003345F7"/>
    <w:rsid w:val="0036060F"/>
    <w:rsid w:val="00472F1C"/>
    <w:rsid w:val="004C773C"/>
    <w:rsid w:val="00502B77"/>
    <w:rsid w:val="0054017B"/>
    <w:rsid w:val="0054537B"/>
    <w:rsid w:val="0056399C"/>
    <w:rsid w:val="00582CB7"/>
    <w:rsid w:val="00591903"/>
    <w:rsid w:val="005F4E4F"/>
    <w:rsid w:val="006C0068"/>
    <w:rsid w:val="006F24E7"/>
    <w:rsid w:val="007018E7"/>
    <w:rsid w:val="00701BAA"/>
    <w:rsid w:val="007077D1"/>
    <w:rsid w:val="00740501"/>
    <w:rsid w:val="007B3621"/>
    <w:rsid w:val="007E4EA2"/>
    <w:rsid w:val="00872F91"/>
    <w:rsid w:val="008F6030"/>
    <w:rsid w:val="00925364"/>
    <w:rsid w:val="00930FDD"/>
    <w:rsid w:val="009609F6"/>
    <w:rsid w:val="009C35A4"/>
    <w:rsid w:val="00A05086"/>
    <w:rsid w:val="00A6568B"/>
    <w:rsid w:val="00A77524"/>
    <w:rsid w:val="00A77C1C"/>
    <w:rsid w:val="00AF2E5D"/>
    <w:rsid w:val="00AF435F"/>
    <w:rsid w:val="00B36FCF"/>
    <w:rsid w:val="00B60B94"/>
    <w:rsid w:val="00B95F61"/>
    <w:rsid w:val="00C11B0D"/>
    <w:rsid w:val="00C40BD5"/>
    <w:rsid w:val="00C50BE4"/>
    <w:rsid w:val="00CA74C1"/>
    <w:rsid w:val="00CB388E"/>
    <w:rsid w:val="00CC4185"/>
    <w:rsid w:val="00CC4C2A"/>
    <w:rsid w:val="00CC6FC3"/>
    <w:rsid w:val="00D1611F"/>
    <w:rsid w:val="00D24E68"/>
    <w:rsid w:val="00DF14B9"/>
    <w:rsid w:val="00E64D27"/>
    <w:rsid w:val="00E804C2"/>
    <w:rsid w:val="00E97137"/>
    <w:rsid w:val="00EB2D38"/>
    <w:rsid w:val="00EE34A4"/>
    <w:rsid w:val="00EE745A"/>
    <w:rsid w:val="00F60E99"/>
    <w:rsid w:val="00F749EC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B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EA2"/>
  </w:style>
  <w:style w:type="paragraph" w:styleId="Footer">
    <w:name w:val="footer"/>
    <w:basedOn w:val="Normal"/>
    <w:link w:val="FooterChar"/>
    <w:uiPriority w:val="99"/>
    <w:unhideWhenUsed/>
    <w:rsid w:val="007E4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EA2"/>
  </w:style>
  <w:style w:type="paragraph" w:styleId="ListParagraph">
    <w:name w:val="List Paragraph"/>
    <w:basedOn w:val="Normal"/>
    <w:uiPriority w:val="34"/>
    <w:qFormat/>
    <w:rsid w:val="00047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B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EA2"/>
  </w:style>
  <w:style w:type="paragraph" w:styleId="Footer">
    <w:name w:val="footer"/>
    <w:basedOn w:val="Normal"/>
    <w:link w:val="FooterChar"/>
    <w:uiPriority w:val="99"/>
    <w:unhideWhenUsed/>
    <w:rsid w:val="007E4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EA2"/>
  </w:style>
  <w:style w:type="paragraph" w:styleId="ListParagraph">
    <w:name w:val="List Paragraph"/>
    <w:basedOn w:val="Normal"/>
    <w:uiPriority w:val="34"/>
    <w:qFormat/>
    <w:rsid w:val="00047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li\Desktop\format%20shkrese%20I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9EA8-90E0-4ECE-A07E-E7849C1B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shkrese I (2)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Pegi Luli</dc:creator>
  <cp:lastModifiedBy>Doriana  Dine</cp:lastModifiedBy>
  <cp:revision>2</cp:revision>
  <cp:lastPrinted>2017-10-18T11:59:00Z</cp:lastPrinted>
  <dcterms:created xsi:type="dcterms:W3CDTF">2018-02-12T15:38:00Z</dcterms:created>
  <dcterms:modified xsi:type="dcterms:W3CDTF">2018-02-12T15:38:00Z</dcterms:modified>
</cp:coreProperties>
</file>