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95B4" w14:textId="77777777" w:rsidR="000471B6" w:rsidRPr="00333CA6" w:rsidRDefault="000471B6" w:rsidP="000471B6">
      <w:pPr>
        <w:spacing w:line="276" w:lineRule="auto"/>
        <w:jc w:val="center"/>
        <w:rPr>
          <w:b/>
        </w:rPr>
      </w:pPr>
    </w:p>
    <w:p w14:paraId="7889EAEF" w14:textId="77777777"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14:paraId="5E06DD24" w14:textId="77777777"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14:paraId="485E93E8" w14:textId="77777777"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14:paraId="6F5CFF59" w14:textId="77777777" w:rsidR="00A05086" w:rsidRDefault="00A05086" w:rsidP="000471B6">
      <w:pPr>
        <w:spacing w:line="276" w:lineRule="auto"/>
        <w:jc w:val="center"/>
        <w:rPr>
          <w:b/>
          <w:lang w:val="sq-AL"/>
        </w:rPr>
      </w:pPr>
    </w:p>
    <w:p w14:paraId="5DBCF1E4" w14:textId="77777777" w:rsidR="00A05086" w:rsidRPr="00A05086" w:rsidRDefault="00A05086" w:rsidP="00A05086">
      <w:pPr>
        <w:jc w:val="center"/>
        <w:rPr>
          <w:b/>
        </w:rPr>
      </w:pPr>
      <w:r>
        <w:rPr>
          <w:b/>
        </w:rPr>
        <w:t>DECISION</w:t>
      </w:r>
    </w:p>
    <w:p w14:paraId="34989BB5" w14:textId="77777777" w:rsidR="00A05086" w:rsidRPr="00A05086" w:rsidRDefault="00A05086" w:rsidP="00A05086">
      <w:pPr>
        <w:jc w:val="center"/>
        <w:rPr>
          <w:b/>
          <w:lang w:val="sq-AL" w:eastAsia="en-GB"/>
        </w:rPr>
      </w:pPr>
    </w:p>
    <w:p w14:paraId="5D9A4D76" w14:textId="77777777" w:rsidR="00A05086" w:rsidRPr="00A05086" w:rsidRDefault="00A05086" w:rsidP="00A0508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No. 13, dated 7.2.2018</w:t>
      </w:r>
    </w:p>
    <w:p w14:paraId="039A987D" w14:textId="77777777" w:rsidR="00A05086" w:rsidRPr="00A05086" w:rsidRDefault="00A05086" w:rsidP="00A05086">
      <w:pPr>
        <w:rPr>
          <w:lang w:val="sq-AL"/>
        </w:rPr>
      </w:pPr>
    </w:p>
    <w:p w14:paraId="5CD8A71C" w14:textId="77777777" w:rsidR="00A05086" w:rsidRPr="00A05086" w:rsidRDefault="00A05086" w:rsidP="00A05086">
      <w:pPr>
        <w:rPr>
          <w:lang w:val="sq-AL"/>
        </w:rPr>
      </w:pPr>
    </w:p>
    <w:p w14:paraId="7E8FC3BF" w14:textId="77777777" w:rsidR="00A05086" w:rsidRPr="00A05086" w:rsidRDefault="00A05086" w:rsidP="00A05086">
      <w:pPr>
        <w:autoSpaceDE w:val="0"/>
        <w:autoSpaceDN w:val="0"/>
        <w:adjustRightInd w:val="0"/>
        <w:ind w:hanging="360"/>
        <w:jc w:val="center"/>
        <w:rPr>
          <w:rFonts w:eastAsia="Times New Roman"/>
          <w:b/>
          <w:bCs/>
          <w:smallCaps/>
          <w:color w:val="000000"/>
          <w:lang w:val="sq-AL"/>
        </w:rPr>
      </w:pPr>
    </w:p>
    <w:p w14:paraId="6C5569C6" w14:textId="222C965C" w:rsidR="00A05086" w:rsidRPr="00671D06" w:rsidRDefault="00A05086" w:rsidP="00A05086">
      <w:pPr>
        <w:autoSpaceDE w:val="0"/>
        <w:autoSpaceDN w:val="0"/>
        <w:adjustRightInd w:val="0"/>
        <w:jc w:val="center"/>
        <w:rPr>
          <w:rFonts w:eastAsia="Times New Roman"/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Approval </w:t>
      </w:r>
      <w:r w:rsidRPr="00671D06">
        <w:rPr>
          <w:b/>
          <w:bCs/>
          <w:smallCaps/>
          <w:color w:val="000000"/>
        </w:rPr>
        <w:t xml:space="preserve">of required reserve ratio </w:t>
      </w:r>
    </w:p>
    <w:p w14:paraId="23C7C6A5" w14:textId="0F8DF1D8" w:rsidR="00A05086" w:rsidRDefault="00A05086" w:rsidP="00A05086">
      <w:pPr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671D06">
        <w:rPr>
          <w:b/>
          <w:bCs/>
          <w:smallCaps/>
          <w:color w:val="000000"/>
        </w:rPr>
        <w:t xml:space="preserve">held </w:t>
      </w:r>
      <w:r w:rsidR="00DF5DF1" w:rsidRPr="00671D06">
        <w:rPr>
          <w:b/>
          <w:bCs/>
          <w:smallCaps/>
          <w:color w:val="000000"/>
        </w:rPr>
        <w:t xml:space="preserve">by banks </w:t>
      </w:r>
      <w:r w:rsidRPr="00671D06">
        <w:rPr>
          <w:b/>
          <w:bCs/>
          <w:smallCaps/>
          <w:color w:val="000000"/>
        </w:rPr>
        <w:t>with</w:t>
      </w:r>
      <w:r>
        <w:rPr>
          <w:b/>
          <w:bCs/>
          <w:smallCaps/>
          <w:color w:val="000000"/>
        </w:rPr>
        <w:t xml:space="preserve"> the Bank of Albania </w:t>
      </w:r>
    </w:p>
    <w:p w14:paraId="421C6934" w14:textId="77777777" w:rsidR="00A05086" w:rsidRPr="00A05086" w:rsidRDefault="00A05086" w:rsidP="00A05086">
      <w:pPr>
        <w:jc w:val="both"/>
        <w:rPr>
          <w:lang w:val="sq-AL"/>
        </w:rPr>
      </w:pPr>
    </w:p>
    <w:p w14:paraId="56FCD1BF" w14:textId="7EFC12F9" w:rsidR="00A05086" w:rsidRPr="00A05086" w:rsidRDefault="00A05086" w:rsidP="00A05086">
      <w:pPr>
        <w:jc w:val="both"/>
      </w:pPr>
      <w:r>
        <w:t>In accordance with Article 7, p</w:t>
      </w:r>
      <w:r w:rsidR="00333CA6">
        <w:t>aragraph 2, of the Regulation “</w:t>
      </w:r>
      <w:r>
        <w:t xml:space="preserve">On minimum reserve requirement held </w:t>
      </w:r>
      <w:r w:rsidR="00DF5DF1">
        <w:t xml:space="preserve">by banks </w:t>
      </w:r>
      <w:r>
        <w:t xml:space="preserve">with the Bank of Albania”, adopted with the Decision No. 29, dated 16.05.2012 of the Supervisory Council of the Bank of Albania, as amended; having regard to the proposal from, Financial Stability Department and Monetary Operations Department, the Supervisory Council of the Bank of Albania, </w:t>
      </w:r>
    </w:p>
    <w:p w14:paraId="3C076EC5" w14:textId="77777777" w:rsidR="00A05086" w:rsidRPr="00A05086" w:rsidRDefault="00A05086" w:rsidP="00A05086">
      <w:pPr>
        <w:jc w:val="center"/>
      </w:pPr>
      <w:r>
        <w:tab/>
        <w:t xml:space="preserve">           </w:t>
      </w:r>
    </w:p>
    <w:p w14:paraId="04314201" w14:textId="77777777" w:rsidR="00A05086" w:rsidRPr="00A05086" w:rsidRDefault="00A05086" w:rsidP="00A05086">
      <w:pPr>
        <w:jc w:val="center"/>
      </w:pPr>
      <w:r>
        <w:t>DECIDED:</w:t>
      </w:r>
    </w:p>
    <w:p w14:paraId="70BDC9F2" w14:textId="77777777" w:rsidR="00A05086" w:rsidRPr="00A05086" w:rsidRDefault="00A05086" w:rsidP="00A05086">
      <w:pPr>
        <w:jc w:val="center"/>
        <w:rPr>
          <w:lang w:val="sq-AL"/>
        </w:rPr>
      </w:pPr>
    </w:p>
    <w:p w14:paraId="3BF941D9" w14:textId="4185CB71"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671D06">
        <w:t xml:space="preserve">The  required reserve ratio in </w:t>
      </w:r>
      <w:proofErr w:type="spellStart"/>
      <w:r w:rsidRPr="00671D06">
        <w:t>lek</w:t>
      </w:r>
      <w:proofErr w:type="spellEnd"/>
      <w:r>
        <w:t xml:space="preserve"> held </w:t>
      </w:r>
      <w:r w:rsidR="00DF5DF1">
        <w:t xml:space="preserve">by banks </w:t>
      </w:r>
      <w:r>
        <w:t xml:space="preserve">with the Bank of Albania, </w:t>
      </w:r>
      <w:r w:rsidR="00333CA6">
        <w:t>shall be</w:t>
      </w:r>
      <w:r>
        <w:t>:</w:t>
      </w:r>
    </w:p>
    <w:p w14:paraId="64600243" w14:textId="77777777"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14:paraId="5243BBC6" w14:textId="223DE20F" w:rsidR="00A05086" w:rsidRPr="00A05086" w:rsidRDefault="00A05086" w:rsidP="00A05086">
      <w:pPr>
        <w:numPr>
          <w:ilvl w:val="0"/>
          <w:numId w:val="8"/>
        </w:numPr>
        <w:spacing w:after="200" w:line="276" w:lineRule="auto"/>
        <w:ind w:left="567" w:hanging="283"/>
        <w:contextualSpacing/>
        <w:jc w:val="both"/>
      </w:pPr>
      <w:r>
        <w:t>7.5</w:t>
      </w:r>
      <w:r w:rsidR="00DF5DF1">
        <w:t>%</w:t>
      </w:r>
      <w:r>
        <w:t xml:space="preserve"> (seven point five per cent</w:t>
      </w:r>
      <w:r w:rsidR="00DF5DF1">
        <w:t>)</w:t>
      </w:r>
      <w:r>
        <w:t xml:space="preserve"> applied to the liability categories </w:t>
      </w:r>
      <w:r w:rsidR="00333CA6">
        <w:t>included</w:t>
      </w:r>
      <w:r>
        <w:t xml:space="preserve"> in the required reserve base, </w:t>
      </w:r>
      <w:r w:rsidR="00671D06">
        <w:t xml:space="preserve">to </w:t>
      </w:r>
      <w:r>
        <w:t xml:space="preserve">which a reserve ratio of 0% </w:t>
      </w:r>
      <w:r w:rsidR="00671D06">
        <w:t xml:space="preserve">is </w:t>
      </w:r>
      <w:r>
        <w:t>not appl</w:t>
      </w:r>
      <w:r w:rsidR="00671D06">
        <w:t>ied</w:t>
      </w:r>
      <w:r>
        <w:t xml:space="preserve"> and </w:t>
      </w:r>
      <w:r w:rsidR="00DF5DF1">
        <w:t xml:space="preserve">whose </w:t>
      </w:r>
      <w:r>
        <w:t xml:space="preserve">maturity </w:t>
      </w:r>
      <w:r w:rsidR="00DF5DF1">
        <w:t xml:space="preserve">is </w:t>
      </w:r>
      <w:r>
        <w:t>up to 12 months; and</w:t>
      </w:r>
    </w:p>
    <w:p w14:paraId="0B87894D" w14:textId="77777777" w:rsidR="00A05086" w:rsidRPr="00A05086" w:rsidRDefault="00A05086" w:rsidP="00A05086">
      <w:pPr>
        <w:ind w:left="567" w:hanging="283"/>
        <w:contextualSpacing/>
        <w:jc w:val="both"/>
        <w:rPr>
          <w:lang w:val="sq-AL"/>
        </w:rPr>
      </w:pPr>
    </w:p>
    <w:p w14:paraId="69AB17CD" w14:textId="44DA8FAF" w:rsidR="00A05086" w:rsidRPr="00A05086" w:rsidRDefault="00A05086" w:rsidP="00A05086">
      <w:pPr>
        <w:numPr>
          <w:ilvl w:val="0"/>
          <w:numId w:val="8"/>
        </w:numPr>
        <w:spacing w:after="200" w:line="276" w:lineRule="auto"/>
        <w:ind w:left="567" w:hanging="283"/>
        <w:contextualSpacing/>
        <w:jc w:val="both"/>
      </w:pPr>
      <w:r>
        <w:t>5.0</w:t>
      </w:r>
      <w:r w:rsidR="00DF5DF1">
        <w:t>%</w:t>
      </w:r>
      <w:r>
        <w:t xml:space="preserve"> (five point zero</w:t>
      </w:r>
      <w:r w:rsidR="00DF5DF1">
        <w:t xml:space="preserve"> </w:t>
      </w:r>
      <w:r>
        <w:t>per cent</w:t>
      </w:r>
      <w:r w:rsidR="00DF5DF1">
        <w:t>)</w:t>
      </w:r>
      <w:r>
        <w:t xml:space="preserve"> applied to the liability categories </w:t>
      </w:r>
      <w:r w:rsidR="00333CA6">
        <w:t>included</w:t>
      </w:r>
      <w:r>
        <w:t xml:space="preserve"> in the required reserve base, </w:t>
      </w:r>
      <w:r w:rsidR="00671D06">
        <w:t xml:space="preserve">to </w:t>
      </w:r>
      <w:r>
        <w:t xml:space="preserve">which a reserve ratio of 0% </w:t>
      </w:r>
      <w:r w:rsidR="00671D06">
        <w:t xml:space="preserve">is </w:t>
      </w:r>
      <w:r>
        <w:t>not appl</w:t>
      </w:r>
      <w:r w:rsidR="00671D06">
        <w:t>ied</w:t>
      </w:r>
      <w:r>
        <w:t xml:space="preserve"> and </w:t>
      </w:r>
      <w:r w:rsidR="00DF5DF1">
        <w:t xml:space="preserve">whose  </w:t>
      </w:r>
      <w:r>
        <w:t xml:space="preserve">maturity </w:t>
      </w:r>
      <w:r w:rsidR="00DF5DF1">
        <w:t xml:space="preserve">is over </w:t>
      </w:r>
      <w:r>
        <w:t>12 months</w:t>
      </w:r>
      <w:r w:rsidR="00DF5DF1">
        <w:t>,</w:t>
      </w:r>
      <w:r>
        <w:t xml:space="preserve"> up to two years.</w:t>
      </w:r>
    </w:p>
    <w:p w14:paraId="63BD0297" w14:textId="77777777" w:rsidR="00A05086" w:rsidRPr="00A05086" w:rsidRDefault="00A05086" w:rsidP="00A05086">
      <w:pPr>
        <w:ind w:left="1080"/>
        <w:contextualSpacing/>
        <w:jc w:val="both"/>
        <w:rPr>
          <w:lang w:val="sq-AL"/>
        </w:rPr>
      </w:pPr>
    </w:p>
    <w:p w14:paraId="65194301" w14:textId="2E29E725"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>
        <w:t xml:space="preserve">The required reserve ratio in foreign currency, held </w:t>
      </w:r>
      <w:r w:rsidR="00DF5DF1">
        <w:t xml:space="preserve">by banks </w:t>
      </w:r>
      <w:r>
        <w:t xml:space="preserve">with the Bank of Albania, </w:t>
      </w:r>
      <w:r w:rsidR="00333CA6">
        <w:t>shall be</w:t>
      </w:r>
      <w:r>
        <w:t>:</w:t>
      </w:r>
    </w:p>
    <w:p w14:paraId="152C69A3" w14:textId="77777777"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14:paraId="63DD57BF" w14:textId="711CB5A2" w:rsidR="00A05086" w:rsidRPr="00A05086" w:rsidRDefault="00A05086" w:rsidP="00A05086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12.5</w:t>
      </w:r>
      <w:r w:rsidR="00DF5DF1">
        <w:t>%</w:t>
      </w:r>
      <w:r>
        <w:t xml:space="preserve"> (twelve point five per cent</w:t>
      </w:r>
      <w:r w:rsidR="00DF5DF1">
        <w:t>)</w:t>
      </w:r>
      <w:r>
        <w:t xml:space="preserve"> applied to liability categories </w:t>
      </w:r>
      <w:r w:rsidR="00333CA6">
        <w:t>included</w:t>
      </w:r>
      <w:r>
        <w:t xml:space="preserve"> in the required reserve base, </w:t>
      </w:r>
      <w:r w:rsidR="00671D06">
        <w:t xml:space="preserve">to </w:t>
      </w:r>
      <w:r>
        <w:t xml:space="preserve">which the 0% reserve ratio </w:t>
      </w:r>
      <w:r w:rsidR="00671D06">
        <w:t xml:space="preserve">is </w:t>
      </w:r>
      <w:r>
        <w:t>not appl</w:t>
      </w:r>
      <w:r w:rsidR="00671D06">
        <w:t>ied</w:t>
      </w:r>
      <w:r>
        <w:t>, when the ratio “liabilities in respective foreign currency included in the required reserve base</w:t>
      </w:r>
      <w:r w:rsidR="00671D06">
        <w:t>,</w:t>
      </w:r>
      <w:r>
        <w:t xml:space="preserve"> </w:t>
      </w:r>
      <w:r w:rsidR="00671D06">
        <w:t xml:space="preserve">to </w:t>
      </w:r>
      <w:r>
        <w:t>which 0% reserve rate is not applied /</w:t>
      </w:r>
      <w:r w:rsidR="00DF5DF1">
        <w:t xml:space="preserve"> </w:t>
      </w:r>
      <w:r>
        <w:t>total liabilities included in the required reserve base</w:t>
      </w:r>
      <w:r w:rsidR="00671D06">
        <w:t>,</w:t>
      </w:r>
      <w:r>
        <w:t xml:space="preserve"> </w:t>
      </w:r>
      <w:r w:rsidR="00671D06">
        <w:t xml:space="preserve">to </w:t>
      </w:r>
      <w:r>
        <w:t>which 0% reserve rate is not applied” for the bank is up to 50</w:t>
      </w:r>
      <w:r w:rsidR="00DF5DF1">
        <w:t>%</w:t>
      </w:r>
      <w:r>
        <w:t xml:space="preserve"> (fifty per cent</w:t>
      </w:r>
      <w:r w:rsidR="00DF5DF1">
        <w:t>)</w:t>
      </w:r>
      <w:r>
        <w:t xml:space="preserve">; and  </w:t>
      </w:r>
    </w:p>
    <w:p w14:paraId="3D7C29CE" w14:textId="77777777" w:rsidR="00A05086" w:rsidRPr="00A05086" w:rsidRDefault="00A05086" w:rsidP="00A05086">
      <w:pPr>
        <w:ind w:left="720"/>
        <w:contextualSpacing/>
        <w:jc w:val="both"/>
        <w:rPr>
          <w:lang w:val="sq-AL"/>
        </w:rPr>
      </w:pPr>
    </w:p>
    <w:p w14:paraId="5F5CA17F" w14:textId="74DEF82F" w:rsidR="00A05086" w:rsidRPr="00A05086" w:rsidRDefault="00A05086" w:rsidP="00A05086">
      <w:pPr>
        <w:numPr>
          <w:ilvl w:val="0"/>
          <w:numId w:val="9"/>
        </w:numPr>
        <w:spacing w:after="200" w:line="276" w:lineRule="auto"/>
        <w:contextualSpacing/>
        <w:jc w:val="both"/>
      </w:pPr>
      <w:r>
        <w:lastRenderedPageBreak/>
        <w:t>20</w:t>
      </w:r>
      <w:r w:rsidR="00DF5DF1">
        <w:t>%</w:t>
      </w:r>
      <w:r>
        <w:t xml:space="preserve"> (twenty per cent</w:t>
      </w:r>
      <w:r w:rsidR="00DF5DF1">
        <w:t>)</w:t>
      </w:r>
      <w:r>
        <w:t xml:space="preserve"> applied to liability categories </w:t>
      </w:r>
      <w:r w:rsidR="00333CA6">
        <w:t>included</w:t>
      </w:r>
      <w:r>
        <w:t xml:space="preserve"> in the required reserve base, </w:t>
      </w:r>
      <w:r w:rsidR="00671D06">
        <w:t xml:space="preserve">to </w:t>
      </w:r>
      <w:r>
        <w:t>which the 0% reserve ratio is not applied, on the additional value of these liabilities of the bank exceeding 50</w:t>
      </w:r>
      <w:r w:rsidR="00DF5DF1">
        <w:t>%</w:t>
      </w:r>
      <w:r>
        <w:t xml:space="preserve"> (fifty per cent</w:t>
      </w:r>
      <w:r w:rsidR="00DF5DF1">
        <w:t>)</w:t>
      </w:r>
      <w:r>
        <w:t xml:space="preserve"> of the ratio “liabilities in respective foreign currency included in the required reserve base</w:t>
      </w:r>
      <w:r w:rsidR="00DF5DF1">
        <w:t>,</w:t>
      </w:r>
      <w:r>
        <w:t xml:space="preserve"> </w:t>
      </w:r>
      <w:r w:rsidR="00671D06">
        <w:t xml:space="preserve">to </w:t>
      </w:r>
      <w:r>
        <w:t>which 0% reserve ratio is not applied /</w:t>
      </w:r>
      <w:r w:rsidR="00DF5DF1">
        <w:t xml:space="preserve"> </w:t>
      </w:r>
      <w:r>
        <w:t>total liabilities included in the required reserve base</w:t>
      </w:r>
      <w:r w:rsidR="00DF5DF1">
        <w:t>,</w:t>
      </w:r>
      <w:r>
        <w:t xml:space="preserve"> </w:t>
      </w:r>
      <w:r w:rsidR="00671D06">
        <w:t xml:space="preserve">to </w:t>
      </w:r>
      <w:r>
        <w:t>which 0% reserve ratio is not applied”.</w:t>
      </w:r>
    </w:p>
    <w:p w14:paraId="7FAC60EC" w14:textId="77777777" w:rsidR="00A05086" w:rsidRPr="00A05086" w:rsidRDefault="00A05086" w:rsidP="00A05086">
      <w:pPr>
        <w:ind w:left="720"/>
        <w:contextualSpacing/>
        <w:rPr>
          <w:lang w:val="sq-AL"/>
        </w:rPr>
      </w:pPr>
    </w:p>
    <w:p w14:paraId="130F2B22" w14:textId="77777777" w:rsidR="00A05086" w:rsidRPr="00956B03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956B03">
        <w:t xml:space="preserve">For the base period of the required reserves, from January 2018 to June 2019, the holding of the required reserves shall be: </w:t>
      </w:r>
    </w:p>
    <w:p w14:paraId="47F67252" w14:textId="77777777" w:rsidR="00A05086" w:rsidRPr="00956B03" w:rsidRDefault="00A05086" w:rsidP="00A05086">
      <w:pPr>
        <w:ind w:left="284"/>
        <w:contextualSpacing/>
        <w:jc w:val="both"/>
        <w:rPr>
          <w:lang w:val="sq-AL"/>
        </w:rPr>
      </w:pPr>
    </w:p>
    <w:p w14:paraId="548C8BC1" w14:textId="28E4145E" w:rsidR="00A05086" w:rsidRPr="00956B03" w:rsidRDefault="00A05086" w:rsidP="00A05086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</w:pPr>
      <w:r w:rsidRPr="00956B03">
        <w:t>in foreign currency, for the value of required reserves corresponding to the required reserve ratio in foreign currency at the level of 10</w:t>
      </w:r>
      <w:r w:rsidR="00671D06" w:rsidRPr="00956B03">
        <w:t>%</w:t>
      </w:r>
      <w:r w:rsidRPr="00956B03">
        <w:t xml:space="preserve"> (ten per cent</w:t>
      </w:r>
      <w:r w:rsidR="00671D06" w:rsidRPr="00956B03">
        <w:t>)</w:t>
      </w:r>
      <w:r w:rsidRPr="00956B03">
        <w:t>; and</w:t>
      </w:r>
    </w:p>
    <w:p w14:paraId="2EDA4E65" w14:textId="77777777" w:rsidR="00A05086" w:rsidRPr="00956B03" w:rsidRDefault="00A05086" w:rsidP="00A05086">
      <w:pPr>
        <w:ind w:left="709"/>
        <w:contextualSpacing/>
        <w:jc w:val="both"/>
        <w:rPr>
          <w:lang w:val="sq-AL"/>
        </w:rPr>
      </w:pPr>
    </w:p>
    <w:p w14:paraId="07FE4605" w14:textId="50EE2633" w:rsidR="00A05086" w:rsidRPr="00956B03" w:rsidRDefault="00A05086" w:rsidP="00A05086">
      <w:pPr>
        <w:numPr>
          <w:ilvl w:val="0"/>
          <w:numId w:val="10"/>
        </w:numPr>
        <w:spacing w:after="200" w:line="276" w:lineRule="auto"/>
        <w:ind w:left="709"/>
        <w:contextualSpacing/>
        <w:jc w:val="both"/>
      </w:pPr>
      <w:proofErr w:type="gramStart"/>
      <w:r w:rsidRPr="00956B03">
        <w:t>in</w:t>
      </w:r>
      <w:proofErr w:type="gramEnd"/>
      <w:r w:rsidRPr="00956B03">
        <w:t xml:space="preserve"> </w:t>
      </w:r>
      <w:proofErr w:type="spellStart"/>
      <w:r w:rsidRPr="00956B03">
        <w:t>lek</w:t>
      </w:r>
      <w:proofErr w:type="spellEnd"/>
      <w:r w:rsidRPr="00956B03">
        <w:t xml:space="preserve">, for the value of required reserves corresponding to the required reserve ratio in </w:t>
      </w:r>
      <w:r w:rsidRPr="00412453">
        <w:t>foreign currency above the level of</w:t>
      </w:r>
      <w:bookmarkStart w:id="0" w:name="_GoBack"/>
      <w:bookmarkEnd w:id="0"/>
      <w:r w:rsidRPr="00956B03">
        <w:t xml:space="preserve"> 10</w:t>
      </w:r>
      <w:r w:rsidR="00671D06" w:rsidRPr="00956B03">
        <w:t>%</w:t>
      </w:r>
      <w:r w:rsidRPr="00956B03">
        <w:t xml:space="preserve"> (ten per cent</w:t>
      </w:r>
      <w:r w:rsidR="00671D06" w:rsidRPr="00956B03">
        <w:t>)</w:t>
      </w:r>
      <w:r w:rsidRPr="00956B03">
        <w:t xml:space="preserve">. </w:t>
      </w:r>
    </w:p>
    <w:p w14:paraId="40D0F2AD" w14:textId="77777777" w:rsidR="00A05086" w:rsidRPr="00956B03" w:rsidRDefault="00A05086" w:rsidP="00A05086">
      <w:pPr>
        <w:jc w:val="both"/>
        <w:rPr>
          <w:lang w:val="sq-AL"/>
        </w:rPr>
      </w:pPr>
    </w:p>
    <w:p w14:paraId="2AFAADEA" w14:textId="77777777"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956B03">
        <w:t>Starting from the base period</w:t>
      </w:r>
      <w:r>
        <w:t xml:space="preserve"> of the required reserve</w:t>
      </w:r>
      <w:r w:rsidR="00333CA6">
        <w:t>s</w:t>
      </w:r>
      <w:r>
        <w:t xml:space="preserve">, July 2019, the holding of required reserves in foreign currency, in accordance </w:t>
      </w:r>
      <w:r w:rsidR="00333CA6">
        <w:t>with</w:t>
      </w:r>
      <w:r>
        <w:t xml:space="preserve"> paragraph 2 set out in this Decision, shall be only in foreign currency.  </w:t>
      </w:r>
    </w:p>
    <w:p w14:paraId="6DEEC664" w14:textId="77777777" w:rsidR="00A05086" w:rsidRPr="00A05086" w:rsidRDefault="00A05086" w:rsidP="00A05086">
      <w:pPr>
        <w:ind w:left="284" w:hanging="284"/>
        <w:jc w:val="both"/>
        <w:rPr>
          <w:lang w:val="sq-AL"/>
        </w:rPr>
      </w:pPr>
    </w:p>
    <w:p w14:paraId="7C3DE91A" w14:textId="77777777"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>
        <w:t>The Monetary Operations Department is responsible for the implementation of this Decision.</w:t>
      </w:r>
    </w:p>
    <w:p w14:paraId="6E249788" w14:textId="77777777" w:rsidR="00A05086" w:rsidRPr="00A05086" w:rsidRDefault="00A05086" w:rsidP="00A05086">
      <w:pPr>
        <w:ind w:left="284" w:hanging="284"/>
        <w:contextualSpacing/>
        <w:jc w:val="both"/>
        <w:rPr>
          <w:lang w:val="sq-AL"/>
        </w:rPr>
      </w:pPr>
    </w:p>
    <w:p w14:paraId="0CD63DD0" w14:textId="77777777" w:rsidR="00A05086" w:rsidRPr="00A05086" w:rsidRDefault="00A0508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HAnsi"/>
        </w:rPr>
      </w:pPr>
      <w:r>
        <w:t>The Research Department is responsible for the publication of this Decision in the Official Bulletin of the Bank of Albania.</w:t>
      </w:r>
    </w:p>
    <w:p w14:paraId="120DFC5A" w14:textId="77777777" w:rsidR="00A05086" w:rsidRPr="00A05086" w:rsidRDefault="00A05086" w:rsidP="00A05086">
      <w:pPr>
        <w:ind w:left="284" w:hanging="284"/>
        <w:jc w:val="both"/>
        <w:rPr>
          <w:rFonts w:eastAsiaTheme="minorHAnsi"/>
          <w:lang w:val="sq-AL"/>
        </w:rPr>
      </w:pPr>
    </w:p>
    <w:p w14:paraId="3D96CD7B" w14:textId="77777777" w:rsidR="00A05086" w:rsidRPr="00A05086" w:rsidRDefault="00333CA6" w:rsidP="00A05086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HAnsi"/>
        </w:rPr>
      </w:pPr>
      <w:r>
        <w:t>The D</w:t>
      </w:r>
      <w:r w:rsidR="00A05086">
        <w:t>ecision of the Supervisory Council No. 45, dated 16.07.2008</w:t>
      </w:r>
      <w:r>
        <w:t xml:space="preserve"> shall be repealed upon the entry into force of this Decision</w:t>
      </w:r>
      <w:r w:rsidR="00A05086">
        <w:t xml:space="preserve">. </w:t>
      </w:r>
    </w:p>
    <w:p w14:paraId="5D55B7C8" w14:textId="77777777"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p w14:paraId="3C78542A" w14:textId="77777777" w:rsidR="00A05086" w:rsidRPr="00A05086" w:rsidRDefault="00A05086" w:rsidP="00A05086">
      <w:pPr>
        <w:jc w:val="both"/>
      </w:pPr>
      <w:r>
        <w:t xml:space="preserve">This </w:t>
      </w:r>
      <w:r w:rsidR="00333CA6">
        <w:t>D</w:t>
      </w:r>
      <w:r>
        <w:t>ecision shall enter into force on 24 July 2018.</w:t>
      </w:r>
    </w:p>
    <w:p w14:paraId="6F41A74C" w14:textId="77777777"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p w14:paraId="44BBF8DC" w14:textId="77777777" w:rsidR="00A05086" w:rsidRPr="00A05086" w:rsidRDefault="00A05086" w:rsidP="00A05086">
      <w:pPr>
        <w:ind w:left="360"/>
        <w:jc w:val="both"/>
        <w:rPr>
          <w:rFonts w:eastAsiaTheme="minorHAnsi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2892"/>
        <w:gridCol w:w="2892"/>
      </w:tblGrid>
      <w:tr w:rsidR="00A05086" w:rsidRPr="00A05086" w14:paraId="1A59F78B" w14:textId="77777777" w:rsidTr="00C5527A">
        <w:trPr>
          <w:trHeight w:val="315"/>
        </w:trPr>
        <w:tc>
          <w:tcPr>
            <w:tcW w:w="2892" w:type="dxa"/>
            <w:vAlign w:val="center"/>
          </w:tcPr>
          <w:p w14:paraId="7A46D946" w14:textId="77777777" w:rsidR="00A05086" w:rsidRPr="00A05086" w:rsidRDefault="00A05086" w:rsidP="00A05086">
            <w:pPr>
              <w:jc w:val="center"/>
            </w:pPr>
            <w:r>
              <w:rPr>
                <w:b/>
              </w:rPr>
              <w:t>SECRETARY</w:t>
            </w:r>
          </w:p>
        </w:tc>
        <w:tc>
          <w:tcPr>
            <w:tcW w:w="2892" w:type="dxa"/>
            <w:vAlign w:val="center"/>
          </w:tcPr>
          <w:p w14:paraId="0B0A4BF8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25110E2F" w14:textId="77777777" w:rsidR="00A05086" w:rsidRPr="00A05086" w:rsidRDefault="00A05086" w:rsidP="00A05086">
            <w:pPr>
              <w:jc w:val="center"/>
            </w:pPr>
            <w:r>
              <w:rPr>
                <w:b/>
              </w:rPr>
              <w:t>CHAIR</w:t>
            </w:r>
          </w:p>
        </w:tc>
      </w:tr>
      <w:tr w:rsidR="00A05086" w:rsidRPr="00A05086" w14:paraId="6FB87221" w14:textId="77777777" w:rsidTr="00C5527A">
        <w:trPr>
          <w:trHeight w:val="488"/>
        </w:trPr>
        <w:tc>
          <w:tcPr>
            <w:tcW w:w="2892" w:type="dxa"/>
            <w:vAlign w:val="center"/>
          </w:tcPr>
          <w:p w14:paraId="087A5A81" w14:textId="77777777" w:rsidR="00A05086" w:rsidRPr="00A05086" w:rsidRDefault="00A05086" w:rsidP="00A05086">
            <w:pPr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58EEB385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5869D90B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</w:tr>
      <w:tr w:rsidR="00A05086" w:rsidRPr="00A05086" w14:paraId="23A30694" w14:textId="77777777" w:rsidTr="00C5527A">
        <w:trPr>
          <w:trHeight w:val="488"/>
        </w:trPr>
        <w:tc>
          <w:tcPr>
            <w:tcW w:w="2892" w:type="dxa"/>
            <w:vAlign w:val="center"/>
          </w:tcPr>
          <w:p w14:paraId="11FF54DA" w14:textId="77777777" w:rsidR="00A05086" w:rsidRPr="00A05086" w:rsidRDefault="00A05086" w:rsidP="00A05086">
            <w:pPr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0B66E23A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050172F0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</w:tr>
      <w:tr w:rsidR="00A05086" w:rsidRPr="00A05086" w14:paraId="51EA6A1D" w14:textId="77777777" w:rsidTr="00C5527A">
        <w:trPr>
          <w:trHeight w:val="502"/>
        </w:trPr>
        <w:tc>
          <w:tcPr>
            <w:tcW w:w="2892" w:type="dxa"/>
            <w:vAlign w:val="center"/>
          </w:tcPr>
          <w:p w14:paraId="404027BE" w14:textId="77777777" w:rsidR="00A05086" w:rsidRPr="00A05086" w:rsidRDefault="00A05086" w:rsidP="00A05086">
            <w:pPr>
              <w:jc w:val="center"/>
            </w:pPr>
            <w:r>
              <w:rPr>
                <w:b/>
                <w:bCs/>
              </w:rPr>
              <w:t>Elvis ÇIBUKU</w:t>
            </w:r>
          </w:p>
        </w:tc>
        <w:tc>
          <w:tcPr>
            <w:tcW w:w="2892" w:type="dxa"/>
            <w:vAlign w:val="center"/>
          </w:tcPr>
          <w:p w14:paraId="784184E7" w14:textId="77777777" w:rsidR="00A05086" w:rsidRPr="00A05086" w:rsidRDefault="00A05086" w:rsidP="00A05086">
            <w:pPr>
              <w:jc w:val="center"/>
              <w:rPr>
                <w:lang w:val="sq-AL"/>
              </w:rPr>
            </w:pPr>
          </w:p>
        </w:tc>
        <w:tc>
          <w:tcPr>
            <w:tcW w:w="2892" w:type="dxa"/>
            <w:vAlign w:val="center"/>
          </w:tcPr>
          <w:p w14:paraId="04948CCE" w14:textId="77777777" w:rsidR="00A05086" w:rsidRPr="00A05086" w:rsidRDefault="00A05086" w:rsidP="00A05086">
            <w:pPr>
              <w:jc w:val="center"/>
            </w:pPr>
            <w:r>
              <w:rPr>
                <w:b/>
                <w:bCs/>
              </w:rPr>
              <w:t>Gent SEJKO</w:t>
            </w:r>
          </w:p>
        </w:tc>
      </w:tr>
    </w:tbl>
    <w:p w14:paraId="28F5CBFA" w14:textId="77777777" w:rsidR="00A05086" w:rsidRPr="00A05086" w:rsidRDefault="00A05086" w:rsidP="00A05086">
      <w:pPr>
        <w:rPr>
          <w:lang w:val="sq-AL"/>
        </w:rPr>
      </w:pPr>
    </w:p>
    <w:p w14:paraId="789F0FCE" w14:textId="77777777" w:rsidR="00582CB7" w:rsidRDefault="00582CB7" w:rsidP="000471B6">
      <w:pPr>
        <w:spacing w:line="276" w:lineRule="auto"/>
        <w:jc w:val="center"/>
        <w:rPr>
          <w:b/>
          <w:lang w:val="sq-AL"/>
        </w:rPr>
      </w:pPr>
    </w:p>
    <w:p w14:paraId="092E57D0" w14:textId="77777777" w:rsidR="00582CB7" w:rsidRDefault="00582CB7" w:rsidP="000471B6">
      <w:pPr>
        <w:spacing w:line="276" w:lineRule="auto"/>
        <w:jc w:val="center"/>
        <w:rPr>
          <w:b/>
          <w:lang w:val="sq-AL"/>
        </w:rPr>
      </w:pPr>
    </w:p>
    <w:p w14:paraId="51EB7159" w14:textId="77777777" w:rsidR="00582CB7" w:rsidRPr="00F60D14" w:rsidRDefault="00582CB7" w:rsidP="00A05086">
      <w:pPr>
        <w:spacing w:line="276" w:lineRule="auto"/>
        <w:rPr>
          <w:b/>
          <w:lang w:val="sq-AL"/>
        </w:rPr>
      </w:pPr>
    </w:p>
    <w:p w14:paraId="5068324E" w14:textId="77777777" w:rsidR="00582CB7" w:rsidRPr="00582CB7" w:rsidRDefault="00582CB7" w:rsidP="00582CB7">
      <w:pPr>
        <w:rPr>
          <w:rFonts w:eastAsiaTheme="minorHAnsi"/>
          <w:lang w:val="sq-AL"/>
        </w:rPr>
      </w:pPr>
    </w:p>
    <w:p w14:paraId="485EC569" w14:textId="77777777" w:rsidR="00582CB7" w:rsidRPr="00582CB7" w:rsidRDefault="00582CB7" w:rsidP="00582CB7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6C81646" w14:textId="77777777" w:rsidR="007077D1" w:rsidRPr="007077D1" w:rsidRDefault="007077D1" w:rsidP="003345F7">
      <w:pPr>
        <w:spacing w:line="276" w:lineRule="auto"/>
        <w:jc w:val="both"/>
        <w:rPr>
          <w:sz w:val="20"/>
          <w:lang w:val="sq-AL"/>
        </w:rPr>
      </w:pPr>
    </w:p>
    <w:sectPr w:rsidR="007077D1" w:rsidRPr="007077D1" w:rsidSect="00591903">
      <w:headerReference w:type="first" r:id="rId9"/>
      <w:pgSz w:w="11907" w:h="16839" w:code="9"/>
      <w:pgMar w:top="1134" w:right="1701" w:bottom="1134" w:left="1701" w:header="1134" w:footer="1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B4C1" w14:textId="77777777" w:rsidR="00DE6F6A" w:rsidRDefault="00DE6F6A" w:rsidP="007E4EA2">
      <w:r>
        <w:separator/>
      </w:r>
    </w:p>
  </w:endnote>
  <w:endnote w:type="continuationSeparator" w:id="0">
    <w:p w14:paraId="47D1FEAA" w14:textId="77777777" w:rsidR="00DE6F6A" w:rsidRDefault="00DE6F6A" w:rsidP="007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3E3A6" w14:textId="77777777" w:rsidR="00DE6F6A" w:rsidRDefault="00DE6F6A" w:rsidP="007E4EA2">
      <w:r>
        <w:separator/>
      </w:r>
    </w:p>
  </w:footnote>
  <w:footnote w:type="continuationSeparator" w:id="0">
    <w:p w14:paraId="22756A43" w14:textId="77777777" w:rsidR="00DE6F6A" w:rsidRDefault="00DE6F6A" w:rsidP="007E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864B" w14:textId="77777777" w:rsidR="00591903" w:rsidRPr="007E4EA2" w:rsidRDefault="00A77524" w:rsidP="00591903">
    <w:pPr>
      <w:ind w:left="714"/>
      <w:jc w:val="both"/>
      <w:rPr>
        <w:sz w:val="16"/>
      </w:rPr>
    </w:pPr>
    <w:r>
      <w:rPr>
        <w:rFonts w:ascii="Arial" w:eastAsia="Times New Roman" w:hAnsi="Arial"/>
        <w:noProof/>
        <w:sz w:val="26"/>
        <w:szCs w:val="26"/>
        <w:lang w:val="sq-AL" w:eastAsia="sq-AL"/>
      </w:rPr>
      <w:drawing>
        <wp:anchor distT="0" distB="0" distL="114300" distR="114300" simplePos="0" relativeHeight="251677696" behindDoc="1" locked="0" layoutInCell="1" allowOverlap="1" wp14:anchorId="29FD7F8D" wp14:editId="7D130F72">
          <wp:simplePos x="0" y="0"/>
          <wp:positionH relativeFrom="column">
            <wp:posOffset>-477256</wp:posOffset>
          </wp:positionH>
          <wp:positionV relativeFrom="paragraph">
            <wp:posOffset>-160020</wp:posOffset>
          </wp:positionV>
          <wp:extent cx="1304925" cy="1219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-e-jubileut-te-Skenderbe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F1C" w:rsidRPr="007E4EA2">
      <w:rPr>
        <w:rFonts w:ascii="Arial" w:eastAsia="Times New Roman" w:hAnsi="Arial"/>
        <w:noProof/>
        <w:sz w:val="26"/>
        <w:szCs w:val="26"/>
        <w:lang w:val="sq-AL" w:eastAsia="sq-AL"/>
      </w:rPr>
      <w:drawing>
        <wp:anchor distT="0" distB="0" distL="114300" distR="114300" simplePos="0" relativeHeight="251668480" behindDoc="1" locked="0" layoutInCell="1" allowOverlap="1" wp14:anchorId="5F4496B4" wp14:editId="65564ED4">
          <wp:simplePos x="0" y="0"/>
          <wp:positionH relativeFrom="column">
            <wp:posOffset>2466975</wp:posOffset>
          </wp:positionH>
          <wp:positionV relativeFrom="paragraph">
            <wp:posOffset>-99060</wp:posOffset>
          </wp:positionV>
          <wp:extent cx="464820" cy="699770"/>
          <wp:effectExtent l="0" t="0" r="0" b="5080"/>
          <wp:wrapTight wrapText="bothSides">
            <wp:wrapPolygon edited="0">
              <wp:start x="0" y="0"/>
              <wp:lineTo x="0" y="19405"/>
              <wp:lineTo x="6197" y="21169"/>
              <wp:lineTo x="15049" y="21169"/>
              <wp:lineTo x="20361" y="19405"/>
              <wp:lineTo x="20361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EE" w:rsidRPr="007E4EA2">
      <w:rPr>
        <w:rFonts w:ascii="Arial" w:eastAsia="Times New Roman" w:hAnsi="Arial"/>
        <w:noProof/>
        <w:sz w:val="26"/>
        <w:szCs w:val="26"/>
        <w:lang w:val="sq-AL" w:eastAsia="sq-AL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3B1B1A3F" wp14:editId="19CAA6B3">
              <wp:simplePos x="0" y="0"/>
              <wp:positionH relativeFrom="column">
                <wp:posOffset>-323850</wp:posOffset>
              </wp:positionH>
              <wp:positionV relativeFrom="paragraph">
                <wp:posOffset>509270</wp:posOffset>
              </wp:positionV>
              <wp:extent cx="2782570" cy="0"/>
              <wp:effectExtent l="0" t="0" r="17780" b="19050"/>
              <wp:wrapNone/>
              <wp:docPr id="1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A8EE2D" id="Straight Connector 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5pt,40.1pt" to="19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O5wEAAMcDAAAOAAAAZHJzL2Uyb0RvYy54bWysU02P0zAQvSPxHyzfadJIS5eo6R5aLZcF&#10;KnX5AbO2k1j4Sx7TtP+esdOWXbghcrDG8/E8b+Zl/XCyhh1VRO1dx5eLmjPlhJfaDR3//vz44Z4z&#10;TOAkGO9Ux88K+cPm/bv1FFrV+NEbqSIjEIftFDo+phTaqkIxKgu48EE5CvY+Wkh0jUMlI0yEbk3V&#10;1PXHavJRhuiFQiTvbg7yTcHveyXSt75HlZjpOPWWyhnL+ZLParOGdogQRi0ubcA/dGFBO3r0BrWD&#10;BOxn1H9BWS2iR9+nhfC28n2vhSociM2y/oPNYYSgChcaDobbmPD/wYqvx31kWtLulpw5sLSjQ4qg&#10;hzGxrXeOJugja/KgpoAt5W/dPmaq4uQO4cmLH0ix6k0wXzDMaac+2pxOXNmpDP58G7w6JSbI2azu&#10;m7sV7UdcYxW018IQMX1W3rJsdNxol2cCLRyfMOWnob2mZLfzj9qYslfj2ETEmlWdoYHk1RtIZNpA&#10;hNENnIEZSLcixQKJ3miZyzMQnnFrIjsCSYcUJ/30TP1yZgATBYhE+ebCEaSaUz/dkXvWFUL64uXs&#10;XtZXP/U7Q5fW3zyZeewAx7mkhDISVRiXW1JF0Rfav4ecrRcvz/t43QSppZRdlJ3l+PpO9uv/b/ML&#10;AAD//wMAUEsDBBQABgAIAAAAIQD8Jjdm3wAAAAkBAAAPAAAAZHJzL2Rvd25yZXYueG1sTI9BT8Mw&#10;DIXvSPyHyEjctnRFsKg0nRBomkBctiFx9RrTFBqna7Kt/HuCdoCb7ff0/L1yMbpOHGkIrWcNs2kG&#10;grj2puVGw9t2OVEgQkQ22HkmDd8UYFFdXpRYGH/iNR03sREphEOBGmyMfSFlqC05DFPfEyftww8O&#10;Y1qHRpoBTyncdTLPsjvpsOX0wWJPj5bqr83BacCn1Tq+q/xl3j7b18/tcr+yaq/19dX4cA8i0hj/&#10;zPCLn9ChSkw7f2ATRKdhcjtLXaIGleUgkuFGzdOwOx9kVcr/DaofAAAA//8DAFBLAQItABQABgAI&#10;AAAAIQC2gziS/gAAAOEBAAATAAAAAAAAAAAAAAAAAAAAAABbQ29udGVudF9UeXBlc10ueG1sUEsB&#10;Ai0AFAAGAAgAAAAhADj9If/WAAAAlAEAAAsAAAAAAAAAAAAAAAAALwEAAF9yZWxzLy5yZWxzUEsB&#10;Ai0AFAAGAAgAAAAhAMgOvs7nAQAAxwMAAA4AAAAAAAAAAAAAAAAALgIAAGRycy9lMm9Eb2MueG1s&#10;UEsBAi0AFAAGAAgAAAAhAPwmN2bfAAAACQEAAA8AAAAAAAAAAAAAAAAAQQQAAGRycy9kb3ducmV2&#10;LnhtbFBLBQYAAAAABAAEAPMAAABNBQAAAAA=&#10;" strokeweight="1pt">
              <o:lock v:ext="edit" shapetype="f"/>
            </v:line>
          </w:pict>
        </mc:Fallback>
      </mc:AlternateContent>
    </w:r>
  </w:p>
  <w:p w14:paraId="5BC8D87D" w14:textId="77777777"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5"/>
        <w:szCs w:val="15"/>
        <w:lang w:val="it-IT"/>
      </w:rPr>
    </w:pPr>
  </w:p>
  <w:p w14:paraId="43262D2B" w14:textId="77777777"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3"/>
        <w:szCs w:val="15"/>
        <w:lang w:val="it-IT"/>
      </w:rPr>
    </w:pPr>
  </w:p>
  <w:p w14:paraId="2A9FAAD5" w14:textId="77777777" w:rsidR="00591903" w:rsidRPr="007E4EA2" w:rsidRDefault="00591903" w:rsidP="00591903">
    <w:pPr>
      <w:spacing w:line="360" w:lineRule="auto"/>
      <w:rPr>
        <w:rFonts w:ascii="Helvetica" w:hAnsi="Helvetica" w:cs="Helvetica"/>
        <w:b/>
        <w:spacing w:val="20"/>
        <w:sz w:val="15"/>
        <w:szCs w:val="15"/>
      </w:rPr>
    </w:pPr>
    <w:r w:rsidRPr="007E4EA2">
      <w:rPr>
        <w:rFonts w:ascii="Arial" w:eastAsia="Times New Roman" w:hAnsi="Arial"/>
        <w:noProof/>
        <w:sz w:val="26"/>
        <w:szCs w:val="26"/>
        <w:lang w:val="sq-AL" w:eastAsia="sq-AL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0E69E344" wp14:editId="0F407110">
              <wp:simplePos x="0" y="0"/>
              <wp:positionH relativeFrom="column">
                <wp:posOffset>2934071</wp:posOffset>
              </wp:positionH>
              <wp:positionV relativeFrom="paragraph">
                <wp:posOffset>74930</wp:posOffset>
              </wp:positionV>
              <wp:extent cx="2782570" cy="0"/>
              <wp:effectExtent l="0" t="0" r="1778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6E14B" id="Straight Connector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05pt,5.9pt" to="45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V5wEAAMcDAAAOAAAAZHJzL2Uyb0RvYy54bWysU8tu2zAQvBfoPxC815IFpE4FyznYSC9p&#10;a8DpB2xISiLKF7isZf99l5TtJu2tqA4EuY/hznC0fjhZw44qovau48tFzZlywkvtho5/f378cM8Z&#10;JnASjHeq42eF/GHz/t16Cq1q/OiNVJERiMN2Ch0fUwptVaEYlQVc+KAcJXsfLSQ6xqGSESZCt6Zq&#10;6vpjNfkoQ/RCIVJ0Nyf5puD3vRLpW9+jSsx0nGZLZY1lfclrtVlDO0QIoxaXMeAfprCgHV16g9pB&#10;AvYz6r+grBbRo+/TQnhb+b7XQhUOxGZZ/8HmMEJQhQuJg+EmE/4/WPH1uI9MS3o7kseBpTc6pAh6&#10;GBPbeudIQR9Zk4WaArZUv3X7mKmKkzuEJy9+IOWqN8l8wDCXnfpoczlxZaci/PkmvDolJijYrO6b&#10;uxUNIK65CtprY4iYPitvWd503GiXNYEWjk+Y8tXQXkty2PlHbUx5V+PYRMSaVZ2hgezVG0i0tYEI&#10;oxs4AzOQb0WKBRK90TK3ZyA849ZEdgSyDjlO+umZ5uXMACZKEInyzY0jSDWXfrqj8OwrhPTFyzm8&#10;rK9xmneGLqO/uTLz2AGOc0tJZSTqMC6PpIqjL7R/i5x3L16e9/H6EuSW0nZxdrbj6zPtX/9/m18A&#10;AAD//wMAUEsDBBQABgAIAAAAIQAxaGVb3gAAAAkBAAAPAAAAZHJzL2Rvd25yZXYueG1sTI/BTsMw&#10;EETvSPyDtUjcqJ2AShriVAhUVaBe2iL1uk1MHIjXaey24e9ZxAGOO/M0O1PMR9eJkxlC60lDMlEg&#10;DFW+bqnR8LZd3GQgQkSqsfNkNHyZAPPy8qLAvPZnWpvTJjaCQyjkqMHG2OdShsoah2Hie0PsvfvB&#10;YeRzaGQ94JnDXSdTpabSYUv8wWJvnqypPjdHpwGfl+u4y9LX+/bFrj62i8PSZgetr6/GxwcQ0Yzx&#10;D4af+lwdSu6090eqg+g03E3ThFE2Ep7AwEypWxD7X0GWhfy/oPwGAAD//wMAUEsBAi0AFAAGAAgA&#10;AAAhALaDOJL+AAAA4QEAABMAAAAAAAAAAAAAAAAAAAAAAFtDb250ZW50X1R5cGVzXS54bWxQSwEC&#10;LQAUAAYACAAAACEAOP0h/9YAAACUAQAACwAAAAAAAAAAAAAAAAAvAQAAX3JlbHMvLnJlbHNQSwEC&#10;LQAUAAYACAAAACEAsxtSlecBAADHAwAADgAAAAAAAAAAAAAAAAAuAgAAZHJzL2Uyb0RvYy54bWxQ&#10;SwECLQAUAAYACAAAACEAMWhlW94AAAAJAQAADwAAAAAAAAAAAAAAAABBBAAAZHJzL2Rvd25yZXYu&#10;eG1sUEsFBgAAAAAEAAQA8wAAAEwFAAAAAA==&#10;" strokeweight="1pt">
              <o:lock v:ext="edit" shapetype="f"/>
            </v:line>
          </w:pict>
        </mc:Fallback>
      </mc:AlternateContent>
    </w:r>
  </w:p>
  <w:p w14:paraId="4A69698C" w14:textId="77777777" w:rsidR="00591903" w:rsidRPr="007E4EA2" w:rsidRDefault="00591903" w:rsidP="00591903">
    <w:pPr>
      <w:jc w:val="center"/>
      <w:rPr>
        <w:rFonts w:ascii="Helvetica" w:hAnsi="Helvetica"/>
        <w:b/>
        <w:spacing w:val="20"/>
        <w:sz w:val="4"/>
        <w:szCs w:val="4"/>
        <w:lang w:val="it-IT"/>
      </w:rPr>
    </w:pPr>
  </w:p>
  <w:p w14:paraId="4902F43A" w14:textId="77777777" w:rsidR="00591903" w:rsidRPr="007E4EA2" w:rsidRDefault="00591903" w:rsidP="00591903">
    <w:pPr>
      <w:jc w:val="center"/>
      <w:rPr>
        <w:rFonts w:ascii="Helvetica" w:hAnsi="Helvetica"/>
        <w:b/>
        <w:spacing w:val="20"/>
        <w:sz w:val="15"/>
        <w:szCs w:val="15"/>
      </w:rPr>
    </w:pPr>
    <w:r>
      <w:rPr>
        <w:rFonts w:ascii="Helvetica" w:hAnsi="Helvetica"/>
        <w:b/>
        <w:sz w:val="15"/>
        <w:szCs w:val="15"/>
      </w:rPr>
      <w:t xml:space="preserve">R E P U B L I </w:t>
    </w:r>
    <w:proofErr w:type="gramStart"/>
    <w:r>
      <w:rPr>
        <w:rFonts w:ascii="Helvetica" w:hAnsi="Helvetica"/>
        <w:b/>
        <w:sz w:val="15"/>
        <w:szCs w:val="15"/>
      </w:rPr>
      <w:t>C  O</w:t>
    </w:r>
    <w:proofErr w:type="gramEnd"/>
    <w:r>
      <w:rPr>
        <w:rFonts w:ascii="Helvetica" w:hAnsi="Helvetica"/>
        <w:b/>
        <w:sz w:val="15"/>
        <w:szCs w:val="15"/>
      </w:rPr>
      <w:t xml:space="preserve"> F  A L B A N I A</w:t>
    </w:r>
  </w:p>
  <w:p w14:paraId="11604325" w14:textId="77777777" w:rsidR="00591903" w:rsidRPr="007E4EA2" w:rsidRDefault="00591903" w:rsidP="00591903">
    <w:pPr>
      <w:jc w:val="center"/>
      <w:rPr>
        <w:b/>
      </w:rPr>
    </w:pPr>
    <w:r>
      <w:rPr>
        <w:b/>
      </w:rPr>
      <w:t>BANK OF ALBANIA</w:t>
    </w:r>
  </w:p>
  <w:p w14:paraId="34FC8F66" w14:textId="77777777" w:rsidR="00591903" w:rsidRPr="00591903" w:rsidRDefault="00CC4185" w:rsidP="00591903">
    <w:pPr>
      <w:jc w:val="center"/>
      <w:rPr>
        <w:rFonts w:eastAsia="Times New Roman"/>
        <w:b/>
        <w:sz w:val="20"/>
      </w:rPr>
    </w:pPr>
    <w:r>
      <w:rPr>
        <w:b/>
        <w:sz w:val="20"/>
      </w:rPr>
      <w:t>SUPERVISORY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48D"/>
    <w:multiLevelType w:val="hybridMultilevel"/>
    <w:tmpl w:val="32B84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A37"/>
    <w:multiLevelType w:val="hybridMultilevel"/>
    <w:tmpl w:val="71D80A3C"/>
    <w:lvl w:ilvl="0" w:tplc="347A9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1C5"/>
    <w:multiLevelType w:val="hybridMultilevel"/>
    <w:tmpl w:val="5EA0BC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782F77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7859"/>
    <w:multiLevelType w:val="hybridMultilevel"/>
    <w:tmpl w:val="BE44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ACD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FC8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134F"/>
    <w:multiLevelType w:val="hybridMultilevel"/>
    <w:tmpl w:val="F246267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26735B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5"/>
    <w:rsid w:val="000471B6"/>
    <w:rsid w:val="00050529"/>
    <w:rsid w:val="0005265A"/>
    <w:rsid w:val="00070856"/>
    <w:rsid w:val="000C3D0E"/>
    <w:rsid w:val="00102759"/>
    <w:rsid w:val="001057D6"/>
    <w:rsid w:val="00126BF8"/>
    <w:rsid w:val="001936EE"/>
    <w:rsid w:val="001A7595"/>
    <w:rsid w:val="001C1F82"/>
    <w:rsid w:val="002115F0"/>
    <w:rsid w:val="00217566"/>
    <w:rsid w:val="00284A81"/>
    <w:rsid w:val="002951DA"/>
    <w:rsid w:val="002B7B50"/>
    <w:rsid w:val="002D4BB6"/>
    <w:rsid w:val="003322A4"/>
    <w:rsid w:val="00333CA6"/>
    <w:rsid w:val="003345F7"/>
    <w:rsid w:val="0036060F"/>
    <w:rsid w:val="00412453"/>
    <w:rsid w:val="00472F1C"/>
    <w:rsid w:val="004C773C"/>
    <w:rsid w:val="00502B77"/>
    <w:rsid w:val="0054017B"/>
    <w:rsid w:val="0054537B"/>
    <w:rsid w:val="0056399C"/>
    <w:rsid w:val="00582CB7"/>
    <w:rsid w:val="00591903"/>
    <w:rsid w:val="005F4E4F"/>
    <w:rsid w:val="00671D06"/>
    <w:rsid w:val="00676914"/>
    <w:rsid w:val="006C0068"/>
    <w:rsid w:val="006F24E7"/>
    <w:rsid w:val="007018E7"/>
    <w:rsid w:val="00701BAA"/>
    <w:rsid w:val="007077D1"/>
    <w:rsid w:val="00740501"/>
    <w:rsid w:val="007E4EA2"/>
    <w:rsid w:val="00802E71"/>
    <w:rsid w:val="00872F91"/>
    <w:rsid w:val="008D50C8"/>
    <w:rsid w:val="008E06A8"/>
    <w:rsid w:val="008F6030"/>
    <w:rsid w:val="00925364"/>
    <w:rsid w:val="00930FDD"/>
    <w:rsid w:val="00956B03"/>
    <w:rsid w:val="009609F6"/>
    <w:rsid w:val="009C35A4"/>
    <w:rsid w:val="00A010E7"/>
    <w:rsid w:val="00A05086"/>
    <w:rsid w:val="00A536E1"/>
    <w:rsid w:val="00A6568B"/>
    <w:rsid w:val="00A77524"/>
    <w:rsid w:val="00A77C1C"/>
    <w:rsid w:val="00AF2E5D"/>
    <w:rsid w:val="00AF435F"/>
    <w:rsid w:val="00B36FCF"/>
    <w:rsid w:val="00B60B94"/>
    <w:rsid w:val="00B95F61"/>
    <w:rsid w:val="00BF38D6"/>
    <w:rsid w:val="00C11B0D"/>
    <w:rsid w:val="00C40BD5"/>
    <w:rsid w:val="00C50BE4"/>
    <w:rsid w:val="00CA74C1"/>
    <w:rsid w:val="00CB388E"/>
    <w:rsid w:val="00CC4185"/>
    <w:rsid w:val="00CC4C2A"/>
    <w:rsid w:val="00CC6FC3"/>
    <w:rsid w:val="00CE68E2"/>
    <w:rsid w:val="00D1611F"/>
    <w:rsid w:val="00D24E68"/>
    <w:rsid w:val="00DE6F6A"/>
    <w:rsid w:val="00DF14B9"/>
    <w:rsid w:val="00DF5DF1"/>
    <w:rsid w:val="00E271AA"/>
    <w:rsid w:val="00E6053A"/>
    <w:rsid w:val="00E64D27"/>
    <w:rsid w:val="00E668F3"/>
    <w:rsid w:val="00E804C2"/>
    <w:rsid w:val="00E838DC"/>
    <w:rsid w:val="00E97137"/>
    <w:rsid w:val="00EB2D38"/>
    <w:rsid w:val="00EE34A4"/>
    <w:rsid w:val="00EE745A"/>
    <w:rsid w:val="00F46EAF"/>
    <w:rsid w:val="00F60E99"/>
    <w:rsid w:val="00F749EC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A6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A6"/>
    <w:rPr>
      <w:rFonts w:ascii="Times New Roman" w:eastAsia="MS Mincho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A6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A6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li\Desktop\format%20shkrese%20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EAB-4B93-48A6-8159-A27DD900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shkrese I (2)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 Luli</dc:creator>
  <cp:lastModifiedBy>Megi Karamani</cp:lastModifiedBy>
  <cp:revision>4</cp:revision>
  <cp:lastPrinted>2017-10-18T11:59:00Z</cp:lastPrinted>
  <dcterms:created xsi:type="dcterms:W3CDTF">2018-10-12T10:12:00Z</dcterms:created>
  <dcterms:modified xsi:type="dcterms:W3CDTF">2018-11-05T13:16:00Z</dcterms:modified>
</cp:coreProperties>
</file>