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1" w:rsidRPr="00111381" w:rsidRDefault="00AA29ED" w:rsidP="00111381">
      <w:pPr>
        <w:jc w:val="center"/>
        <w:rPr>
          <w:rFonts w:ascii="Gill Sans MT" w:hAnsi="Gill Sans MT"/>
          <w:b/>
          <w:sz w:val="32"/>
          <w:szCs w:val="32"/>
        </w:rPr>
      </w:pPr>
      <w:r w:rsidRPr="00111381">
        <w:rPr>
          <w:rFonts w:ascii="Gill Sans MT" w:hAnsi="Gill Sans MT"/>
          <w:b/>
          <w:sz w:val="32"/>
          <w:szCs w:val="32"/>
        </w:rPr>
        <w:t xml:space="preserve">Vrojtimi i </w:t>
      </w:r>
      <w:r w:rsidR="00111381" w:rsidRPr="00111381">
        <w:rPr>
          <w:rFonts w:ascii="Gill Sans MT" w:hAnsi="Gill Sans MT"/>
          <w:b/>
          <w:sz w:val="32"/>
          <w:szCs w:val="32"/>
        </w:rPr>
        <w:t>Aktivitetit Kreditues</w:t>
      </w:r>
    </w:p>
    <w:p w:rsidR="00712A0C" w:rsidRPr="00111381" w:rsidRDefault="00111381" w:rsidP="00111381">
      <w:pPr>
        <w:jc w:val="center"/>
        <w:rPr>
          <w:rFonts w:ascii="Gill Sans MT" w:hAnsi="Gill Sans MT"/>
          <w:b/>
          <w:sz w:val="24"/>
        </w:rPr>
      </w:pPr>
      <w:r w:rsidRPr="00111381">
        <w:rPr>
          <w:rFonts w:ascii="Gill Sans MT" w:hAnsi="Gill Sans MT"/>
          <w:b/>
          <w:sz w:val="24"/>
        </w:rPr>
        <w:t xml:space="preserve">Roli </w:t>
      </w:r>
      <w:r w:rsidR="00382494" w:rsidRPr="00111381">
        <w:rPr>
          <w:rFonts w:ascii="Gill Sans MT" w:hAnsi="Gill Sans MT"/>
          <w:b/>
          <w:sz w:val="24"/>
        </w:rPr>
        <w:t>i tij për bankën qendrore dhe aspekte metodologjike</w:t>
      </w:r>
    </w:p>
    <w:p w:rsidR="00111381" w:rsidRDefault="00111381" w:rsidP="00593635">
      <w:pPr>
        <w:jc w:val="both"/>
        <w:rPr>
          <w:rFonts w:ascii="Gill Sans MT" w:hAnsi="Gill Sans MT"/>
          <w:b/>
          <w:i/>
        </w:rPr>
      </w:pPr>
    </w:p>
    <w:p w:rsidR="00142C62" w:rsidRPr="00D774E2" w:rsidRDefault="00142C62" w:rsidP="00593635">
      <w:pPr>
        <w:jc w:val="both"/>
        <w:rPr>
          <w:rFonts w:ascii="Gill Sans MT" w:hAnsi="Gill Sans MT"/>
          <w:b/>
          <w:i/>
        </w:rPr>
      </w:pPr>
      <w:r w:rsidRPr="00D774E2">
        <w:rPr>
          <w:rFonts w:ascii="Gill Sans MT" w:hAnsi="Gill Sans MT"/>
          <w:b/>
          <w:i/>
        </w:rPr>
        <w:t>Hyrje</w:t>
      </w:r>
    </w:p>
    <w:p w:rsidR="00D2278D" w:rsidRPr="00C73941" w:rsidRDefault="00427E8A" w:rsidP="00593635">
      <w:pPr>
        <w:jc w:val="both"/>
        <w:rPr>
          <w:rFonts w:ascii="Gill Sans MT" w:hAnsi="Gill Sans MT"/>
          <w:i/>
        </w:rPr>
      </w:pPr>
      <w:r w:rsidRPr="00C73941">
        <w:rPr>
          <w:rFonts w:ascii="Gill Sans MT" w:hAnsi="Gill Sans MT"/>
          <w:i/>
        </w:rPr>
        <w:t>Vrojtimi i aktivitetit kreditues ka për qëllim</w:t>
      </w:r>
      <w:r w:rsidR="00111381" w:rsidRPr="00C73941">
        <w:rPr>
          <w:rFonts w:ascii="Gill Sans MT" w:hAnsi="Gill Sans MT"/>
          <w:i/>
        </w:rPr>
        <w:t xml:space="preserve"> të</w:t>
      </w:r>
      <w:r w:rsidRPr="00C73941">
        <w:rPr>
          <w:rFonts w:ascii="Gill Sans MT" w:hAnsi="Gill Sans MT"/>
          <w:i/>
        </w:rPr>
        <w:t xml:space="preserve"> monitoro</w:t>
      </w:r>
      <w:r w:rsidR="00111381" w:rsidRPr="00C73941">
        <w:rPr>
          <w:rFonts w:ascii="Gill Sans MT" w:hAnsi="Gill Sans MT"/>
          <w:i/>
        </w:rPr>
        <w:t>jë</w:t>
      </w:r>
      <w:r w:rsidRPr="00C73941">
        <w:rPr>
          <w:rFonts w:ascii="Gill Sans MT" w:hAnsi="Gill Sans MT"/>
          <w:i/>
        </w:rPr>
        <w:t xml:space="preserve"> më nga afër zhvillimet në aktivitetin kreditues, duke pasuruar tablonë që përftohet nga të dhëna sasiore (sipas raportimeve mujore të bankave) me të dhëna cilësore, të cilat nuk janë pjesë e raportimeve</w:t>
      </w:r>
      <w:r w:rsidR="00C73941" w:rsidRPr="00C73941">
        <w:rPr>
          <w:rStyle w:val="FootnoteReference"/>
          <w:rFonts w:ascii="Gill Sans MT" w:hAnsi="Gill Sans MT"/>
          <w:i/>
        </w:rPr>
        <w:footnoteReference w:id="1"/>
      </w:r>
      <w:r w:rsidRPr="00C73941">
        <w:rPr>
          <w:rFonts w:ascii="Gill Sans MT" w:hAnsi="Gill Sans MT"/>
          <w:i/>
        </w:rPr>
        <w:t xml:space="preserve">. Gjithashtu ky vrojtim pasuron analizën mbi tregjet financiare në vend, duke hedhur dritë mbi zhvillimet si në kahun e kërkesës ashtu edhe të ofertës për kredi, si edhe mbi politikat apo strategjitë kredituese të sistemit bankar. </w:t>
      </w:r>
      <w:r w:rsidR="00212D1A" w:rsidRPr="00C73941">
        <w:rPr>
          <w:rFonts w:ascii="Gill Sans MT" w:hAnsi="Gill Sans MT"/>
          <w:i/>
        </w:rPr>
        <w:t xml:space="preserve">Për herë të parë </w:t>
      </w:r>
      <w:r w:rsidR="006F7466">
        <w:rPr>
          <w:rFonts w:ascii="Gill Sans MT" w:hAnsi="Gill Sans MT"/>
          <w:i/>
        </w:rPr>
        <w:t xml:space="preserve">një </w:t>
      </w:r>
      <w:r w:rsidR="00212D1A" w:rsidRPr="00C73941">
        <w:rPr>
          <w:rFonts w:ascii="Gill Sans MT" w:hAnsi="Gill Sans MT"/>
          <w:i/>
        </w:rPr>
        <w:t>vrojtim</w:t>
      </w:r>
      <w:r w:rsidR="006F7466">
        <w:rPr>
          <w:rFonts w:ascii="Gill Sans MT" w:hAnsi="Gill Sans MT"/>
          <w:i/>
        </w:rPr>
        <w:t xml:space="preserve"> i tillë </w:t>
      </w:r>
      <w:r w:rsidR="00212D1A" w:rsidRPr="00C73941">
        <w:rPr>
          <w:rFonts w:ascii="Gill Sans MT" w:hAnsi="Gill Sans MT"/>
          <w:i/>
        </w:rPr>
        <w:t xml:space="preserve">është prezantuar në ShBA, rreth viteve </w:t>
      </w:r>
      <w:r w:rsidR="00111381" w:rsidRPr="00C73941">
        <w:rPr>
          <w:rFonts w:ascii="Gill Sans MT" w:hAnsi="Gill Sans MT"/>
          <w:i/>
        </w:rPr>
        <w:t>’</w:t>
      </w:r>
      <w:r w:rsidR="00212D1A" w:rsidRPr="00C73941">
        <w:rPr>
          <w:rFonts w:ascii="Gill Sans MT" w:hAnsi="Gill Sans MT"/>
          <w:i/>
        </w:rPr>
        <w:t>60</w:t>
      </w:r>
      <w:r w:rsidR="00111381" w:rsidRPr="00C73941">
        <w:rPr>
          <w:rFonts w:ascii="Gill Sans MT" w:hAnsi="Gill Sans MT"/>
          <w:i/>
        </w:rPr>
        <w:t>, ndërsa n</w:t>
      </w:r>
      <w:r w:rsidR="00212D1A" w:rsidRPr="00C73941">
        <w:rPr>
          <w:rFonts w:ascii="Gill Sans MT" w:hAnsi="Gill Sans MT"/>
          <w:i/>
        </w:rPr>
        <w:t xml:space="preserve">ë Evropë </w:t>
      </w:r>
      <w:r w:rsidR="00FB18F9" w:rsidRPr="00C73941">
        <w:rPr>
          <w:rFonts w:ascii="Gill Sans MT" w:hAnsi="Gill Sans MT"/>
          <w:i/>
        </w:rPr>
        <w:t xml:space="preserve">në vitin 2003. </w:t>
      </w:r>
      <w:r w:rsidR="00111381" w:rsidRPr="00C73941">
        <w:rPr>
          <w:rFonts w:ascii="Gill Sans MT" w:hAnsi="Gill Sans MT"/>
          <w:i/>
        </w:rPr>
        <w:t>Në Shqipëri, v</w:t>
      </w:r>
      <w:r w:rsidR="00D2278D" w:rsidRPr="00C73941">
        <w:rPr>
          <w:rFonts w:ascii="Gill Sans MT" w:hAnsi="Gill Sans MT"/>
          <w:i/>
        </w:rPr>
        <w:t xml:space="preserve">rojtimi i aktivitetit kreditues </w:t>
      </w:r>
      <w:r w:rsidR="00045542" w:rsidRPr="00C73941">
        <w:rPr>
          <w:rFonts w:ascii="Gill Sans MT" w:hAnsi="Gill Sans MT"/>
          <w:i/>
        </w:rPr>
        <w:t xml:space="preserve">ka filluar të </w:t>
      </w:r>
      <w:r w:rsidR="00111381" w:rsidRPr="00C73941">
        <w:rPr>
          <w:rFonts w:ascii="Gill Sans MT" w:hAnsi="Gill Sans MT"/>
          <w:i/>
        </w:rPr>
        <w:t>përpilohet</w:t>
      </w:r>
      <w:r w:rsidR="007872DA" w:rsidRPr="00C73941">
        <w:rPr>
          <w:rFonts w:ascii="Gill Sans MT" w:hAnsi="Gill Sans MT"/>
          <w:i/>
        </w:rPr>
        <w:t xml:space="preserve"> </w:t>
      </w:r>
      <w:r w:rsidR="00111381" w:rsidRPr="00C73941">
        <w:rPr>
          <w:rFonts w:ascii="Gill Sans MT" w:hAnsi="Gill Sans MT"/>
          <w:i/>
        </w:rPr>
        <w:t>që</w:t>
      </w:r>
      <w:r w:rsidR="007872DA" w:rsidRPr="00C73941">
        <w:rPr>
          <w:rFonts w:ascii="Gill Sans MT" w:hAnsi="Gill Sans MT"/>
          <w:i/>
        </w:rPr>
        <w:t xml:space="preserve"> prej vitit </w:t>
      </w:r>
      <w:r w:rsidR="003C78B2" w:rsidRPr="00C73941">
        <w:rPr>
          <w:rFonts w:ascii="Gill Sans MT" w:hAnsi="Gill Sans MT"/>
          <w:i/>
        </w:rPr>
        <w:t xml:space="preserve">2007. </w:t>
      </w:r>
      <w:r w:rsidR="00D2278D" w:rsidRPr="00C73941">
        <w:rPr>
          <w:rFonts w:ascii="Gill Sans MT" w:hAnsi="Gill Sans MT"/>
          <w:i/>
        </w:rPr>
        <w:t xml:space="preserve">Analiza mbi këto rezultate vijon të publikohet </w:t>
      </w:r>
      <w:r w:rsidR="004B2580" w:rsidRPr="00C73941">
        <w:rPr>
          <w:rFonts w:ascii="Gill Sans MT" w:hAnsi="Gill Sans MT"/>
          <w:i/>
        </w:rPr>
        <w:t>në faqen e internetit t</w:t>
      </w:r>
      <w:r w:rsidR="00A82CC2" w:rsidRPr="00C73941">
        <w:rPr>
          <w:rFonts w:ascii="Gill Sans MT" w:hAnsi="Gill Sans MT"/>
          <w:i/>
        </w:rPr>
        <w:t>ë</w:t>
      </w:r>
      <w:r w:rsidR="004B2580" w:rsidRPr="00C73941">
        <w:rPr>
          <w:rFonts w:ascii="Gill Sans MT" w:hAnsi="Gill Sans MT"/>
          <w:i/>
        </w:rPr>
        <w:t xml:space="preserve"> Bankës së Shqipërisë </w:t>
      </w:r>
      <w:r w:rsidR="00D2278D" w:rsidRPr="00C73941">
        <w:rPr>
          <w:rFonts w:ascii="Gill Sans MT" w:hAnsi="Gill Sans MT"/>
          <w:i/>
        </w:rPr>
        <w:t>që prej</w:t>
      </w:r>
      <w:r w:rsidR="003C78B2" w:rsidRPr="00C73941">
        <w:rPr>
          <w:rFonts w:ascii="Gill Sans MT" w:hAnsi="Gill Sans MT"/>
          <w:i/>
        </w:rPr>
        <w:t xml:space="preserve"> </w:t>
      </w:r>
      <w:r w:rsidR="00F61355" w:rsidRPr="00C73941">
        <w:rPr>
          <w:rFonts w:ascii="Gill Sans MT" w:hAnsi="Gill Sans MT"/>
          <w:i/>
        </w:rPr>
        <w:t>gjashtëmujorit</w:t>
      </w:r>
      <w:r w:rsidR="003C78B2" w:rsidRPr="00C73941">
        <w:rPr>
          <w:rFonts w:ascii="Gill Sans MT" w:hAnsi="Gill Sans MT"/>
          <w:i/>
        </w:rPr>
        <w:t xml:space="preserve"> </w:t>
      </w:r>
      <w:r w:rsidR="00F61355" w:rsidRPr="00C73941">
        <w:rPr>
          <w:rFonts w:ascii="Gill Sans MT" w:hAnsi="Gill Sans MT"/>
          <w:i/>
        </w:rPr>
        <w:t>të</w:t>
      </w:r>
      <w:r w:rsidR="003C78B2" w:rsidRPr="00C73941">
        <w:rPr>
          <w:rFonts w:ascii="Gill Sans MT" w:hAnsi="Gill Sans MT"/>
          <w:i/>
        </w:rPr>
        <w:t xml:space="preserve"> </w:t>
      </w:r>
      <w:r w:rsidR="00F61355" w:rsidRPr="00C73941">
        <w:rPr>
          <w:rFonts w:ascii="Gill Sans MT" w:hAnsi="Gill Sans MT"/>
          <w:i/>
        </w:rPr>
        <w:t>dytë</w:t>
      </w:r>
      <w:r w:rsidR="003C78B2" w:rsidRPr="00C73941">
        <w:rPr>
          <w:rFonts w:ascii="Gill Sans MT" w:hAnsi="Gill Sans MT"/>
          <w:i/>
        </w:rPr>
        <w:t xml:space="preserve"> </w:t>
      </w:r>
      <w:r w:rsidR="00F61355" w:rsidRPr="00C73941">
        <w:rPr>
          <w:rFonts w:ascii="Gill Sans MT" w:hAnsi="Gill Sans MT"/>
          <w:i/>
        </w:rPr>
        <w:t>të</w:t>
      </w:r>
      <w:r w:rsidR="003C78B2" w:rsidRPr="00C73941">
        <w:rPr>
          <w:rFonts w:ascii="Gill Sans MT" w:hAnsi="Gill Sans MT"/>
          <w:i/>
        </w:rPr>
        <w:t xml:space="preserve"> vitit 200</w:t>
      </w:r>
      <w:r w:rsidR="004B2580" w:rsidRPr="00C73941">
        <w:rPr>
          <w:rFonts w:ascii="Gill Sans MT" w:hAnsi="Gill Sans MT"/>
          <w:i/>
        </w:rPr>
        <w:t>7</w:t>
      </w:r>
      <w:r w:rsidR="003C78B2" w:rsidRPr="00C73941">
        <w:rPr>
          <w:rFonts w:ascii="Gill Sans MT" w:hAnsi="Gill Sans MT"/>
          <w:i/>
        </w:rPr>
        <w:t xml:space="preserve">.  </w:t>
      </w:r>
    </w:p>
    <w:p w:rsidR="004B2580" w:rsidRPr="00D774E2" w:rsidRDefault="00065E37" w:rsidP="00593635">
      <w:pPr>
        <w:jc w:val="both"/>
        <w:rPr>
          <w:rFonts w:ascii="Gill Sans MT" w:hAnsi="Gill Sans MT"/>
          <w:b/>
          <w:i/>
        </w:rPr>
      </w:pPr>
      <w:r w:rsidRPr="00D774E2">
        <w:rPr>
          <w:rFonts w:ascii="Gill Sans MT" w:hAnsi="Gill Sans MT"/>
          <w:b/>
          <w:i/>
        </w:rPr>
        <w:t xml:space="preserve">Pse është i rëndësishëm </w:t>
      </w:r>
      <w:r w:rsidR="00A62D8D" w:rsidRPr="00D774E2">
        <w:rPr>
          <w:rFonts w:ascii="Gill Sans MT" w:hAnsi="Gill Sans MT"/>
          <w:b/>
          <w:i/>
        </w:rPr>
        <w:t>vrojtimi mbi aktivitetin kreditues</w:t>
      </w:r>
      <w:r w:rsidRPr="00D774E2">
        <w:rPr>
          <w:rFonts w:ascii="Gill Sans MT" w:hAnsi="Gill Sans MT"/>
          <w:b/>
          <w:i/>
        </w:rPr>
        <w:t xml:space="preserve"> për bankën qendrore? </w:t>
      </w:r>
    </w:p>
    <w:p w:rsidR="00953C65" w:rsidRDefault="00A62D8D" w:rsidP="0059363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Së pari, zhvillimet në aktivitetin kre</w:t>
      </w:r>
      <w:r w:rsidR="002F74CB">
        <w:rPr>
          <w:rFonts w:ascii="Gill Sans MT" w:hAnsi="Gill Sans MT"/>
        </w:rPr>
        <w:t xml:space="preserve">ditues </w:t>
      </w:r>
      <w:r w:rsidR="00A60E39">
        <w:rPr>
          <w:rFonts w:ascii="Gill Sans MT" w:hAnsi="Gill Sans MT"/>
        </w:rPr>
        <w:t xml:space="preserve">ndikojnë </w:t>
      </w:r>
      <w:r w:rsidR="00A82CC2">
        <w:rPr>
          <w:rFonts w:ascii="Gill Sans MT" w:hAnsi="Gill Sans MT"/>
        </w:rPr>
        <w:t>gjerësisht</w:t>
      </w:r>
      <w:r w:rsidR="002F74C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ecurinë e aktivitetit ekonomik </w:t>
      </w:r>
      <w:r w:rsidR="002F74CB">
        <w:rPr>
          <w:rFonts w:ascii="Gill Sans MT" w:hAnsi="Gill Sans MT"/>
        </w:rPr>
        <w:t>dhe luhatjet në ciklet e biznesit</w:t>
      </w:r>
      <w:r>
        <w:rPr>
          <w:rFonts w:ascii="Gill Sans MT" w:hAnsi="Gill Sans MT"/>
        </w:rPr>
        <w:t xml:space="preserve">. Teorikisht, rritja e kreditimit në vend </w:t>
      </w:r>
      <w:r w:rsidR="00111381">
        <w:rPr>
          <w:rFonts w:ascii="Gill Sans MT" w:hAnsi="Gill Sans MT"/>
        </w:rPr>
        <w:t>mbështet</w:t>
      </w:r>
      <w:r w:rsidR="0078297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rritjen ekonomike, dhe anasjelltas. Ky vrojtim pasuron analizën mbi ecurinë e kreditimit në vend nëpërmjet informacionit që ofrohet nga standardet e aplikuara </w:t>
      </w:r>
      <w:r w:rsidR="00A60E39">
        <w:rPr>
          <w:rFonts w:ascii="Gill Sans MT" w:hAnsi="Gill Sans MT"/>
        </w:rPr>
        <w:t>nga bankat</w:t>
      </w:r>
      <w:r>
        <w:rPr>
          <w:rFonts w:ascii="Gill Sans MT" w:hAnsi="Gill Sans MT"/>
        </w:rPr>
        <w:t>, kushtet çmim dhe jo-çmim, perceptimit të rrezikut nga ana e bankave dhe gatishmërisë së tyre për të kredituar ekonominë. Informacioni i përftuar nga vrojtimi i aktivitetit kreditues</w:t>
      </w:r>
      <w:r w:rsidR="00953C65">
        <w:rPr>
          <w:rFonts w:ascii="Gill Sans MT" w:hAnsi="Gill Sans MT"/>
        </w:rPr>
        <w:t xml:space="preserve"> ndihmon për të kuptuar më nga afër </w:t>
      </w:r>
      <w:r w:rsidR="00AA1D6C">
        <w:rPr>
          <w:rFonts w:ascii="Gill Sans MT" w:hAnsi="Gill Sans MT"/>
        </w:rPr>
        <w:t>përqasjen e bankave drejt kreditimit të ekonomisë</w:t>
      </w:r>
      <w:r w:rsidR="00A60E39">
        <w:rPr>
          <w:rFonts w:ascii="Gill Sans MT" w:hAnsi="Gill Sans MT"/>
        </w:rPr>
        <w:t xml:space="preserve">. </w:t>
      </w:r>
      <w:r w:rsidR="00A82CC2">
        <w:rPr>
          <w:rFonts w:ascii="Gill Sans MT" w:hAnsi="Gill Sans MT"/>
        </w:rPr>
        <w:t>Në këtë kontekst ai</w:t>
      </w:r>
      <w:r w:rsidR="00BD662B">
        <w:rPr>
          <w:rFonts w:ascii="Gill Sans MT" w:hAnsi="Gill Sans MT"/>
        </w:rPr>
        <w:t xml:space="preserve"> plotëson</w:t>
      </w:r>
      <w:r w:rsidR="00F7051E">
        <w:rPr>
          <w:rFonts w:ascii="Gill Sans MT" w:hAnsi="Gill Sans MT"/>
        </w:rPr>
        <w:t xml:space="preserve"> me të dhëna cilësore vlerësimet mbi ecurinë </w:t>
      </w:r>
      <w:r w:rsidR="00A60E39">
        <w:rPr>
          <w:rFonts w:ascii="Gill Sans MT" w:hAnsi="Gill Sans MT"/>
        </w:rPr>
        <w:t xml:space="preserve">e </w:t>
      </w:r>
      <w:r w:rsidR="00F7051E">
        <w:rPr>
          <w:rFonts w:ascii="Gill Sans MT" w:hAnsi="Gill Sans MT"/>
        </w:rPr>
        <w:t>treguesve ekonomikë</w:t>
      </w:r>
      <w:r w:rsidR="00013324">
        <w:rPr>
          <w:rFonts w:ascii="Gill Sans MT" w:hAnsi="Gill Sans MT"/>
        </w:rPr>
        <w:t xml:space="preserve"> (konsumi, investimet, prodhimi, etj.)</w:t>
      </w:r>
      <w:r w:rsidR="00F7051E">
        <w:rPr>
          <w:rFonts w:ascii="Gill Sans MT" w:hAnsi="Gill Sans MT"/>
        </w:rPr>
        <w:t>, monetarë</w:t>
      </w:r>
      <w:r w:rsidR="00CA2C7C">
        <w:rPr>
          <w:rFonts w:ascii="Gill Sans MT" w:hAnsi="Gill Sans MT"/>
        </w:rPr>
        <w:t xml:space="preserve"> </w:t>
      </w:r>
      <w:r w:rsidR="00A60E39">
        <w:rPr>
          <w:rFonts w:ascii="Gill Sans MT" w:hAnsi="Gill Sans MT"/>
        </w:rPr>
        <w:t>dh</w:t>
      </w:r>
      <w:r w:rsidR="00CA2C7C">
        <w:rPr>
          <w:rFonts w:ascii="Gill Sans MT" w:hAnsi="Gill Sans MT"/>
        </w:rPr>
        <w:t>e financiar</w:t>
      </w:r>
      <w:r w:rsidR="00F7051E">
        <w:rPr>
          <w:rFonts w:ascii="Gill Sans MT" w:hAnsi="Gill Sans MT"/>
        </w:rPr>
        <w:t>ë</w:t>
      </w:r>
      <w:r w:rsidR="00CA2C7C">
        <w:rPr>
          <w:rFonts w:ascii="Gill Sans MT" w:hAnsi="Gill Sans MT"/>
        </w:rPr>
        <w:t>, mbi</w:t>
      </w:r>
      <w:r w:rsidR="00D2278D">
        <w:rPr>
          <w:rFonts w:ascii="Gill Sans MT" w:hAnsi="Gill Sans MT"/>
        </w:rPr>
        <w:t xml:space="preserve"> tërësinë e të cilave ndër të tjera </w:t>
      </w:r>
      <w:r w:rsidR="00CA2C7C">
        <w:rPr>
          <w:rFonts w:ascii="Gill Sans MT" w:hAnsi="Gill Sans MT"/>
        </w:rPr>
        <w:t>bazohet dhe vend</w:t>
      </w:r>
      <w:r w:rsidR="00AB2AA8">
        <w:rPr>
          <w:rFonts w:ascii="Gill Sans MT" w:hAnsi="Gill Sans MT"/>
        </w:rPr>
        <w:t>immarrj</w:t>
      </w:r>
      <w:r w:rsidR="00CA2C7C">
        <w:rPr>
          <w:rFonts w:ascii="Gill Sans MT" w:hAnsi="Gill Sans MT"/>
        </w:rPr>
        <w:t>a</w:t>
      </w:r>
      <w:r w:rsidR="00AB2AA8">
        <w:rPr>
          <w:rFonts w:ascii="Gill Sans MT" w:hAnsi="Gill Sans MT"/>
        </w:rPr>
        <w:t xml:space="preserve"> e politikës monetare</w:t>
      </w:r>
      <w:r w:rsidR="00CA2C7C">
        <w:rPr>
          <w:rFonts w:ascii="Gill Sans MT" w:hAnsi="Gill Sans MT"/>
        </w:rPr>
        <w:t xml:space="preserve">. </w:t>
      </w:r>
    </w:p>
    <w:p w:rsidR="00DC1C85" w:rsidRDefault="00EF6F50" w:rsidP="003C185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Së dyti, ai pasuron setin e informacione</w:t>
      </w:r>
      <w:r w:rsidR="004A15DC">
        <w:rPr>
          <w:rFonts w:ascii="Gill Sans MT" w:hAnsi="Gill Sans MT"/>
        </w:rPr>
        <w:t>ve</w:t>
      </w:r>
      <w:r>
        <w:rPr>
          <w:rFonts w:ascii="Gill Sans MT" w:hAnsi="Gill Sans MT"/>
        </w:rPr>
        <w:t xml:space="preserve"> lidhur me </w:t>
      </w:r>
      <w:r w:rsidR="004A15DC">
        <w:rPr>
          <w:rFonts w:ascii="Gill Sans MT" w:hAnsi="Gill Sans MT"/>
        </w:rPr>
        <w:t>mekanizmin e transmetimit të politikës monetare. Teorikisht dhe praktikisht, v</w:t>
      </w:r>
      <w:r w:rsidR="00D2278D">
        <w:rPr>
          <w:rFonts w:ascii="Gill Sans MT" w:hAnsi="Gill Sans MT"/>
        </w:rPr>
        <w:t xml:space="preserve">endimet e politikës monetare transmetohen në ekonomi nëpërmjet kanaleve të ndryshme. Sipas konceptit </w:t>
      </w:r>
      <w:r w:rsidR="004A15DC">
        <w:rPr>
          <w:rFonts w:ascii="Gill Sans MT" w:hAnsi="Gill Sans MT"/>
        </w:rPr>
        <w:t xml:space="preserve">bazë </w:t>
      </w:r>
      <w:r w:rsidR="00D2278D">
        <w:rPr>
          <w:rFonts w:ascii="Gill Sans MT" w:hAnsi="Gill Sans MT"/>
        </w:rPr>
        <w:t>të mekanizmit të transmisionit të politikës monetare</w:t>
      </w:r>
      <w:r w:rsidR="00782977">
        <w:rPr>
          <w:rFonts w:ascii="Gill Sans MT" w:hAnsi="Gill Sans MT"/>
        </w:rPr>
        <w:t>,</w:t>
      </w:r>
      <w:r w:rsidR="00D2278D">
        <w:rPr>
          <w:rFonts w:ascii="Gill Sans MT" w:hAnsi="Gill Sans MT"/>
        </w:rPr>
        <w:t xml:space="preserve"> banka qendrore </w:t>
      </w:r>
      <w:r w:rsidR="009A76C7">
        <w:rPr>
          <w:rFonts w:ascii="Gill Sans MT" w:hAnsi="Gill Sans MT"/>
        </w:rPr>
        <w:t xml:space="preserve">ndikon në shpërndarjen </w:t>
      </w:r>
      <w:proofErr w:type="spellStart"/>
      <w:r w:rsidR="009A76C7">
        <w:rPr>
          <w:rFonts w:ascii="Gill Sans MT" w:hAnsi="Gill Sans MT"/>
        </w:rPr>
        <w:t>ndërkohore</w:t>
      </w:r>
      <w:proofErr w:type="spellEnd"/>
      <w:r w:rsidR="009A76C7">
        <w:rPr>
          <w:rFonts w:ascii="Gill Sans MT" w:hAnsi="Gill Sans MT"/>
        </w:rPr>
        <w:t xml:space="preserve"> të burimeve </w:t>
      </w:r>
      <w:r w:rsidR="00D2278D">
        <w:rPr>
          <w:rFonts w:ascii="Gill Sans MT" w:hAnsi="Gill Sans MT"/>
        </w:rPr>
        <w:t>nëpërmjet ndryshimeve mbi normën e interesit (</w:t>
      </w:r>
      <w:r w:rsidR="00CB02E7">
        <w:rPr>
          <w:rFonts w:ascii="Gill Sans MT" w:hAnsi="Gill Sans MT"/>
        </w:rPr>
        <w:t>instrumenti kryesor i politikës monetare)</w:t>
      </w:r>
      <w:r w:rsidR="00D2278D">
        <w:rPr>
          <w:rFonts w:ascii="Gill Sans MT" w:hAnsi="Gill Sans MT"/>
        </w:rPr>
        <w:t xml:space="preserve">. Megjithatë, banka qendrore kontrollon vetëm </w:t>
      </w:r>
      <w:r w:rsidR="009A76C7">
        <w:rPr>
          <w:rFonts w:ascii="Gill Sans MT" w:hAnsi="Gill Sans MT"/>
        </w:rPr>
        <w:t>segmentin</w:t>
      </w:r>
      <w:r w:rsidR="00D2278D">
        <w:rPr>
          <w:rFonts w:ascii="Gill Sans MT" w:hAnsi="Gill Sans MT"/>
        </w:rPr>
        <w:t xml:space="preserve"> afatshkurtër të normave të interesit. </w:t>
      </w:r>
      <w:r w:rsidR="00BC3511">
        <w:rPr>
          <w:rFonts w:ascii="Gill Sans MT" w:hAnsi="Gill Sans MT"/>
        </w:rPr>
        <w:t xml:space="preserve">Përcjellja e këtyre ndryshimeve në </w:t>
      </w:r>
      <w:r w:rsidR="009A76C7">
        <w:rPr>
          <w:rFonts w:ascii="Gill Sans MT" w:hAnsi="Gill Sans MT"/>
        </w:rPr>
        <w:t>segmen</w:t>
      </w:r>
      <w:r w:rsidR="00BC3511">
        <w:rPr>
          <w:rFonts w:ascii="Gill Sans MT" w:hAnsi="Gill Sans MT"/>
        </w:rPr>
        <w:t xml:space="preserve">tin afatgjatë </w:t>
      </w:r>
      <w:r w:rsidR="009A76C7">
        <w:rPr>
          <w:rFonts w:ascii="Gill Sans MT" w:hAnsi="Gill Sans MT"/>
        </w:rPr>
        <w:t>ndik</w:t>
      </w:r>
      <w:r w:rsidR="00BC3511">
        <w:rPr>
          <w:rFonts w:ascii="Gill Sans MT" w:hAnsi="Gill Sans MT"/>
        </w:rPr>
        <w:t>ohet</w:t>
      </w:r>
      <w:r w:rsidR="009A76C7">
        <w:rPr>
          <w:rFonts w:ascii="Gill Sans MT" w:hAnsi="Gill Sans MT"/>
        </w:rPr>
        <w:t>, ndër të tjera,</w:t>
      </w:r>
      <w:r w:rsidR="00BC3511">
        <w:rPr>
          <w:rFonts w:ascii="Gill Sans MT" w:hAnsi="Gill Sans MT"/>
        </w:rPr>
        <w:t xml:space="preserve"> nga bankat tregtare nëpërmjet normave që ato aplikojnë mbi kreditë dhënë sektorit privat në ekonomi. Shkalla e përçimit të ndryshimeve nga norma bazë në normën afatgjatë varet nga përqasja e sistemit bankar për kreditimin e bizneseve dhe individëve, kushtet e ofertë – kërkesës, si edhe struktura e sistemit bankar.</w:t>
      </w:r>
    </w:p>
    <w:p w:rsidR="00BD662B" w:rsidRDefault="00BD662B" w:rsidP="003C185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Së treti, një prej shtyllave mbi të cilin është konceptuar dhe hartuar ky vrojtim është ajo e pritjeve. Përpunimi i informacionit nga kjo pjesë e vrojtimit, ndihmon bankën qendrore për të </w:t>
      </w:r>
      <w:r w:rsidR="004B131E">
        <w:rPr>
          <w:rFonts w:ascii="Gill Sans MT" w:hAnsi="Gill Sans MT"/>
        </w:rPr>
        <w:t xml:space="preserve">plotësuar tërësinë e informacionit lidhur me pritjet për kreditimin e ekonomisë, duke </w:t>
      </w:r>
      <w:r w:rsidR="009A76C7">
        <w:rPr>
          <w:rFonts w:ascii="Gill Sans MT" w:hAnsi="Gill Sans MT"/>
        </w:rPr>
        <w:t xml:space="preserve">ndihmuar në parashikimet për treguesit monetarë dhe makroekonomikë </w:t>
      </w:r>
      <w:r w:rsidR="001F4B8C">
        <w:rPr>
          <w:rFonts w:ascii="Gill Sans MT" w:hAnsi="Gill Sans MT"/>
        </w:rPr>
        <w:t xml:space="preserve">(rritja ekonomike, investimet, konsumi, </w:t>
      </w:r>
      <w:proofErr w:type="spellStart"/>
      <w:r w:rsidR="001F4B8C">
        <w:rPr>
          <w:rFonts w:ascii="Gill Sans MT" w:hAnsi="Gill Sans MT"/>
        </w:rPr>
        <w:t>etj</w:t>
      </w:r>
      <w:proofErr w:type="spellEnd"/>
      <w:r w:rsidR="001F4B8C">
        <w:rPr>
          <w:rFonts w:ascii="Gill Sans MT" w:hAnsi="Gill Sans MT"/>
        </w:rPr>
        <w:t xml:space="preserve">). </w:t>
      </w:r>
    </w:p>
    <w:p w:rsidR="00D774E2" w:rsidRDefault="00D774E2" w:rsidP="00AB2846">
      <w:pPr>
        <w:jc w:val="both"/>
        <w:rPr>
          <w:rFonts w:ascii="Gill Sans MT" w:hAnsi="Gill Sans MT"/>
          <w:i/>
        </w:rPr>
      </w:pPr>
    </w:p>
    <w:p w:rsidR="007432A5" w:rsidRPr="00D774E2" w:rsidRDefault="00142C62" w:rsidP="00AB2846">
      <w:pPr>
        <w:jc w:val="both"/>
        <w:rPr>
          <w:rFonts w:ascii="Gill Sans MT" w:hAnsi="Gill Sans MT"/>
          <w:b/>
          <w:i/>
        </w:rPr>
      </w:pPr>
      <w:r w:rsidRPr="00D774E2">
        <w:rPr>
          <w:rFonts w:ascii="Gill Sans MT" w:hAnsi="Gill Sans MT"/>
          <w:b/>
          <w:i/>
        </w:rPr>
        <w:lastRenderedPageBreak/>
        <w:t xml:space="preserve">Struktura e vrojtimit </w:t>
      </w:r>
    </w:p>
    <w:p w:rsidR="00AB2846" w:rsidRDefault="009A76C7" w:rsidP="00AB284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Në </w:t>
      </w:r>
      <w:r w:rsidR="00AB2846">
        <w:rPr>
          <w:rFonts w:ascii="Gill Sans MT" w:hAnsi="Gill Sans MT"/>
        </w:rPr>
        <w:t>terma të përgjithshme</w:t>
      </w:r>
      <w:r>
        <w:rPr>
          <w:rFonts w:ascii="Gill Sans MT" w:hAnsi="Gill Sans MT"/>
        </w:rPr>
        <w:t>,</w:t>
      </w:r>
      <w:r w:rsidRPr="009A76C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ky vrojtim</w:t>
      </w:r>
      <w:r w:rsidR="00AB2846">
        <w:rPr>
          <w:rFonts w:ascii="Gill Sans MT" w:hAnsi="Gill Sans MT"/>
        </w:rPr>
        <w:t xml:space="preserve"> është njehsuar me atë të ndjekur nga </w:t>
      </w:r>
      <w:r w:rsidR="007F52AB">
        <w:rPr>
          <w:rFonts w:ascii="Gill Sans MT" w:hAnsi="Gill Sans MT"/>
        </w:rPr>
        <w:t>BQE</w:t>
      </w:r>
      <w:r w:rsidR="00AB2846">
        <w:rPr>
          <w:rFonts w:ascii="Gill Sans MT" w:hAnsi="Gill Sans MT"/>
        </w:rPr>
        <w:t xml:space="preserve">, si në mënyrën e konceptimit ashtu edhe </w:t>
      </w:r>
      <w:r>
        <w:rPr>
          <w:rFonts w:ascii="Gill Sans MT" w:hAnsi="Gill Sans MT"/>
        </w:rPr>
        <w:t>n</w:t>
      </w:r>
      <w:r w:rsidR="00AB2846">
        <w:rPr>
          <w:rFonts w:ascii="Gill Sans MT" w:hAnsi="Gill Sans MT"/>
        </w:rPr>
        <w:t>ë</w:t>
      </w:r>
      <w:r>
        <w:rPr>
          <w:rFonts w:ascii="Gill Sans MT" w:hAnsi="Gill Sans MT"/>
        </w:rPr>
        <w:t xml:space="preserve"> aspektin</w:t>
      </w:r>
      <w:r w:rsidR="00AB2846">
        <w:rPr>
          <w:rFonts w:ascii="Gill Sans MT" w:hAnsi="Gill Sans MT"/>
        </w:rPr>
        <w:t xml:space="preserve"> metodologjik. Megjithatë, </w:t>
      </w:r>
      <w:r>
        <w:rPr>
          <w:rFonts w:ascii="Gill Sans MT" w:hAnsi="Gill Sans MT"/>
        </w:rPr>
        <w:t xml:space="preserve">vrojtimi </w:t>
      </w:r>
      <w:r w:rsidR="00AB2846">
        <w:rPr>
          <w:rFonts w:ascii="Gill Sans MT" w:hAnsi="Gill Sans MT"/>
        </w:rPr>
        <w:t xml:space="preserve">është përshtatur në disa segmente në </w:t>
      </w:r>
      <w:r w:rsidR="00184B3F">
        <w:rPr>
          <w:rFonts w:ascii="Gill Sans MT" w:hAnsi="Gill Sans MT"/>
        </w:rPr>
        <w:t xml:space="preserve">funksion </w:t>
      </w:r>
      <w:r w:rsidR="00AB2846">
        <w:rPr>
          <w:rFonts w:ascii="Gill Sans MT" w:hAnsi="Gill Sans MT"/>
        </w:rPr>
        <w:t>të</w:t>
      </w:r>
      <w:r w:rsidR="000179EA">
        <w:rPr>
          <w:rFonts w:ascii="Gill Sans MT" w:hAnsi="Gill Sans MT"/>
        </w:rPr>
        <w:t xml:space="preserve"> përshtatjes me specifikat e veprimit të sektorit bankar shqiptar</w:t>
      </w:r>
      <w:r w:rsidR="00AB2846">
        <w:rPr>
          <w:rFonts w:ascii="Gill Sans MT" w:hAnsi="Gill Sans MT"/>
        </w:rPr>
        <w:t xml:space="preserve"> (si </w:t>
      </w:r>
      <w:proofErr w:type="spellStart"/>
      <w:r w:rsidR="00AB2846">
        <w:rPr>
          <w:rFonts w:ascii="Gill Sans MT" w:hAnsi="Gill Sans MT"/>
        </w:rPr>
        <w:t>psh</w:t>
      </w:r>
      <w:proofErr w:type="spellEnd"/>
      <w:r w:rsidR="009226B1">
        <w:rPr>
          <w:rFonts w:ascii="Gill Sans MT" w:hAnsi="Gill Sans MT"/>
        </w:rPr>
        <w:t>.</w:t>
      </w:r>
      <w:r w:rsidR="00AB2846">
        <w:rPr>
          <w:rFonts w:ascii="Gill Sans MT" w:hAnsi="Gill Sans MT"/>
        </w:rPr>
        <w:t xml:space="preserve"> segmenti i pritjeve lidhur me kompozimin e kreditimit sipas monedhës, normat e interesit të aplikuara etj.).</w:t>
      </w:r>
    </w:p>
    <w:p w:rsidR="008B41C9" w:rsidRDefault="00E53FD3" w:rsidP="003C185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Struktura e v</w:t>
      </w:r>
      <w:r w:rsidR="00DC1C85">
        <w:rPr>
          <w:rFonts w:ascii="Gill Sans MT" w:hAnsi="Gill Sans MT"/>
        </w:rPr>
        <w:t>rojtimi</w:t>
      </w:r>
      <w:r>
        <w:rPr>
          <w:rFonts w:ascii="Gill Sans MT" w:hAnsi="Gill Sans MT"/>
        </w:rPr>
        <w:t>t</w:t>
      </w:r>
      <w:r w:rsidR="00DC1C8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të</w:t>
      </w:r>
      <w:r w:rsidR="00DC1C85">
        <w:rPr>
          <w:rFonts w:ascii="Gill Sans MT" w:hAnsi="Gill Sans MT"/>
        </w:rPr>
        <w:t xml:space="preserve"> aktivitetit kreditues </w:t>
      </w:r>
      <w:r w:rsidR="005342F4">
        <w:rPr>
          <w:rFonts w:ascii="Gill Sans MT" w:hAnsi="Gill Sans MT"/>
        </w:rPr>
        <w:t xml:space="preserve">përbëhet nga </w:t>
      </w:r>
      <w:r w:rsidR="00A14522">
        <w:rPr>
          <w:rFonts w:ascii="Gill Sans MT" w:hAnsi="Gill Sans MT"/>
        </w:rPr>
        <w:t>pesë</w:t>
      </w:r>
      <w:r w:rsidR="005342F4">
        <w:rPr>
          <w:rFonts w:ascii="Gill Sans MT" w:hAnsi="Gill Sans MT"/>
        </w:rPr>
        <w:t xml:space="preserve"> seksione: kredia për biznese, kredia për individë</w:t>
      </w:r>
      <w:r w:rsidR="00A14522">
        <w:rPr>
          <w:rFonts w:ascii="Gill Sans MT" w:hAnsi="Gill Sans MT"/>
        </w:rPr>
        <w:t>,</w:t>
      </w:r>
      <w:r w:rsidR="005342F4">
        <w:rPr>
          <w:rFonts w:ascii="Gill Sans MT" w:hAnsi="Gill Sans MT"/>
        </w:rPr>
        <w:t xml:space="preserve"> pritjet për aktivitetin kreditues</w:t>
      </w:r>
      <w:r w:rsidR="00A14522">
        <w:rPr>
          <w:rFonts w:ascii="Gill Sans MT" w:hAnsi="Gill Sans MT"/>
        </w:rPr>
        <w:t xml:space="preserve">, </w:t>
      </w:r>
      <w:r w:rsidR="008B41C9">
        <w:rPr>
          <w:rFonts w:ascii="Gill Sans MT" w:hAnsi="Gill Sans MT"/>
        </w:rPr>
        <w:t>statusi</w:t>
      </w:r>
      <w:r w:rsidR="00A14522">
        <w:rPr>
          <w:rFonts w:ascii="Gill Sans MT" w:hAnsi="Gill Sans MT"/>
        </w:rPr>
        <w:t xml:space="preserve"> i aplikimeve </w:t>
      </w:r>
      <w:r w:rsidR="008B41C9">
        <w:rPr>
          <w:rFonts w:ascii="Gill Sans MT" w:hAnsi="Gill Sans MT"/>
        </w:rPr>
        <w:t>për kredi</w:t>
      </w:r>
      <w:r w:rsidR="000179EA">
        <w:rPr>
          <w:rFonts w:ascii="Gill Sans MT" w:hAnsi="Gill Sans MT"/>
        </w:rPr>
        <w:t>,</w:t>
      </w:r>
      <w:r w:rsidR="008B41C9">
        <w:rPr>
          <w:rFonts w:ascii="Gill Sans MT" w:hAnsi="Gill Sans MT"/>
        </w:rPr>
        <w:t xml:space="preserve"> dhe rubrika e veçantë</w:t>
      </w:r>
      <w:r w:rsidR="005342F4">
        <w:rPr>
          <w:rFonts w:ascii="Gill Sans MT" w:hAnsi="Gill Sans MT"/>
        </w:rPr>
        <w:t xml:space="preserve">. </w:t>
      </w:r>
      <w:r w:rsidR="009334E7">
        <w:rPr>
          <w:rFonts w:ascii="Gill Sans MT" w:hAnsi="Gill Sans MT"/>
        </w:rPr>
        <w:t xml:space="preserve">Dy seksionet e para kanë pothuajse të njëjtën </w:t>
      </w:r>
      <w:r w:rsidR="009334E7" w:rsidRPr="00C73941">
        <w:rPr>
          <w:rFonts w:ascii="Gill Sans MT" w:hAnsi="Gill Sans MT"/>
        </w:rPr>
        <w:t>strukturë</w:t>
      </w:r>
      <w:r w:rsidR="00D47F27">
        <w:rPr>
          <w:rFonts w:ascii="Gill Sans MT" w:hAnsi="Gill Sans MT"/>
        </w:rPr>
        <w:t>,</w:t>
      </w:r>
      <w:r w:rsidR="009334E7" w:rsidRPr="00C73941">
        <w:rPr>
          <w:rFonts w:ascii="Gill Sans MT" w:hAnsi="Gill Sans MT"/>
        </w:rPr>
        <w:t xml:space="preserve"> dhe </w:t>
      </w:r>
      <w:r w:rsidR="00AF2883" w:rsidRPr="00C73941">
        <w:rPr>
          <w:rFonts w:ascii="Gill Sans MT" w:hAnsi="Gill Sans MT"/>
        </w:rPr>
        <w:t>në terma të përgjithshme</w:t>
      </w:r>
      <w:r w:rsidR="00D47F27">
        <w:rPr>
          <w:rFonts w:ascii="Gill Sans MT" w:hAnsi="Gill Sans MT"/>
        </w:rPr>
        <w:t>,</w:t>
      </w:r>
      <w:r w:rsidR="00AF2883" w:rsidRPr="00C73941">
        <w:rPr>
          <w:rFonts w:ascii="Gill Sans MT" w:hAnsi="Gill Sans MT"/>
        </w:rPr>
        <w:t xml:space="preserve"> </w:t>
      </w:r>
      <w:r w:rsidR="009334E7" w:rsidRPr="00C73941">
        <w:rPr>
          <w:rFonts w:ascii="Gill Sans MT" w:hAnsi="Gill Sans MT"/>
        </w:rPr>
        <w:t xml:space="preserve">ofrojnë informacion </w:t>
      </w:r>
      <w:r w:rsidR="004336BA" w:rsidRPr="00C73941">
        <w:rPr>
          <w:rFonts w:ascii="Gill Sans MT" w:hAnsi="Gill Sans MT"/>
        </w:rPr>
        <w:t>për</w:t>
      </w:r>
      <w:r w:rsidR="000179EA" w:rsidRPr="00C73941">
        <w:rPr>
          <w:rFonts w:ascii="Gill Sans MT" w:hAnsi="Gill Sans MT"/>
        </w:rPr>
        <w:t xml:space="preserve"> </w:t>
      </w:r>
      <w:r w:rsidR="00AF2883" w:rsidRPr="00C73941">
        <w:rPr>
          <w:rFonts w:ascii="Gill Sans MT" w:hAnsi="Gill Sans MT"/>
        </w:rPr>
        <w:t>ofertë</w:t>
      </w:r>
      <w:r w:rsidR="000179EA" w:rsidRPr="00C73941">
        <w:rPr>
          <w:rFonts w:ascii="Gill Sans MT" w:hAnsi="Gill Sans MT"/>
        </w:rPr>
        <w:t xml:space="preserve">n dhe </w:t>
      </w:r>
      <w:r w:rsidR="008B41C9" w:rsidRPr="00C73941">
        <w:rPr>
          <w:rFonts w:ascii="Gill Sans MT" w:hAnsi="Gill Sans MT"/>
        </w:rPr>
        <w:t>kërkesë</w:t>
      </w:r>
      <w:r w:rsidR="000179EA" w:rsidRPr="00C73941">
        <w:rPr>
          <w:rFonts w:ascii="Gill Sans MT" w:hAnsi="Gill Sans MT"/>
        </w:rPr>
        <w:t>n</w:t>
      </w:r>
      <w:r w:rsidR="00AF2883" w:rsidRPr="00C73941">
        <w:rPr>
          <w:rFonts w:ascii="Gill Sans MT" w:hAnsi="Gill Sans MT"/>
        </w:rPr>
        <w:t xml:space="preserve"> për kredi</w:t>
      </w:r>
      <w:r w:rsidR="008B41C9" w:rsidRPr="00C73941">
        <w:rPr>
          <w:rFonts w:ascii="Gill Sans MT" w:hAnsi="Gill Sans MT"/>
        </w:rPr>
        <w:t xml:space="preserve">, si edhe për faktorët që </w:t>
      </w:r>
      <w:r w:rsidR="004336BA" w:rsidRPr="00C73941">
        <w:rPr>
          <w:rFonts w:ascii="Gill Sans MT" w:hAnsi="Gill Sans MT"/>
        </w:rPr>
        <w:t xml:space="preserve">i </w:t>
      </w:r>
      <w:r w:rsidR="008B41C9" w:rsidRPr="00C73941">
        <w:rPr>
          <w:rFonts w:ascii="Gill Sans MT" w:hAnsi="Gill Sans MT"/>
        </w:rPr>
        <w:t>ndikojnë.</w:t>
      </w:r>
      <w:r w:rsidR="00AF2883" w:rsidRPr="00C73941">
        <w:rPr>
          <w:rFonts w:ascii="Gill Sans MT" w:hAnsi="Gill Sans MT"/>
        </w:rPr>
        <w:t xml:space="preserve"> </w:t>
      </w:r>
      <w:r w:rsidR="00EA11AA" w:rsidRPr="00C73941">
        <w:rPr>
          <w:rFonts w:ascii="Gill Sans MT" w:hAnsi="Gill Sans MT"/>
        </w:rPr>
        <w:t xml:space="preserve">Në kahun e ofertës, krahas standardeve të aplikuara mbi kreditë dhënë bizneseve e individëve, trajtohen edhe faktorët që kanë shtyrë bankat të ndryshojnë standardet e kreditimit nga një tremujor më parë. Në të njëjtën kohë, nga vrojtimi merret dhe informacion mbi kushtet dhe termat nëpërmjet të cilave është mundësuar ndryshimi i standardeve të kreditimit e plotësuar nga faktorët që kanë diktuar ndryshimin e </w:t>
      </w:r>
      <w:r w:rsidR="00C73941" w:rsidRPr="00C73941">
        <w:rPr>
          <w:rFonts w:ascii="Gill Sans MT" w:hAnsi="Gill Sans MT"/>
        </w:rPr>
        <w:t xml:space="preserve">këtyre </w:t>
      </w:r>
      <w:r w:rsidR="00EA11AA" w:rsidRPr="00C73941">
        <w:rPr>
          <w:rFonts w:ascii="Gill Sans MT" w:hAnsi="Gill Sans MT"/>
        </w:rPr>
        <w:t xml:space="preserve">kushteve të </w:t>
      </w:r>
      <w:r w:rsidR="00081E1B" w:rsidRPr="00C73941">
        <w:rPr>
          <w:rFonts w:ascii="Gill Sans MT" w:hAnsi="Gill Sans MT"/>
        </w:rPr>
        <w:t>kreditimit</w:t>
      </w:r>
      <w:r w:rsidR="00EA11AA" w:rsidRPr="00C73941">
        <w:rPr>
          <w:rFonts w:ascii="Gill Sans MT" w:hAnsi="Gill Sans MT"/>
        </w:rPr>
        <w:t xml:space="preserve">. </w:t>
      </w:r>
      <w:r w:rsidR="003B4DD5" w:rsidRPr="00C73941">
        <w:rPr>
          <w:rFonts w:ascii="Gill Sans MT" w:hAnsi="Gill Sans MT"/>
        </w:rPr>
        <w:t>Në k</w:t>
      </w:r>
      <w:r w:rsidR="006F35C2" w:rsidRPr="00C73941">
        <w:rPr>
          <w:rFonts w:ascii="Gill Sans MT" w:hAnsi="Gill Sans MT"/>
        </w:rPr>
        <w:t xml:space="preserve">ahun e kërkesës për kredi përftohet informacion nga perceptimet e bankave </w:t>
      </w:r>
      <w:r w:rsidR="003B4DD5" w:rsidRPr="00C73941">
        <w:rPr>
          <w:rFonts w:ascii="Gill Sans MT" w:hAnsi="Gill Sans MT"/>
        </w:rPr>
        <w:t>se</w:t>
      </w:r>
      <w:r w:rsidR="00EC5594" w:rsidRPr="00C73941">
        <w:rPr>
          <w:rFonts w:ascii="Gill Sans MT" w:hAnsi="Gill Sans MT"/>
        </w:rPr>
        <w:t xml:space="preserve"> në cilin kah</w:t>
      </w:r>
      <w:r w:rsidR="003B4DD5" w:rsidRPr="00C73941">
        <w:rPr>
          <w:rFonts w:ascii="Gill Sans MT" w:hAnsi="Gill Sans MT"/>
        </w:rPr>
        <w:t xml:space="preserve"> ka ndryshuar kërkesa</w:t>
      </w:r>
      <w:r w:rsidR="003B4DD5">
        <w:rPr>
          <w:rFonts w:ascii="Gill Sans MT" w:hAnsi="Gill Sans MT"/>
        </w:rPr>
        <w:t xml:space="preserve"> për kredi e sektorit privat</w:t>
      </w:r>
      <w:r w:rsidR="006F35C2">
        <w:rPr>
          <w:rFonts w:ascii="Gill Sans MT" w:hAnsi="Gill Sans MT"/>
        </w:rPr>
        <w:t xml:space="preserve">, si </w:t>
      </w:r>
      <w:r w:rsidR="003B4DD5">
        <w:rPr>
          <w:rFonts w:ascii="Gill Sans MT" w:hAnsi="Gill Sans MT"/>
        </w:rPr>
        <w:t xml:space="preserve">dhe </w:t>
      </w:r>
      <w:r w:rsidR="006F35C2">
        <w:rPr>
          <w:rFonts w:ascii="Gill Sans MT" w:hAnsi="Gill Sans MT"/>
        </w:rPr>
        <w:t xml:space="preserve">për </w:t>
      </w:r>
      <w:r w:rsidR="003B4DD5">
        <w:rPr>
          <w:rFonts w:ascii="Gill Sans MT" w:hAnsi="Gill Sans MT"/>
        </w:rPr>
        <w:t xml:space="preserve">faktorët </w:t>
      </w:r>
      <w:r w:rsidR="00EC5594">
        <w:rPr>
          <w:rFonts w:ascii="Gill Sans MT" w:hAnsi="Gill Sans MT"/>
        </w:rPr>
        <w:t>pas këtij ndryshimi</w:t>
      </w:r>
      <w:r w:rsidR="003B4DD5">
        <w:rPr>
          <w:rFonts w:ascii="Gill Sans MT" w:hAnsi="Gill Sans MT"/>
        </w:rPr>
        <w:t xml:space="preserve"> nga një tremujor më parë.</w:t>
      </w:r>
      <w:r w:rsidR="00EC5594">
        <w:rPr>
          <w:rFonts w:ascii="Gill Sans MT" w:hAnsi="Gill Sans MT"/>
        </w:rPr>
        <w:t xml:space="preserve"> </w:t>
      </w:r>
    </w:p>
    <w:p w:rsidR="00067192" w:rsidRDefault="007F52AB" w:rsidP="003C185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Pjesa e tretë e vrojtimit, ajo </w:t>
      </w:r>
      <w:r w:rsidR="008B41C9">
        <w:rPr>
          <w:rFonts w:ascii="Gill Sans MT" w:hAnsi="Gill Sans MT"/>
        </w:rPr>
        <w:t>e formuluar pë</w:t>
      </w:r>
      <w:r w:rsidR="007432A5">
        <w:rPr>
          <w:rFonts w:ascii="Gill Sans MT" w:hAnsi="Gill Sans MT"/>
        </w:rPr>
        <w:t>r pritjet</w:t>
      </w:r>
      <w:r>
        <w:rPr>
          <w:rFonts w:ascii="Gill Sans MT" w:hAnsi="Gill Sans MT"/>
        </w:rPr>
        <w:t>,</w:t>
      </w:r>
      <w:r w:rsidR="007432A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paraqet perceptimet e bankave lidhur me kahun e ndryshimit të standardeve të kreditimit (oferta për kredi) dhe kërkesës për kredi (e bizneseve dhe individëve) në tremujorin e ardhshëm. Në këtë seksion, në ndryshim nga vrojtimi i BQE, përftohet informacion shtesë rreth pritjeve të bankave për ofertën dhe kërkesën e kredisë (biznese dhe individë) </w:t>
      </w:r>
      <w:r w:rsidR="00142C62">
        <w:rPr>
          <w:rFonts w:ascii="Gill Sans MT" w:hAnsi="Gill Sans MT"/>
        </w:rPr>
        <w:t xml:space="preserve">dhe normën e pritur të interesit për kredinë </w:t>
      </w:r>
      <w:r>
        <w:rPr>
          <w:rFonts w:ascii="Gill Sans MT" w:hAnsi="Gill Sans MT"/>
        </w:rPr>
        <w:t xml:space="preserve">si në monedhën vendase ashtu edhe atë të huaj. </w:t>
      </w:r>
    </w:p>
    <w:p w:rsidR="00DC1C85" w:rsidRDefault="00142C62" w:rsidP="003C185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Pjesa e katërt ilustron situatën e aplikimeve për kredi të refuzuara prej bankave të nivelit të dytë</w:t>
      </w:r>
      <w:r w:rsidR="00EF43DD">
        <w:rPr>
          <w:rFonts w:ascii="Gill Sans MT" w:hAnsi="Gill Sans MT"/>
        </w:rPr>
        <w:t xml:space="preserve"> (pa përfshirë kërkesat për kredi prej të cilave janë tërhequr vetë individët/bizneset). Rezultatet mbi kahun e ndryshimit të aplikimeve të refuzua</w:t>
      </w:r>
      <w:bookmarkStart w:id="0" w:name="_GoBack"/>
      <w:bookmarkEnd w:id="0"/>
      <w:r w:rsidR="00EF43DD">
        <w:rPr>
          <w:rFonts w:ascii="Gill Sans MT" w:hAnsi="Gill Sans MT"/>
        </w:rPr>
        <w:t xml:space="preserve">ra plotësohen dhe me arsyet që kanë shtuar/ pakësuar raportin e kredive të refuzuara ndaj totalit të aplikimeve për kredi. </w:t>
      </w:r>
    </w:p>
    <w:p w:rsidR="0023218D" w:rsidRDefault="0023218D" w:rsidP="003C185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Pjesa përmbyllëse e vrojtimit, rubrika e veçantë, formulohet nga pyetje </w:t>
      </w:r>
      <w:proofErr w:type="spellStart"/>
      <w:r w:rsidRPr="0023218D">
        <w:rPr>
          <w:rFonts w:ascii="Gill Sans MT" w:hAnsi="Gill Sans MT"/>
          <w:i/>
        </w:rPr>
        <w:t>ad</w:t>
      </w:r>
      <w:proofErr w:type="spellEnd"/>
      <w:r w:rsidRPr="0023218D">
        <w:rPr>
          <w:rFonts w:ascii="Gill Sans MT" w:hAnsi="Gill Sans MT"/>
          <w:i/>
        </w:rPr>
        <w:t xml:space="preserve"> </w:t>
      </w:r>
      <w:proofErr w:type="spellStart"/>
      <w:r w:rsidRPr="0023218D">
        <w:rPr>
          <w:rFonts w:ascii="Gill Sans MT" w:hAnsi="Gill Sans MT"/>
          <w:i/>
        </w:rPr>
        <w:t>hoc</w:t>
      </w:r>
      <w:proofErr w:type="spellEnd"/>
      <w:r>
        <w:rPr>
          <w:rFonts w:ascii="Gill Sans MT" w:hAnsi="Gill Sans MT"/>
        </w:rPr>
        <w:t xml:space="preserve">, të cilat trajtojnë çështje specifike aktuale në aktivitetin kreditues, të pa-adresuara nga pyetjet standarde të formularit. Informacioni i përpunuar nga kjo pjesë e vrojtimit, </w:t>
      </w:r>
      <w:r w:rsidR="000E50BC">
        <w:rPr>
          <w:rFonts w:ascii="Gill Sans MT" w:hAnsi="Gill Sans MT"/>
        </w:rPr>
        <w:t xml:space="preserve">përgjithësisht </w:t>
      </w:r>
      <w:r>
        <w:rPr>
          <w:rFonts w:ascii="Gill Sans MT" w:hAnsi="Gill Sans MT"/>
        </w:rPr>
        <w:t>shërben për të</w:t>
      </w:r>
      <w:r w:rsidR="000E50BC">
        <w:rPr>
          <w:rFonts w:ascii="Gill Sans MT" w:hAnsi="Gill Sans MT"/>
        </w:rPr>
        <w:t xml:space="preserve"> kuptuar më nga afër situata specifike në tregun e kredisë, të cilat nuk shpjegohen plotësisht nga </w:t>
      </w:r>
      <w:r w:rsidR="008B6130">
        <w:rPr>
          <w:rFonts w:ascii="Gill Sans MT" w:hAnsi="Gill Sans MT"/>
        </w:rPr>
        <w:t xml:space="preserve">informacionet </w:t>
      </w:r>
      <w:r w:rsidR="00067192">
        <w:rPr>
          <w:rFonts w:ascii="Gill Sans MT" w:hAnsi="Gill Sans MT"/>
        </w:rPr>
        <w:t xml:space="preserve">e </w:t>
      </w:r>
      <w:r w:rsidR="000E50BC">
        <w:rPr>
          <w:rFonts w:ascii="Gill Sans MT" w:hAnsi="Gill Sans MT"/>
        </w:rPr>
        <w:t xml:space="preserve">disponuara me frekuencë të rregullt. </w:t>
      </w:r>
    </w:p>
    <w:p w:rsidR="000E50BC" w:rsidRPr="00D774E2" w:rsidRDefault="000E50BC" w:rsidP="003C1850">
      <w:pPr>
        <w:jc w:val="both"/>
        <w:rPr>
          <w:rFonts w:ascii="Gill Sans MT" w:hAnsi="Gill Sans MT"/>
          <w:b/>
          <w:i/>
        </w:rPr>
      </w:pPr>
      <w:r w:rsidRPr="00D774E2">
        <w:rPr>
          <w:rFonts w:ascii="Gill Sans MT" w:hAnsi="Gill Sans MT"/>
          <w:b/>
          <w:i/>
        </w:rPr>
        <w:t>Modalitete të përgjithshme</w:t>
      </w:r>
    </w:p>
    <w:p w:rsidR="00A959CF" w:rsidRDefault="0030587C" w:rsidP="00A959CF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Vrojtimi i aktivitetit kreditues</w:t>
      </w:r>
      <w:r w:rsidR="000E50BC">
        <w:rPr>
          <w:rFonts w:ascii="Gill Sans MT" w:hAnsi="Gill Sans MT"/>
        </w:rPr>
        <w:t xml:space="preserve"> plo</w:t>
      </w:r>
      <w:r>
        <w:rPr>
          <w:rFonts w:ascii="Gill Sans MT" w:hAnsi="Gill Sans MT"/>
        </w:rPr>
        <w:t xml:space="preserve">tësohet </w:t>
      </w:r>
      <w:r w:rsidR="00167C16">
        <w:rPr>
          <w:rFonts w:ascii="Gill Sans MT" w:hAnsi="Gill Sans MT"/>
        </w:rPr>
        <w:t>në</w:t>
      </w:r>
      <w:r w:rsidR="00377700">
        <w:rPr>
          <w:rFonts w:ascii="Gill Sans MT" w:hAnsi="Gill Sans MT"/>
        </w:rPr>
        <w:t xml:space="preserve"> nivel drejtues </w:t>
      </w:r>
      <w:r w:rsidR="00167C16">
        <w:rPr>
          <w:rFonts w:ascii="Gill Sans MT" w:hAnsi="Gill Sans MT"/>
        </w:rPr>
        <w:t>të</w:t>
      </w:r>
      <w:r w:rsidR="00377700">
        <w:rPr>
          <w:rFonts w:ascii="Gill Sans MT" w:hAnsi="Gill Sans MT"/>
        </w:rPr>
        <w:t xml:space="preserve"> </w:t>
      </w:r>
      <w:r w:rsidR="00167C16">
        <w:rPr>
          <w:rFonts w:ascii="Gill Sans MT" w:hAnsi="Gill Sans MT"/>
        </w:rPr>
        <w:t>departamenteve</w:t>
      </w:r>
      <w:r w:rsidR="00377700">
        <w:rPr>
          <w:rFonts w:ascii="Gill Sans MT" w:hAnsi="Gill Sans MT"/>
        </w:rPr>
        <w:t xml:space="preserve"> </w:t>
      </w:r>
      <w:r w:rsidR="00167C16">
        <w:rPr>
          <w:rFonts w:ascii="Gill Sans MT" w:hAnsi="Gill Sans MT"/>
        </w:rPr>
        <w:t>përkatëse</w:t>
      </w:r>
      <w:r w:rsidR="00C73941">
        <w:rPr>
          <w:rStyle w:val="FootnoteReference"/>
          <w:rFonts w:ascii="Gill Sans MT" w:hAnsi="Gill Sans MT"/>
        </w:rPr>
        <w:footnoteReference w:id="2"/>
      </w:r>
      <w:r w:rsidR="00377700">
        <w:rPr>
          <w:rFonts w:ascii="Gill Sans MT" w:hAnsi="Gill Sans MT"/>
        </w:rPr>
        <w:t xml:space="preserve"> </w:t>
      </w:r>
      <w:r w:rsidR="00167C16">
        <w:rPr>
          <w:rFonts w:ascii="Gill Sans MT" w:hAnsi="Gill Sans MT"/>
        </w:rPr>
        <w:t>të</w:t>
      </w:r>
      <w:r w:rsidR="00377700">
        <w:rPr>
          <w:rFonts w:ascii="Gill Sans MT" w:hAnsi="Gill Sans MT"/>
        </w:rPr>
        <w:t xml:space="preserve"> bankave tregtare</w:t>
      </w:r>
      <w:r>
        <w:rPr>
          <w:rFonts w:ascii="Gill Sans MT" w:hAnsi="Gill Sans MT"/>
        </w:rPr>
        <w:t xml:space="preserve">, </w:t>
      </w:r>
      <w:r w:rsidR="00872178">
        <w:rPr>
          <w:rFonts w:ascii="Gill Sans MT" w:hAnsi="Gill Sans MT"/>
        </w:rPr>
        <w:t>t</w:t>
      </w:r>
      <w:r w:rsidR="00A82CC2">
        <w:rPr>
          <w:rFonts w:ascii="Gill Sans MT" w:hAnsi="Gill Sans MT"/>
        </w:rPr>
        <w:t>ë</w:t>
      </w:r>
      <w:r w:rsidR="00872178">
        <w:rPr>
          <w:rFonts w:ascii="Gill Sans MT" w:hAnsi="Gill Sans MT"/>
        </w:rPr>
        <w:t xml:space="preserve"> ci</w:t>
      </w:r>
      <w:r w:rsidR="00A82CC2">
        <w:rPr>
          <w:rFonts w:ascii="Gill Sans MT" w:hAnsi="Gill Sans MT"/>
        </w:rPr>
        <w:t>lë</w:t>
      </w:r>
      <w:r w:rsidR="00872178">
        <w:rPr>
          <w:rFonts w:ascii="Gill Sans MT" w:hAnsi="Gill Sans MT"/>
        </w:rPr>
        <w:t>t jan</w:t>
      </w:r>
      <w:r w:rsidR="00A82CC2">
        <w:rPr>
          <w:rFonts w:ascii="Gill Sans MT" w:hAnsi="Gill Sans MT"/>
        </w:rPr>
        <w:t>ë</w:t>
      </w:r>
      <w:r w:rsidR="0087217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përgjegjës </w:t>
      </w:r>
      <w:r w:rsidR="00872178">
        <w:rPr>
          <w:rFonts w:ascii="Gill Sans MT" w:hAnsi="Gill Sans MT"/>
        </w:rPr>
        <w:t>p</w:t>
      </w:r>
      <w:r w:rsidR="00A82CC2">
        <w:rPr>
          <w:rFonts w:ascii="Gill Sans MT" w:hAnsi="Gill Sans MT"/>
        </w:rPr>
        <w:t>ë</w:t>
      </w:r>
      <w:r w:rsidR="00872178">
        <w:rPr>
          <w:rFonts w:ascii="Gill Sans MT" w:hAnsi="Gill Sans MT"/>
        </w:rPr>
        <w:t xml:space="preserve">r </w:t>
      </w:r>
      <w:r>
        <w:rPr>
          <w:rFonts w:ascii="Gill Sans MT" w:hAnsi="Gill Sans MT"/>
        </w:rPr>
        <w:t>ndjekj</w:t>
      </w:r>
      <w:r w:rsidR="00872178">
        <w:rPr>
          <w:rFonts w:ascii="Gill Sans MT" w:hAnsi="Gill Sans MT"/>
        </w:rPr>
        <w:t>en</w:t>
      </w:r>
      <w:r>
        <w:rPr>
          <w:rFonts w:ascii="Gill Sans MT" w:hAnsi="Gill Sans MT"/>
        </w:rPr>
        <w:t xml:space="preserve"> nga afër </w:t>
      </w:r>
      <w:r w:rsidR="00661647">
        <w:rPr>
          <w:rFonts w:ascii="Gill Sans MT" w:hAnsi="Gill Sans MT"/>
        </w:rPr>
        <w:t>të</w:t>
      </w:r>
      <w:r>
        <w:rPr>
          <w:rFonts w:ascii="Gill Sans MT" w:hAnsi="Gill Sans MT"/>
        </w:rPr>
        <w:t xml:space="preserve"> zhvillimeve në fushën e kredisë.</w:t>
      </w:r>
      <w:r w:rsidR="009F15C6">
        <w:rPr>
          <w:rFonts w:ascii="Gill Sans MT" w:hAnsi="Gill Sans MT"/>
        </w:rPr>
        <w:t xml:space="preserve"> </w:t>
      </w:r>
      <w:r w:rsidR="00B21790">
        <w:rPr>
          <w:rFonts w:ascii="Gill Sans MT" w:hAnsi="Gill Sans MT"/>
        </w:rPr>
        <w:t>Periudha të cilës i referohet vrojtimi në pyetjet e seksionit 1, 2 dhe 4 është tremujori</w:t>
      </w:r>
      <w:r w:rsidR="008B6130">
        <w:rPr>
          <w:rFonts w:ascii="Gill Sans MT" w:hAnsi="Gill Sans MT"/>
        </w:rPr>
        <w:t xml:space="preserve"> aktual kur shpërndahet pyetësori</w:t>
      </w:r>
      <w:r w:rsidR="00B21790">
        <w:rPr>
          <w:rFonts w:ascii="Gill Sans MT" w:hAnsi="Gill Sans MT"/>
        </w:rPr>
        <w:t xml:space="preserve">, ndërkohë që në pyetjet e seksionit 3 është tremujori i ardhshëm. </w:t>
      </w:r>
      <w:r>
        <w:rPr>
          <w:rFonts w:ascii="Gill Sans MT" w:hAnsi="Gill Sans MT"/>
        </w:rPr>
        <w:t>Duhet theksuar që k</w:t>
      </w:r>
      <w:r w:rsidR="009F15C6">
        <w:rPr>
          <w:rFonts w:ascii="Gill Sans MT" w:hAnsi="Gill Sans MT"/>
        </w:rPr>
        <w:t xml:space="preserve">y vrojtim nuk është një </w:t>
      </w:r>
      <w:r w:rsidR="00377700">
        <w:rPr>
          <w:rFonts w:ascii="Gill Sans MT" w:hAnsi="Gill Sans MT"/>
        </w:rPr>
        <w:t xml:space="preserve">informacion </w:t>
      </w:r>
      <w:r w:rsidR="009F15C6">
        <w:rPr>
          <w:rFonts w:ascii="Gill Sans MT" w:hAnsi="Gill Sans MT"/>
        </w:rPr>
        <w:t>i mirëfilltë statistikor</w:t>
      </w:r>
      <w:r w:rsidR="006F35C2">
        <w:rPr>
          <w:rFonts w:ascii="Gill Sans MT" w:hAnsi="Gill Sans MT"/>
        </w:rPr>
        <w:t xml:space="preserve"> dhe përgjithësisht bazohet në perceptimet e ekspertëve të kredisë mbi zhvillimet kryesore në ofertën dhe kërkesën për kredi</w:t>
      </w:r>
      <w:r w:rsidR="00D774E2">
        <w:rPr>
          <w:rFonts w:ascii="Gill Sans MT" w:hAnsi="Gill Sans MT"/>
        </w:rPr>
        <w:t xml:space="preserve">. </w:t>
      </w:r>
    </w:p>
    <w:p w:rsidR="001040B5" w:rsidRDefault="00C103FA" w:rsidP="003C1850">
      <w:pPr>
        <w:jc w:val="both"/>
        <w:rPr>
          <w:rFonts w:ascii="Gill Sans MT" w:hAnsi="Gill Sans MT"/>
        </w:rPr>
      </w:pPr>
      <w:r w:rsidRPr="00C103FA">
        <w:rPr>
          <w:rFonts w:ascii="Gill Sans MT" w:hAnsi="Gill Sans MT"/>
        </w:rPr>
        <w:lastRenderedPageBreak/>
        <w:t>Pyetësori dërgohet tek bankat brenda datës 20 të çdo fund tremujori</w:t>
      </w:r>
      <w:r>
        <w:rPr>
          <w:rFonts w:ascii="Gill Sans MT" w:hAnsi="Gill Sans MT"/>
        </w:rPr>
        <w:t xml:space="preserve">. </w:t>
      </w:r>
      <w:r w:rsidRPr="00C103FA">
        <w:rPr>
          <w:rFonts w:ascii="Gill Sans MT" w:hAnsi="Gill Sans MT"/>
        </w:rPr>
        <w:t xml:space="preserve">Bankat dërgojnë pyetësorin e plotësuar </w:t>
      </w:r>
      <w:r w:rsidR="00377700">
        <w:rPr>
          <w:rFonts w:ascii="Gill Sans MT" w:hAnsi="Gill Sans MT"/>
        </w:rPr>
        <w:t xml:space="preserve">jo </w:t>
      </w:r>
      <w:r w:rsidR="00167C16">
        <w:rPr>
          <w:rFonts w:ascii="Gill Sans MT" w:hAnsi="Gill Sans MT"/>
        </w:rPr>
        <w:t>më</w:t>
      </w:r>
      <w:r w:rsidR="00377700">
        <w:rPr>
          <w:rFonts w:ascii="Gill Sans MT" w:hAnsi="Gill Sans MT"/>
        </w:rPr>
        <w:t xml:space="preserve"> vonë se </w:t>
      </w:r>
      <w:r>
        <w:rPr>
          <w:rFonts w:ascii="Gill Sans MT" w:hAnsi="Gill Sans MT"/>
        </w:rPr>
        <w:t>dy</w:t>
      </w:r>
      <w:r w:rsidRPr="00C103FA">
        <w:rPr>
          <w:rFonts w:ascii="Gill Sans MT" w:hAnsi="Gill Sans MT"/>
        </w:rPr>
        <w:t xml:space="preserve"> javë pas marrjes së tij</w:t>
      </w:r>
      <w:r>
        <w:rPr>
          <w:rFonts w:ascii="Gill Sans MT" w:hAnsi="Gill Sans MT"/>
        </w:rPr>
        <w:t xml:space="preserve">. </w:t>
      </w:r>
      <w:r w:rsidR="00B21790">
        <w:rPr>
          <w:rFonts w:ascii="Gill Sans MT" w:hAnsi="Gill Sans MT"/>
        </w:rPr>
        <w:t xml:space="preserve">Rezultatet e këtij vrojtimi publikohen në faqen e Bankës së Shqipërisë me frekuencë 3 mujore (si në formën e analizës ashtu edhe të </w:t>
      </w:r>
      <w:r w:rsidR="005A48C3">
        <w:rPr>
          <w:rFonts w:ascii="Gill Sans MT" w:hAnsi="Gill Sans MT"/>
        </w:rPr>
        <w:t>serive kohore</w:t>
      </w:r>
      <w:r w:rsidR="00B21790">
        <w:rPr>
          <w:rFonts w:ascii="Gill Sans MT" w:hAnsi="Gill Sans MT"/>
        </w:rPr>
        <w:t xml:space="preserve">), brenda datës 20 të muajit pasardhës të çdo tremujori. </w:t>
      </w:r>
    </w:p>
    <w:p w:rsidR="006A1B2A" w:rsidRDefault="001040B5" w:rsidP="001A2D6F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Aktualisht, </w:t>
      </w:r>
      <w:r w:rsidR="00377700">
        <w:rPr>
          <w:rFonts w:ascii="Gill Sans MT" w:hAnsi="Gill Sans MT"/>
        </w:rPr>
        <w:t>në</w:t>
      </w:r>
      <w:r w:rsidR="00167C16">
        <w:rPr>
          <w:rFonts w:ascii="Gill Sans MT" w:hAnsi="Gill Sans MT"/>
        </w:rPr>
        <w:t xml:space="preserve"> kë</w:t>
      </w:r>
      <w:r w:rsidR="00A870C1">
        <w:rPr>
          <w:rFonts w:ascii="Gill Sans MT" w:hAnsi="Gill Sans MT"/>
        </w:rPr>
        <w:t>t</w:t>
      </w:r>
      <w:r w:rsidR="00167C16">
        <w:rPr>
          <w:rFonts w:ascii="Gill Sans MT" w:hAnsi="Gill Sans MT"/>
        </w:rPr>
        <w:t>ë</w:t>
      </w:r>
      <w:r w:rsidR="00A870C1">
        <w:rPr>
          <w:rFonts w:ascii="Gill Sans MT" w:hAnsi="Gill Sans MT"/>
        </w:rPr>
        <w:t xml:space="preserve"> pyetësor marrin </w:t>
      </w:r>
      <w:r w:rsidR="00377700">
        <w:rPr>
          <w:rFonts w:ascii="Gill Sans MT" w:hAnsi="Gill Sans MT"/>
        </w:rPr>
        <w:t>pjesë</w:t>
      </w:r>
      <w:r w:rsidR="00A870C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1</w:t>
      </w:r>
      <w:r w:rsidR="00721008">
        <w:rPr>
          <w:rFonts w:ascii="Gill Sans MT" w:hAnsi="Gill Sans MT"/>
        </w:rPr>
        <w:t>1</w:t>
      </w:r>
      <w:r>
        <w:rPr>
          <w:rFonts w:ascii="Gill Sans MT" w:hAnsi="Gill Sans MT"/>
        </w:rPr>
        <w:t xml:space="preserve"> </w:t>
      </w:r>
      <w:r w:rsidR="00377700">
        <w:rPr>
          <w:rFonts w:ascii="Gill Sans MT" w:hAnsi="Gill Sans MT"/>
        </w:rPr>
        <w:t>banka</w:t>
      </w:r>
      <w:r w:rsidR="00661647">
        <w:rPr>
          <w:rFonts w:ascii="Gill Sans MT" w:hAnsi="Gill Sans MT"/>
        </w:rPr>
        <w:t>, të cilat zotërojnë pjesën më të madhe të kredisë dhënë për sektorin privat.</w:t>
      </w:r>
      <w:r w:rsidR="00CB1E11">
        <w:rPr>
          <w:rFonts w:ascii="Gill Sans MT" w:hAnsi="Gill Sans MT"/>
        </w:rPr>
        <w:t xml:space="preserve"> Kriteri i ndjekur në përzgjedhjen e tyre është zotërimi i të paktën 3% të stokut të kredisë akorduar sektorit privat. </w:t>
      </w:r>
      <w:r w:rsidR="001A2D6F" w:rsidRPr="001A2D6F">
        <w:rPr>
          <w:rFonts w:ascii="Gill Sans MT" w:hAnsi="Gill Sans MT"/>
        </w:rPr>
        <w:t>Si bazë për të llogaritur pjesën e tregu</w:t>
      </w:r>
      <w:r w:rsidR="001A2D6F">
        <w:rPr>
          <w:rFonts w:ascii="Gill Sans MT" w:hAnsi="Gill Sans MT"/>
        </w:rPr>
        <w:t>t të bankave</w:t>
      </w:r>
      <w:r w:rsidR="00CB1E11">
        <w:rPr>
          <w:rFonts w:ascii="Gill Sans MT" w:hAnsi="Gill Sans MT"/>
        </w:rPr>
        <w:t>, të cilat përdoren në agregimin e rezultateve për secilën pyetje,</w:t>
      </w:r>
      <w:r w:rsidR="001A2D6F">
        <w:rPr>
          <w:rFonts w:ascii="Gill Sans MT" w:hAnsi="Gill Sans MT"/>
        </w:rPr>
        <w:t xml:space="preserve"> </w:t>
      </w:r>
      <w:r w:rsidR="00661647">
        <w:rPr>
          <w:rFonts w:ascii="Gill Sans MT" w:hAnsi="Gill Sans MT"/>
        </w:rPr>
        <w:t xml:space="preserve">shërben </w:t>
      </w:r>
      <w:r w:rsidR="001A2D6F">
        <w:rPr>
          <w:rFonts w:ascii="Gill Sans MT" w:hAnsi="Gill Sans MT"/>
        </w:rPr>
        <w:t xml:space="preserve">teprica e </w:t>
      </w:r>
      <w:r w:rsidR="001A2D6F" w:rsidRPr="001A2D6F">
        <w:rPr>
          <w:rFonts w:ascii="Gill Sans MT" w:hAnsi="Gill Sans MT"/>
        </w:rPr>
        <w:t>kredisë</w:t>
      </w:r>
      <w:r w:rsidR="001A2D6F">
        <w:rPr>
          <w:rFonts w:ascii="Gill Sans MT" w:hAnsi="Gill Sans MT"/>
        </w:rPr>
        <w:t xml:space="preserve"> </w:t>
      </w:r>
      <w:r w:rsidR="00661647">
        <w:rPr>
          <w:rFonts w:ascii="Gill Sans MT" w:hAnsi="Gill Sans MT"/>
        </w:rPr>
        <w:t>për</w:t>
      </w:r>
      <w:r w:rsidR="00067192">
        <w:rPr>
          <w:rFonts w:ascii="Gill Sans MT" w:hAnsi="Gill Sans MT"/>
        </w:rPr>
        <w:t xml:space="preserve"> sektorin privat </w:t>
      </w:r>
      <w:r w:rsidR="00661647">
        <w:rPr>
          <w:rFonts w:ascii="Gill Sans MT" w:hAnsi="Gill Sans MT"/>
        </w:rPr>
        <w:t>në</w:t>
      </w:r>
      <w:r w:rsidR="00067192">
        <w:rPr>
          <w:rFonts w:ascii="Gill Sans MT" w:hAnsi="Gill Sans MT"/>
        </w:rPr>
        <w:t xml:space="preserve"> tremujorin </w:t>
      </w:r>
      <w:r w:rsidR="00661647">
        <w:rPr>
          <w:rFonts w:ascii="Gill Sans MT" w:hAnsi="Gill Sans MT"/>
        </w:rPr>
        <w:t>paraardhës</w:t>
      </w:r>
      <w:r w:rsidR="00067192">
        <w:rPr>
          <w:rFonts w:ascii="Gill Sans MT" w:hAnsi="Gill Sans MT"/>
        </w:rPr>
        <w:t>.</w:t>
      </w:r>
    </w:p>
    <w:p w:rsidR="009F38F7" w:rsidRDefault="006A1B2A" w:rsidP="003C185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Metodologjia e përdorur në agregimin e rezultateve (sikurse dhe në rastin e BQE) i referohet</w:t>
      </w:r>
      <w:r w:rsidR="001040B5">
        <w:rPr>
          <w:rFonts w:ascii="Gill Sans MT" w:hAnsi="Gill Sans MT"/>
        </w:rPr>
        <w:t xml:space="preserve"> treguesi</w:t>
      </w:r>
      <w:r>
        <w:rPr>
          <w:rFonts w:ascii="Gill Sans MT" w:hAnsi="Gill Sans MT"/>
        </w:rPr>
        <w:t>t të</w:t>
      </w:r>
      <w:r w:rsidR="001040B5">
        <w:rPr>
          <w:rFonts w:ascii="Gill Sans MT" w:hAnsi="Gill Sans MT"/>
        </w:rPr>
        <w:t xml:space="preserve"> përqindjes neto. </w:t>
      </w:r>
      <w:r w:rsidR="004E3305">
        <w:rPr>
          <w:rFonts w:ascii="Gill Sans MT" w:hAnsi="Gill Sans MT"/>
        </w:rPr>
        <w:t>N</w:t>
      </w:r>
      <w:r w:rsidR="007B6F9A">
        <w:rPr>
          <w:rFonts w:ascii="Gill Sans MT" w:hAnsi="Gill Sans MT"/>
        </w:rPr>
        <w:t>ë rastin e standardeve të kreditimit</w:t>
      </w:r>
      <w:r w:rsidR="001040B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ky tregues </w:t>
      </w:r>
      <w:r w:rsidR="007B6F9A">
        <w:rPr>
          <w:rFonts w:ascii="Gill Sans MT" w:hAnsi="Gill Sans MT"/>
        </w:rPr>
        <w:t>matet nga</w:t>
      </w:r>
      <w:r>
        <w:rPr>
          <w:rFonts w:ascii="Gill Sans MT" w:hAnsi="Gill Sans MT"/>
        </w:rPr>
        <w:t xml:space="preserve"> diferenc</w:t>
      </w:r>
      <w:r w:rsidR="007B6F9A">
        <w:rPr>
          <w:rFonts w:ascii="Gill Sans MT" w:hAnsi="Gill Sans MT"/>
        </w:rPr>
        <w:t>a mes shumës</w:t>
      </w:r>
      <w:r w:rsidR="008D4AB4">
        <w:rPr>
          <w:rFonts w:ascii="Gill Sans MT" w:hAnsi="Gill Sans MT"/>
        </w:rPr>
        <w:t xml:space="preserve"> së përqindjeve</w:t>
      </w:r>
      <w:r w:rsidR="007B6F9A">
        <w:rPr>
          <w:rFonts w:ascii="Gill Sans MT" w:hAnsi="Gill Sans MT"/>
        </w:rPr>
        <w:t xml:space="preserve"> </w:t>
      </w:r>
      <w:r w:rsidR="00866B96">
        <w:rPr>
          <w:rFonts w:ascii="Gill Sans MT" w:hAnsi="Gill Sans MT"/>
        </w:rPr>
        <w:t xml:space="preserve">që janë përgjigjur “shtrënguar shumë” dhe “shtrënguar disi”  me shumën </w:t>
      </w:r>
      <w:r w:rsidR="009D785D">
        <w:rPr>
          <w:rFonts w:ascii="Gill Sans MT" w:hAnsi="Gill Sans MT"/>
        </w:rPr>
        <w:t>e përqindjeve</w:t>
      </w:r>
      <w:r w:rsidR="00866B96">
        <w:rPr>
          <w:rFonts w:ascii="Gill Sans MT" w:hAnsi="Gill Sans MT"/>
        </w:rPr>
        <w:t xml:space="preserve"> të </w:t>
      </w:r>
      <w:proofErr w:type="spellStart"/>
      <w:r w:rsidR="00866B96">
        <w:rPr>
          <w:rFonts w:ascii="Gill Sans MT" w:hAnsi="Gill Sans MT"/>
        </w:rPr>
        <w:t>të</w:t>
      </w:r>
      <w:proofErr w:type="spellEnd"/>
      <w:r w:rsidR="00866B96">
        <w:rPr>
          <w:rFonts w:ascii="Gill Sans MT" w:hAnsi="Gill Sans MT"/>
        </w:rPr>
        <w:t xml:space="preserve"> </w:t>
      </w:r>
      <w:proofErr w:type="spellStart"/>
      <w:r w:rsidR="00866B96">
        <w:rPr>
          <w:rFonts w:ascii="Gill Sans MT" w:hAnsi="Gill Sans MT"/>
        </w:rPr>
        <w:t>përgjigjurve</w:t>
      </w:r>
      <w:proofErr w:type="spellEnd"/>
      <w:r w:rsidR="00866B96">
        <w:rPr>
          <w:rFonts w:ascii="Gill Sans MT" w:hAnsi="Gill Sans MT"/>
        </w:rPr>
        <w:t xml:space="preserve"> “lehtësuar ndjeshëm” dhe “lehtësuar disi”, korrektuar në secilin rast me peshën e secilës bankë në atë segment të kredisë.</w:t>
      </w:r>
      <w:r w:rsidR="00141D53">
        <w:rPr>
          <w:rFonts w:ascii="Gill Sans MT" w:hAnsi="Gill Sans MT"/>
        </w:rPr>
        <w:t xml:space="preserve"> </w:t>
      </w:r>
      <w:r w:rsidR="009F38F7">
        <w:rPr>
          <w:rFonts w:ascii="Gill Sans MT" w:hAnsi="Gill Sans MT"/>
        </w:rPr>
        <w:t>Përqindja neto në kahun negativ tregon shtrëngim të standardeve</w:t>
      </w:r>
      <w:r w:rsidR="008B6130">
        <w:rPr>
          <w:rFonts w:ascii="Gill Sans MT" w:hAnsi="Gill Sans MT"/>
        </w:rPr>
        <w:t>,</w:t>
      </w:r>
      <w:r w:rsidR="009F38F7">
        <w:rPr>
          <w:rFonts w:ascii="Gill Sans MT" w:hAnsi="Gill Sans MT"/>
        </w:rPr>
        <w:t xml:space="preserve"> dhe anasjelltas. </w:t>
      </w:r>
      <w:r w:rsidR="009D785D">
        <w:rPr>
          <w:rFonts w:ascii="Gill Sans MT" w:hAnsi="Gill Sans MT"/>
        </w:rPr>
        <w:t>Në formë matematikore</w:t>
      </w:r>
      <w:r w:rsidR="007A1662">
        <w:rPr>
          <w:rFonts w:ascii="Gill Sans MT" w:hAnsi="Gill Sans MT"/>
        </w:rPr>
        <w:t>,</w:t>
      </w:r>
      <w:r w:rsidR="009D785D">
        <w:rPr>
          <w:rFonts w:ascii="Gill Sans MT" w:hAnsi="Gill Sans MT"/>
        </w:rPr>
        <w:t xml:space="preserve"> llogaritja e përqindjes neto në rastin e standardeve të kreditimit jepet si më poshtë:</w:t>
      </w:r>
    </w:p>
    <w:p w:rsidR="009F38F7" w:rsidRPr="00C103FA" w:rsidRDefault="009D785D" w:rsidP="003C1850">
      <w:pPr>
        <w:jc w:val="both"/>
        <w:rPr>
          <w:rFonts w:ascii="Gill Sans MT" w:hAnsi="Gill Sans MT"/>
          <w:sz w:val="19"/>
          <w:szCs w:val="19"/>
        </w:rPr>
      </w:pPr>
      <m:oMathPara>
        <m:oMath>
          <m:r>
            <w:rPr>
              <w:rFonts w:ascii="Cambria Math" w:hAnsi="Cambria Math"/>
              <w:sz w:val="19"/>
              <w:szCs w:val="19"/>
              <w:lang w:val="en-GB"/>
            </w:rPr>
            <m:t>Përqindja neto (standarde)=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  <w:i/>
                  <w:iCs/>
                  <w:sz w:val="19"/>
                  <w:szCs w:val="19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19"/>
                  <w:szCs w:val="19"/>
                </w:rPr>
                <m:t>P</m:t>
              </m:r>
              <m:r>
                <w:rPr>
                  <w:rFonts w:ascii="Cambria Math" w:hAnsi="Cambria Math"/>
                  <w:sz w:val="19"/>
                  <w:szCs w:val="19"/>
                  <w:lang w:val="en-GB"/>
                </w:rPr>
                <m:t>ërq. lehtësuar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19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shum</m:t>
                  </m:r>
                  <m:r>
                    <w:rPr>
                      <w:rFonts w:ascii="Cambria Math" w:hAnsi="Cambria Math"/>
                      <w:sz w:val="19"/>
                      <w:szCs w:val="19"/>
                      <w:lang w:val="en-GB"/>
                    </w:rPr>
                    <m:t>ë+pak</m:t>
                  </m:r>
                </m:e>
              </m:d>
              <m:r>
                <w:rPr>
                  <w:rFonts w:ascii="Cambria Math" w:hAnsi="Cambria Math"/>
                  <w:sz w:val="19"/>
                  <w:szCs w:val="19"/>
                  <w:rtl/>
                  <w:lang w:bidi="ar-AE"/>
                </w:rPr>
                <m:t>-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  <w:i/>
                      <w:iCs/>
                      <w:sz w:val="19"/>
                      <w:szCs w:val="19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P</m:t>
                  </m:r>
                  <m:r>
                    <w:rPr>
                      <w:rFonts w:ascii="Cambria Math" w:hAnsi="Cambria Math"/>
                      <w:sz w:val="19"/>
                      <w:szCs w:val="19"/>
                      <w:lang w:val="en-GB"/>
                    </w:rPr>
                    <m:t>ërq. shtrënguar (shumë+pak)</m:t>
                  </m:r>
                </m:e>
              </m:nary>
            </m:e>
          </m:nary>
        </m:oMath>
      </m:oMathPara>
    </w:p>
    <w:p w:rsidR="001040B5" w:rsidRDefault="009F38F7" w:rsidP="003C185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Në rastin e kërkesës për kredi </w:t>
      </w:r>
      <w:r w:rsidR="009D785D">
        <w:rPr>
          <w:rFonts w:ascii="Gill Sans MT" w:hAnsi="Gill Sans MT"/>
        </w:rPr>
        <w:t xml:space="preserve">treguesi </w:t>
      </w:r>
      <w:proofErr w:type="spellStart"/>
      <w:r w:rsidR="009D785D">
        <w:rPr>
          <w:rFonts w:ascii="Gill Sans MT" w:hAnsi="Gill Sans MT"/>
        </w:rPr>
        <w:t>agregohet</w:t>
      </w:r>
      <w:proofErr w:type="spellEnd"/>
      <w:r w:rsidR="009D785D">
        <w:rPr>
          <w:rFonts w:ascii="Gill Sans MT" w:hAnsi="Gill Sans MT"/>
        </w:rPr>
        <w:t xml:space="preserve"> në një </w:t>
      </w:r>
      <w:r w:rsidR="008B6130">
        <w:rPr>
          <w:rFonts w:ascii="Gill Sans MT" w:hAnsi="Gill Sans MT"/>
        </w:rPr>
        <w:t xml:space="preserve">të </w:t>
      </w:r>
      <w:r w:rsidR="009D785D">
        <w:rPr>
          <w:rFonts w:ascii="Gill Sans MT" w:hAnsi="Gill Sans MT"/>
        </w:rPr>
        <w:t xml:space="preserve">vetëm nga diferenca mes shumës së përqindjeve që janë përgjigjur “rritur shumë” dhe “rritur pak” me shumën e përqindjeve që janë shprehur “ulur shumë” dhe “ulur pak”, të korrektuar për peshën e secilës bankë në segmentin përkatës të kredisë. Forma matematikore e këtij treguesi është: </w:t>
      </w:r>
    </w:p>
    <w:p w:rsidR="009D785D" w:rsidRPr="009D785D" w:rsidRDefault="009D785D" w:rsidP="003C1850">
      <w:pPr>
        <w:jc w:val="both"/>
        <w:rPr>
          <w:rFonts w:ascii="Gill Sans MT" w:hAnsi="Gill Sans MT"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P</m:t>
          </m:r>
          <m:r>
            <w:rPr>
              <w:rFonts w:ascii="Cambria Math" w:hAnsi="Cambria Math"/>
              <w:sz w:val="20"/>
              <w:lang w:val="en-GB"/>
            </w:rPr>
            <m:t>ërqindja neto (kërkesa)=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  <w:i/>
                  <w:iCs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P</m:t>
              </m:r>
              <m:r>
                <w:rPr>
                  <w:rFonts w:ascii="Cambria Math" w:hAnsi="Cambria Math"/>
                  <w:sz w:val="20"/>
                  <w:lang w:val="en-GB"/>
                </w:rPr>
                <m:t>ërqindja rritur 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shum</m:t>
                  </m:r>
                  <m:r>
                    <w:rPr>
                      <w:rFonts w:ascii="Cambria Math" w:hAnsi="Cambria Math"/>
                      <w:sz w:val="20"/>
                      <w:lang w:val="en-GB"/>
                    </w:rPr>
                    <m:t>ë+pak</m:t>
                  </m:r>
                </m:e>
              </m:d>
              <m:r>
                <w:rPr>
                  <w:rFonts w:ascii="Cambria Math" w:hAnsi="Cambria Math"/>
                  <w:sz w:val="20"/>
                  <w:rtl/>
                  <w:lang w:bidi="ar-AE"/>
                </w:rPr>
                <m:t>-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  <w:i/>
                      <w:iCs/>
                      <w:sz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</w:rPr>
                    <m:t>P</m:t>
                  </m:r>
                  <m:r>
                    <w:rPr>
                      <w:rFonts w:ascii="Cambria Math" w:hAnsi="Cambria Math"/>
                      <w:sz w:val="20"/>
                      <w:lang w:val="en-GB"/>
                    </w:rPr>
                    <m:t>ërqindja ulur 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shum</m:t>
                      </m:r>
                      <m:r>
                        <w:rPr>
                          <w:rFonts w:ascii="Cambria Math" w:hAnsi="Cambria Math"/>
                          <w:sz w:val="20"/>
                          <w:lang w:val="en-GB"/>
                        </w:rPr>
                        <m:t>ë+pak</m:t>
                      </m:r>
                    </m:e>
                  </m:d>
                </m:e>
              </m:nary>
            </m:e>
          </m:nary>
        </m:oMath>
      </m:oMathPara>
    </w:p>
    <w:p w:rsidR="00141D53" w:rsidRDefault="00C103FA" w:rsidP="0059363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Rezultati pozitiv interpretohet si rritje e kërkesës për kredi dhe anasjelltas. </w:t>
      </w:r>
    </w:p>
    <w:p w:rsidR="00141D53" w:rsidRDefault="009D3AF2" w:rsidP="00141D5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Duhet theksuar </w:t>
      </w:r>
      <w:r w:rsidR="008B6130">
        <w:rPr>
          <w:rFonts w:ascii="Gill Sans MT" w:hAnsi="Gill Sans MT"/>
        </w:rPr>
        <w:t xml:space="preserve">se </w:t>
      </w:r>
      <w:r>
        <w:rPr>
          <w:rFonts w:ascii="Gill Sans MT" w:hAnsi="Gill Sans MT"/>
        </w:rPr>
        <w:t>nga agre</w:t>
      </w:r>
      <w:r w:rsidR="008B6130">
        <w:rPr>
          <w:rFonts w:ascii="Gill Sans MT" w:hAnsi="Gill Sans MT"/>
        </w:rPr>
        <w:t xml:space="preserve">gimi i përgjigjeve të bankave, </w:t>
      </w:r>
      <w:r w:rsidR="00115FF7">
        <w:rPr>
          <w:rFonts w:ascii="Gill Sans MT" w:hAnsi="Gill Sans MT"/>
        </w:rPr>
        <w:t xml:space="preserve">përftohen indikatorë cilësorë, dhe jo sasiorë. Si të tillë, ato nuk interpretohen si në rastin klasik të </w:t>
      </w:r>
      <w:proofErr w:type="spellStart"/>
      <w:r w:rsidR="00115FF7">
        <w:rPr>
          <w:rFonts w:ascii="Gill Sans MT" w:hAnsi="Gill Sans MT"/>
        </w:rPr>
        <w:t>të</w:t>
      </w:r>
      <w:proofErr w:type="spellEnd"/>
      <w:r w:rsidR="00115FF7">
        <w:rPr>
          <w:rFonts w:ascii="Gill Sans MT" w:hAnsi="Gill Sans MT"/>
        </w:rPr>
        <w:t xml:space="preserve"> dhënave sasiore, të cilat </w:t>
      </w:r>
      <w:proofErr w:type="spellStart"/>
      <w:r w:rsidR="00115FF7">
        <w:rPr>
          <w:rFonts w:ascii="Gill Sans MT" w:hAnsi="Gill Sans MT"/>
        </w:rPr>
        <w:t>gjenerohen</w:t>
      </w:r>
      <w:proofErr w:type="spellEnd"/>
      <w:r w:rsidR="00115FF7">
        <w:rPr>
          <w:rFonts w:ascii="Gill Sans MT" w:hAnsi="Gill Sans MT"/>
        </w:rPr>
        <w:t xml:space="preserve"> nga zyra statistikore</w:t>
      </w:r>
      <w:r w:rsidR="00045542">
        <w:rPr>
          <w:rFonts w:ascii="Gill Sans MT" w:hAnsi="Gill Sans MT"/>
        </w:rPr>
        <w:t>,</w:t>
      </w:r>
      <w:r w:rsidR="00115FF7">
        <w:rPr>
          <w:rFonts w:ascii="Gill Sans MT" w:hAnsi="Gill Sans MT"/>
        </w:rPr>
        <w:t xml:space="preserve"> </w:t>
      </w:r>
      <w:r w:rsidR="00D1168F">
        <w:rPr>
          <w:rFonts w:ascii="Gill Sans MT" w:hAnsi="Gill Sans MT"/>
        </w:rPr>
        <w:t xml:space="preserve">të cilat grumbullojnë informacion sasior në frekuencë të rregullt për një gamë të caktuar treguesish. Indikatorët cilësorë që përftohen nga vrojtimi i aktivitetit kreditues na shërbejnë për të kuptuar më në detaje zhvillimet në tregun e kredisë dhe plotësojnë informacionin nga raportimet me frekuencë të rregullt nga bilancet e bankave.  </w:t>
      </w:r>
    </w:p>
    <w:sectPr w:rsidR="00141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B8" w:rsidRDefault="00FC54B8" w:rsidP="00065E37">
      <w:pPr>
        <w:spacing w:after="0" w:line="240" w:lineRule="auto"/>
      </w:pPr>
      <w:r>
        <w:separator/>
      </w:r>
    </w:p>
  </w:endnote>
  <w:endnote w:type="continuationSeparator" w:id="0">
    <w:p w:rsidR="00FC54B8" w:rsidRDefault="00FC54B8" w:rsidP="0006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B8" w:rsidRDefault="00FC54B8" w:rsidP="00065E37">
      <w:pPr>
        <w:spacing w:after="0" w:line="240" w:lineRule="auto"/>
      </w:pPr>
      <w:r>
        <w:separator/>
      </w:r>
    </w:p>
  </w:footnote>
  <w:footnote w:type="continuationSeparator" w:id="0">
    <w:p w:rsidR="00FC54B8" w:rsidRDefault="00FC54B8" w:rsidP="00065E37">
      <w:pPr>
        <w:spacing w:after="0" w:line="240" w:lineRule="auto"/>
      </w:pPr>
      <w:r>
        <w:continuationSeparator/>
      </w:r>
    </w:p>
  </w:footnote>
  <w:footnote w:id="1">
    <w:p w:rsidR="00C73941" w:rsidRPr="00C73941" w:rsidRDefault="00C73941" w:rsidP="00892FD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S</w:t>
      </w:r>
      <w:r w:rsidRPr="00184B3F">
        <w:rPr>
          <w:rFonts w:ascii="Gill Sans MT" w:hAnsi="Gill Sans MT"/>
        </w:rPr>
        <w:t>i p</w:t>
      </w:r>
      <w:r>
        <w:rPr>
          <w:rFonts w:ascii="Gill Sans MT" w:hAnsi="Gill Sans MT"/>
        </w:rPr>
        <w:t xml:space="preserve">ër shembull </w:t>
      </w:r>
      <w:r w:rsidRPr="00184B3F">
        <w:rPr>
          <w:rFonts w:ascii="Gill Sans MT" w:hAnsi="Gill Sans MT"/>
        </w:rPr>
        <w:t>kushtet dhe termat e kredidhënies apo faktorët që ndikojnë ofertën dhe kërkesën për kredi</w:t>
      </w:r>
      <w:r>
        <w:rPr>
          <w:rFonts w:ascii="Gill Sans MT" w:hAnsi="Gill Sans MT"/>
        </w:rPr>
        <w:t xml:space="preserve"> </w:t>
      </w:r>
      <w:r w:rsidRPr="00184B3F">
        <w:rPr>
          <w:rFonts w:ascii="Gill Sans MT" w:hAnsi="Gill Sans MT"/>
        </w:rPr>
        <w:t>etj</w:t>
      </w:r>
      <w:r>
        <w:rPr>
          <w:rFonts w:ascii="Gill Sans MT" w:hAnsi="Gill Sans MT"/>
        </w:rPr>
        <w:t>..</w:t>
      </w:r>
    </w:p>
  </w:footnote>
  <w:footnote w:id="2">
    <w:p w:rsidR="00C73941" w:rsidRPr="00C73941" w:rsidRDefault="00C73941" w:rsidP="00892FD2">
      <w:pPr>
        <w:pStyle w:val="FootnoteText"/>
        <w:jc w:val="both"/>
        <w:rPr>
          <w:lang w:val="en-US"/>
        </w:rPr>
      </w:pPr>
      <w:r w:rsidRPr="00C73941">
        <w:rPr>
          <w:rStyle w:val="FootnoteReference"/>
        </w:rPr>
        <w:footnoteRef/>
      </w:r>
      <w:r w:rsidRPr="00C73941">
        <w:t xml:space="preserve"> </w:t>
      </w:r>
      <w:r w:rsidRPr="00C73941">
        <w:rPr>
          <w:rFonts w:ascii="Gill Sans MT" w:hAnsi="Gill Sans MT"/>
        </w:rPr>
        <w:t>Në varësi të strukturës organizative që mund të ketë secila bankë</w:t>
      </w:r>
      <w:r>
        <w:rPr>
          <w:rFonts w:ascii="Gill Sans MT" w:hAnsi="Gill Sans MT"/>
        </w:rPr>
        <w:t>,</w:t>
      </w:r>
      <w:r w:rsidRPr="00C73941">
        <w:rPr>
          <w:rFonts w:ascii="Gill Sans MT" w:hAnsi="Gill Sans MT"/>
        </w:rPr>
        <w:t xml:space="preserve"> këto departamente mund të jen</w:t>
      </w:r>
      <w:r>
        <w:rPr>
          <w:rFonts w:ascii="Gill Sans MT" w:hAnsi="Gill Sans MT"/>
        </w:rPr>
        <w:t>ë</w:t>
      </w:r>
      <w:r w:rsidRPr="00C73941">
        <w:rPr>
          <w:rFonts w:ascii="Gill Sans MT" w:hAnsi="Gill Sans MT"/>
        </w:rPr>
        <w:t xml:space="preserve"> të kredisë, të riskut, etj</w:t>
      </w:r>
      <w:r>
        <w:rPr>
          <w:rFonts w:ascii="Gill Sans MT" w:hAnsi="Gill Sans MT"/>
        </w:rPr>
        <w:t>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788E"/>
    <w:multiLevelType w:val="hybridMultilevel"/>
    <w:tmpl w:val="4C04BB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ED9"/>
    <w:multiLevelType w:val="hybridMultilevel"/>
    <w:tmpl w:val="7B7E21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25"/>
    <w:rsid w:val="00007D46"/>
    <w:rsid w:val="00013324"/>
    <w:rsid w:val="000179EA"/>
    <w:rsid w:val="00045542"/>
    <w:rsid w:val="00065E37"/>
    <w:rsid w:val="00067192"/>
    <w:rsid w:val="00081E1B"/>
    <w:rsid w:val="000E50BC"/>
    <w:rsid w:val="001040B5"/>
    <w:rsid w:val="00107E03"/>
    <w:rsid w:val="00111381"/>
    <w:rsid w:val="00115FF7"/>
    <w:rsid w:val="00141D53"/>
    <w:rsid w:val="00142C62"/>
    <w:rsid w:val="001437CF"/>
    <w:rsid w:val="00144E72"/>
    <w:rsid w:val="00167C16"/>
    <w:rsid w:val="00184B3F"/>
    <w:rsid w:val="001A2D6F"/>
    <w:rsid w:val="001A4EC0"/>
    <w:rsid w:val="001C7B76"/>
    <w:rsid w:val="001F4B8C"/>
    <w:rsid w:val="00211ABF"/>
    <w:rsid w:val="00212D1A"/>
    <w:rsid w:val="00224F5F"/>
    <w:rsid w:val="0023218D"/>
    <w:rsid w:val="002433AD"/>
    <w:rsid w:val="002436AE"/>
    <w:rsid w:val="00262DDB"/>
    <w:rsid w:val="0026592B"/>
    <w:rsid w:val="00266DBE"/>
    <w:rsid w:val="002F74CB"/>
    <w:rsid w:val="00300120"/>
    <w:rsid w:val="0030587C"/>
    <w:rsid w:val="00377700"/>
    <w:rsid w:val="00382494"/>
    <w:rsid w:val="00396614"/>
    <w:rsid w:val="003B4DD5"/>
    <w:rsid w:val="003C1850"/>
    <w:rsid w:val="003C78B2"/>
    <w:rsid w:val="003D3078"/>
    <w:rsid w:val="0042448C"/>
    <w:rsid w:val="00427E8A"/>
    <w:rsid w:val="004336BA"/>
    <w:rsid w:val="00435CC4"/>
    <w:rsid w:val="0046082C"/>
    <w:rsid w:val="00461A78"/>
    <w:rsid w:val="004A15DC"/>
    <w:rsid w:val="004B131E"/>
    <w:rsid w:val="004B2580"/>
    <w:rsid w:val="004E3305"/>
    <w:rsid w:val="00513F3D"/>
    <w:rsid w:val="00525EAD"/>
    <w:rsid w:val="00530B23"/>
    <w:rsid w:val="005342F4"/>
    <w:rsid w:val="005670A1"/>
    <w:rsid w:val="005809D8"/>
    <w:rsid w:val="00593635"/>
    <w:rsid w:val="005A48C3"/>
    <w:rsid w:val="005A60D0"/>
    <w:rsid w:val="00611DDE"/>
    <w:rsid w:val="00615113"/>
    <w:rsid w:val="00617106"/>
    <w:rsid w:val="00661647"/>
    <w:rsid w:val="00663318"/>
    <w:rsid w:val="006A1B2A"/>
    <w:rsid w:val="006D1F92"/>
    <w:rsid w:val="006D4A65"/>
    <w:rsid w:val="006E2417"/>
    <w:rsid w:val="006F35C2"/>
    <w:rsid w:val="006F7466"/>
    <w:rsid w:val="00707C2B"/>
    <w:rsid w:val="00712A0C"/>
    <w:rsid w:val="007164F4"/>
    <w:rsid w:val="00721008"/>
    <w:rsid w:val="007223CB"/>
    <w:rsid w:val="007246FC"/>
    <w:rsid w:val="007432A5"/>
    <w:rsid w:val="00782977"/>
    <w:rsid w:val="007872DA"/>
    <w:rsid w:val="007A1662"/>
    <w:rsid w:val="007B6F9A"/>
    <w:rsid w:val="007D5044"/>
    <w:rsid w:val="007F52AB"/>
    <w:rsid w:val="00845016"/>
    <w:rsid w:val="008473A2"/>
    <w:rsid w:val="00866B96"/>
    <w:rsid w:val="00872178"/>
    <w:rsid w:val="008762FB"/>
    <w:rsid w:val="00892FD2"/>
    <w:rsid w:val="008A4829"/>
    <w:rsid w:val="008B41C9"/>
    <w:rsid w:val="008B6130"/>
    <w:rsid w:val="008D4AB4"/>
    <w:rsid w:val="008F4407"/>
    <w:rsid w:val="00903AF6"/>
    <w:rsid w:val="009226B1"/>
    <w:rsid w:val="009334E7"/>
    <w:rsid w:val="00953C65"/>
    <w:rsid w:val="009A76C7"/>
    <w:rsid w:val="009B645E"/>
    <w:rsid w:val="009B6FFF"/>
    <w:rsid w:val="009C65F4"/>
    <w:rsid w:val="009D3AF2"/>
    <w:rsid w:val="009D785D"/>
    <w:rsid w:val="009F15C6"/>
    <w:rsid w:val="009F38F7"/>
    <w:rsid w:val="00A14522"/>
    <w:rsid w:val="00A3565C"/>
    <w:rsid w:val="00A36981"/>
    <w:rsid w:val="00A60E39"/>
    <w:rsid w:val="00A62D8D"/>
    <w:rsid w:val="00A63DE1"/>
    <w:rsid w:val="00A66931"/>
    <w:rsid w:val="00A74889"/>
    <w:rsid w:val="00A80A74"/>
    <w:rsid w:val="00A82CC2"/>
    <w:rsid w:val="00A870C1"/>
    <w:rsid w:val="00A93A74"/>
    <w:rsid w:val="00A93EB8"/>
    <w:rsid w:val="00A959CF"/>
    <w:rsid w:val="00AA1D6C"/>
    <w:rsid w:val="00AA29ED"/>
    <w:rsid w:val="00AA2CF7"/>
    <w:rsid w:val="00AB0F08"/>
    <w:rsid w:val="00AB2846"/>
    <w:rsid w:val="00AB2AA8"/>
    <w:rsid w:val="00AC4D69"/>
    <w:rsid w:val="00AC4DAC"/>
    <w:rsid w:val="00AF2883"/>
    <w:rsid w:val="00AF6322"/>
    <w:rsid w:val="00B01A5C"/>
    <w:rsid w:val="00B0538C"/>
    <w:rsid w:val="00B21790"/>
    <w:rsid w:val="00B23A33"/>
    <w:rsid w:val="00B320D2"/>
    <w:rsid w:val="00B32452"/>
    <w:rsid w:val="00B57B8A"/>
    <w:rsid w:val="00B95EA2"/>
    <w:rsid w:val="00BA5C31"/>
    <w:rsid w:val="00BA7A03"/>
    <w:rsid w:val="00BB1325"/>
    <w:rsid w:val="00BC3511"/>
    <w:rsid w:val="00BD662B"/>
    <w:rsid w:val="00BE0104"/>
    <w:rsid w:val="00BF7383"/>
    <w:rsid w:val="00C06B7B"/>
    <w:rsid w:val="00C103FA"/>
    <w:rsid w:val="00C14BDB"/>
    <w:rsid w:val="00C41462"/>
    <w:rsid w:val="00C53B6A"/>
    <w:rsid w:val="00C54F00"/>
    <w:rsid w:val="00C73941"/>
    <w:rsid w:val="00C90A5D"/>
    <w:rsid w:val="00CA2C7C"/>
    <w:rsid w:val="00CB02E7"/>
    <w:rsid w:val="00CB1E11"/>
    <w:rsid w:val="00D07DB3"/>
    <w:rsid w:val="00D1168F"/>
    <w:rsid w:val="00D2278D"/>
    <w:rsid w:val="00D331B7"/>
    <w:rsid w:val="00D47F27"/>
    <w:rsid w:val="00D774E2"/>
    <w:rsid w:val="00D779DB"/>
    <w:rsid w:val="00D950D2"/>
    <w:rsid w:val="00D968B3"/>
    <w:rsid w:val="00DC1C85"/>
    <w:rsid w:val="00DC1E25"/>
    <w:rsid w:val="00DE5EB9"/>
    <w:rsid w:val="00E4550C"/>
    <w:rsid w:val="00E53FD3"/>
    <w:rsid w:val="00EA11AA"/>
    <w:rsid w:val="00EC5594"/>
    <w:rsid w:val="00EF43DD"/>
    <w:rsid w:val="00EF664A"/>
    <w:rsid w:val="00EF6F50"/>
    <w:rsid w:val="00F61355"/>
    <w:rsid w:val="00F7051E"/>
    <w:rsid w:val="00F9170F"/>
    <w:rsid w:val="00FB18F9"/>
    <w:rsid w:val="00FB7EFE"/>
    <w:rsid w:val="00FC54B8"/>
    <w:rsid w:val="00FC5593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C9053-D933-413D-94B6-D3A66DA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65E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E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5E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3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7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1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5444-ECD8-4E51-876D-93E2201B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Anjeza Gazidede</dc:creator>
  <cp:lastModifiedBy>Anjeza Gazidede</cp:lastModifiedBy>
  <cp:revision>3</cp:revision>
  <cp:lastPrinted>2018-07-19T12:55:00Z</cp:lastPrinted>
  <dcterms:created xsi:type="dcterms:W3CDTF">2018-07-20T14:08:00Z</dcterms:created>
  <dcterms:modified xsi:type="dcterms:W3CDTF">2018-07-20T14:11:00Z</dcterms:modified>
</cp:coreProperties>
</file>